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F9CE" w14:textId="652ABDB5" w:rsidR="00F0732F" w:rsidRDefault="00F0732F" w:rsidP="009719E4">
      <w:pPr>
        <w:spacing w:after="120" w:line="240" w:lineRule="auto"/>
        <w:rPr>
          <w:rFonts w:ascii="Times New Roman" w:hAnsi="Times New Roman" w:cs="Times New Roman"/>
          <w:sz w:val="24"/>
          <w:szCs w:val="24"/>
        </w:rPr>
      </w:pPr>
    </w:p>
    <w:p w14:paraId="33BCA332" w14:textId="77777777" w:rsidR="00F94C85" w:rsidRPr="00382AD5" w:rsidRDefault="00F94C85" w:rsidP="009719E4">
      <w:pPr>
        <w:spacing w:after="120" w:line="240" w:lineRule="auto"/>
        <w:rPr>
          <w:rFonts w:ascii="Times New Roman" w:hAnsi="Times New Roman" w:cs="Times New Roman"/>
          <w:sz w:val="24"/>
          <w:szCs w:val="24"/>
        </w:rPr>
      </w:pPr>
    </w:p>
    <w:p w14:paraId="6AF42BCD" w14:textId="77777777" w:rsidR="00F0732F" w:rsidRPr="00382AD5" w:rsidRDefault="00F0732F" w:rsidP="009719E4">
      <w:pPr>
        <w:spacing w:after="120" w:line="240" w:lineRule="auto"/>
        <w:rPr>
          <w:rFonts w:ascii="Times New Roman" w:hAnsi="Times New Roman" w:cs="Times New Roman"/>
          <w:sz w:val="24"/>
          <w:szCs w:val="24"/>
        </w:rPr>
      </w:pPr>
    </w:p>
    <w:p w14:paraId="34413AC1" w14:textId="77777777" w:rsidR="0062692C" w:rsidRPr="00382AD5" w:rsidRDefault="0062692C" w:rsidP="009719E4">
      <w:pPr>
        <w:spacing w:after="120" w:line="240" w:lineRule="auto"/>
        <w:rPr>
          <w:rFonts w:ascii="Times New Roman" w:hAnsi="Times New Roman" w:cs="Times New Roman"/>
          <w:sz w:val="24"/>
          <w:szCs w:val="24"/>
        </w:rPr>
      </w:pPr>
    </w:p>
    <w:p w14:paraId="74D67B63" w14:textId="77777777" w:rsidR="0092411B" w:rsidRPr="00382AD5" w:rsidRDefault="0092411B" w:rsidP="009719E4">
      <w:pPr>
        <w:spacing w:after="120" w:line="240" w:lineRule="auto"/>
        <w:rPr>
          <w:rFonts w:ascii="Times New Roman" w:hAnsi="Times New Roman" w:cs="Times New Roman"/>
          <w:sz w:val="24"/>
          <w:szCs w:val="24"/>
        </w:rPr>
      </w:pPr>
    </w:p>
    <w:p w14:paraId="49C238CA" w14:textId="77777777" w:rsidR="0092411B" w:rsidRPr="00382AD5" w:rsidRDefault="0092411B" w:rsidP="009719E4">
      <w:pPr>
        <w:spacing w:after="120" w:line="240" w:lineRule="auto"/>
        <w:rPr>
          <w:rFonts w:ascii="Times New Roman" w:hAnsi="Times New Roman" w:cs="Times New Roman"/>
          <w:sz w:val="24"/>
          <w:szCs w:val="24"/>
        </w:rPr>
      </w:pPr>
    </w:p>
    <w:p w14:paraId="36C33A79" w14:textId="77777777" w:rsidR="00C15E2C" w:rsidRDefault="00054150" w:rsidP="00CD731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УСЛОВИЯ ЗА КАНДИДАТСТВАНЕ </w:t>
      </w:r>
    </w:p>
    <w:p w14:paraId="0B3274F5" w14:textId="49C1A969" w:rsidR="00CD731C" w:rsidRDefault="00054150" w:rsidP="00C15E2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с проектни предложения </w:t>
      </w:r>
      <w:r w:rsidR="00C15E2C">
        <w:rPr>
          <w:rFonts w:ascii="Times New Roman" w:hAnsi="Times New Roman" w:cs="Times New Roman"/>
          <w:b/>
          <w:color w:val="auto"/>
        </w:rPr>
        <w:t>за предоставяне на безвъзмездна финансова помощ по Оперативна програма „Наука и образование за интелигентен растеж“ 2014-2020 чрез подхода ВОДЕНО ОТ ОБЩНОСТИТЕ МЕСТНО РАЗВИТИЕ</w:t>
      </w:r>
    </w:p>
    <w:p w14:paraId="1CDB11B6" w14:textId="77777777" w:rsidR="00592906" w:rsidRPr="00B94F92" w:rsidRDefault="00592906" w:rsidP="009719E4">
      <w:pPr>
        <w:spacing w:after="120" w:line="240" w:lineRule="auto"/>
        <w:jc w:val="center"/>
        <w:rPr>
          <w:rFonts w:ascii="Times New Roman" w:hAnsi="Times New Roman" w:cs="Times New Roman"/>
          <w:b/>
          <w:sz w:val="24"/>
          <w:szCs w:val="24"/>
        </w:rPr>
      </w:pPr>
    </w:p>
    <w:p w14:paraId="1B4321A6" w14:textId="77777777" w:rsidR="00592906" w:rsidRPr="00382AD5" w:rsidRDefault="00592906" w:rsidP="009719E4">
      <w:pPr>
        <w:spacing w:after="120" w:line="240" w:lineRule="auto"/>
        <w:jc w:val="center"/>
        <w:rPr>
          <w:rFonts w:ascii="Times New Roman" w:hAnsi="Times New Roman" w:cs="Times New Roman"/>
          <w:b/>
          <w:sz w:val="24"/>
          <w:szCs w:val="24"/>
        </w:rPr>
      </w:pPr>
    </w:p>
    <w:p w14:paraId="38A5C1CC" w14:textId="66054EE6" w:rsidR="0024689B" w:rsidRP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24689B">
        <w:rPr>
          <w:rFonts w:ascii="Times New Roman" w:hAnsi="Times New Roman" w:cs="Times New Roman"/>
          <w:b/>
          <w:color w:val="auto"/>
        </w:rPr>
        <w:t xml:space="preserve">Процедура </w:t>
      </w:r>
      <w:r w:rsidR="00C15E2C">
        <w:rPr>
          <w:rFonts w:ascii="Times New Roman" w:hAnsi="Times New Roman" w:cs="Times New Roman"/>
          <w:b/>
          <w:color w:val="auto"/>
        </w:rPr>
        <w:t xml:space="preserve">за предоставяне на безвъзмездна финансова помощ </w:t>
      </w:r>
      <w:r w:rsidRPr="0024689B">
        <w:rPr>
          <w:rFonts w:ascii="Times New Roman" w:hAnsi="Times New Roman" w:cs="Times New Roman"/>
          <w:b/>
          <w:color w:val="auto"/>
        </w:rPr>
        <w:t xml:space="preserve"> с </w:t>
      </w:r>
      <w:r w:rsidR="00BE2736">
        <w:rPr>
          <w:rFonts w:ascii="Times New Roman" w:hAnsi="Times New Roman" w:cs="Times New Roman"/>
          <w:b/>
          <w:color w:val="auto"/>
        </w:rPr>
        <w:t>два</w:t>
      </w:r>
      <w:r w:rsidR="003D3B92">
        <w:rPr>
          <w:rFonts w:ascii="Times New Roman" w:hAnsi="Times New Roman" w:cs="Times New Roman"/>
          <w:b/>
          <w:color w:val="auto"/>
        </w:rPr>
        <w:t xml:space="preserve"> крайни</w:t>
      </w:r>
      <w:r>
        <w:rPr>
          <w:rFonts w:ascii="Times New Roman" w:hAnsi="Times New Roman" w:cs="Times New Roman"/>
          <w:b/>
          <w:color w:val="auto"/>
        </w:rPr>
        <w:t xml:space="preserve"> срок</w:t>
      </w:r>
      <w:r w:rsidR="003D3B92">
        <w:rPr>
          <w:rFonts w:ascii="Times New Roman" w:hAnsi="Times New Roman" w:cs="Times New Roman"/>
          <w:b/>
          <w:color w:val="auto"/>
        </w:rPr>
        <w:t>а</w:t>
      </w:r>
      <w:r>
        <w:rPr>
          <w:rFonts w:ascii="Times New Roman" w:hAnsi="Times New Roman" w:cs="Times New Roman"/>
          <w:b/>
          <w:color w:val="auto"/>
        </w:rPr>
        <w:t xml:space="preserve"> </w:t>
      </w:r>
      <w:r w:rsidRPr="0024689B">
        <w:rPr>
          <w:rFonts w:ascii="Times New Roman" w:hAnsi="Times New Roman" w:cs="Times New Roman"/>
          <w:b/>
          <w:color w:val="auto"/>
        </w:rPr>
        <w:t xml:space="preserve"> за кандидатстване</w:t>
      </w:r>
    </w:p>
    <w:p w14:paraId="3FBAEC41" w14:textId="2D6B9367" w:rsid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097478">
        <w:rPr>
          <w:rFonts w:ascii="Times New Roman" w:hAnsi="Times New Roman" w:cs="Times New Roman"/>
          <w:b/>
          <w:color w:val="auto"/>
        </w:rPr>
        <w:t>BG</w:t>
      </w:r>
      <w:r w:rsidR="00097478" w:rsidRPr="00097478">
        <w:rPr>
          <w:rFonts w:ascii="Times New Roman" w:hAnsi="Times New Roman" w:cs="Times New Roman"/>
          <w:b/>
          <w:color w:val="auto"/>
          <w:lang w:val="en-US"/>
        </w:rPr>
        <w:t xml:space="preserve"> </w:t>
      </w:r>
      <w:r w:rsidR="00097478" w:rsidRPr="00097478">
        <w:rPr>
          <w:rFonts w:ascii="Times New Roman" w:hAnsi="Times New Roman" w:cs="Times New Roman"/>
          <w:b/>
          <w:color w:val="auto"/>
        </w:rPr>
        <w:t>05М2О</w:t>
      </w:r>
      <w:r w:rsidR="00097478" w:rsidRPr="00097478">
        <w:rPr>
          <w:rFonts w:ascii="Times New Roman" w:hAnsi="Times New Roman" w:cs="Times New Roman"/>
          <w:b/>
          <w:color w:val="auto"/>
          <w:lang w:val="en-US"/>
        </w:rPr>
        <w:t xml:space="preserve">P001-3.006 </w:t>
      </w:r>
      <w:r w:rsidR="00CF37F3">
        <w:rPr>
          <w:rFonts w:ascii="Times New Roman" w:hAnsi="Times New Roman" w:cs="Times New Roman"/>
          <w:b/>
          <w:color w:val="auto"/>
        </w:rPr>
        <w:t xml:space="preserve">МИГ Свиленград </w:t>
      </w:r>
      <w:r w:rsidRPr="0024689B">
        <w:rPr>
          <w:rFonts w:ascii="Times New Roman" w:hAnsi="Times New Roman" w:cs="Times New Roman"/>
          <w:b/>
          <w:color w:val="auto"/>
        </w:rPr>
        <w:t>Ареал-</w:t>
      </w:r>
      <w:r w:rsidR="00E51E84">
        <w:rPr>
          <w:rFonts w:ascii="Times New Roman" w:hAnsi="Times New Roman" w:cs="Times New Roman"/>
          <w:b/>
          <w:color w:val="auto"/>
        </w:rPr>
        <w:t xml:space="preserve">Осигуряване на достъп до качествено образование в малките населени места и </w:t>
      </w:r>
      <w:r w:rsidR="00C15E2C">
        <w:rPr>
          <w:rFonts w:ascii="Times New Roman" w:hAnsi="Times New Roman" w:cs="Times New Roman"/>
          <w:b/>
          <w:color w:val="auto"/>
        </w:rPr>
        <w:t xml:space="preserve">в </w:t>
      </w:r>
      <w:r w:rsidR="00E51E84">
        <w:rPr>
          <w:rFonts w:ascii="Times New Roman" w:hAnsi="Times New Roman" w:cs="Times New Roman"/>
          <w:b/>
          <w:color w:val="auto"/>
        </w:rPr>
        <w:t>трудно достъпните райони</w:t>
      </w:r>
    </w:p>
    <w:p w14:paraId="2F52A230" w14:textId="01064645" w:rsidR="0024689B" w:rsidRPr="00CD731C"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CD731C">
        <w:rPr>
          <w:rFonts w:ascii="Times New Roman" w:hAnsi="Times New Roman" w:cs="Times New Roman"/>
          <w:b/>
          <w:color w:val="auto"/>
        </w:rPr>
        <w:t xml:space="preserve"> </w:t>
      </w:r>
    </w:p>
    <w:p w14:paraId="796EAF6C" w14:textId="73593108" w:rsidR="00592906" w:rsidRPr="00382AD5" w:rsidRDefault="00592906" w:rsidP="0024689B">
      <w:pPr>
        <w:spacing w:after="120" w:line="240" w:lineRule="auto"/>
        <w:rPr>
          <w:rFonts w:ascii="Times New Roman" w:hAnsi="Times New Roman" w:cs="Times New Roman"/>
          <w:b/>
          <w:sz w:val="24"/>
          <w:szCs w:val="24"/>
        </w:rPr>
      </w:pPr>
    </w:p>
    <w:p w14:paraId="264CC570" w14:textId="40BF17C4" w:rsidR="00592906" w:rsidRDefault="00CE6156" w:rsidP="009719E4">
      <w:pPr>
        <w:spacing w:after="120" w:line="240" w:lineRule="auto"/>
        <w:jc w:val="center"/>
        <w:rPr>
          <w:rFonts w:ascii="Times New Roman" w:hAnsi="Times New Roman" w:cs="Times New Roman"/>
          <w:b/>
          <w:sz w:val="24"/>
          <w:szCs w:val="24"/>
        </w:rPr>
      </w:pPr>
      <w:r w:rsidRPr="00CB4819">
        <w:rPr>
          <w:rFonts w:ascii="Times New Roman" w:hAnsi="Times New Roman" w:cs="Times New Roman"/>
          <w:b/>
          <w:sz w:val="24"/>
          <w:szCs w:val="24"/>
        </w:rPr>
        <w:t>Първи краен</w:t>
      </w:r>
      <w:r w:rsidR="00C15E2C" w:rsidRPr="00CB4819">
        <w:rPr>
          <w:rFonts w:ascii="Times New Roman" w:hAnsi="Times New Roman" w:cs="Times New Roman"/>
          <w:b/>
          <w:sz w:val="24"/>
          <w:szCs w:val="24"/>
        </w:rPr>
        <w:t xml:space="preserve"> срок за кандидатстване: </w:t>
      </w:r>
      <w:r w:rsidR="00CB4819" w:rsidRPr="00CB4819">
        <w:rPr>
          <w:rFonts w:ascii="Times New Roman" w:hAnsi="Times New Roman" w:cs="Times New Roman"/>
          <w:b/>
          <w:sz w:val="24"/>
          <w:szCs w:val="24"/>
        </w:rPr>
        <w:t>30 октомври</w:t>
      </w:r>
      <w:r w:rsidR="00257AA9" w:rsidRPr="00CB4819">
        <w:rPr>
          <w:rFonts w:ascii="Times New Roman" w:hAnsi="Times New Roman" w:cs="Times New Roman"/>
          <w:b/>
          <w:sz w:val="24"/>
          <w:szCs w:val="24"/>
        </w:rPr>
        <w:t xml:space="preserve"> </w:t>
      </w:r>
      <w:r w:rsidRPr="00CB4819">
        <w:rPr>
          <w:rFonts w:ascii="Times New Roman" w:hAnsi="Times New Roman" w:cs="Times New Roman"/>
          <w:b/>
          <w:sz w:val="24"/>
          <w:szCs w:val="24"/>
        </w:rPr>
        <w:t>2019г.</w:t>
      </w:r>
    </w:p>
    <w:p w14:paraId="6965E935" w14:textId="70AE65F0" w:rsidR="00CE6156" w:rsidRPr="00382AD5" w:rsidRDefault="00CE6156" w:rsidP="009719E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Втори краен срок за кандидатстване: 10 февруари 2020г.</w:t>
      </w:r>
    </w:p>
    <w:p w14:paraId="6A3F0F42" w14:textId="77777777" w:rsidR="00592906" w:rsidRPr="00382AD5" w:rsidRDefault="00592906" w:rsidP="009719E4">
      <w:pPr>
        <w:spacing w:after="120" w:line="240" w:lineRule="auto"/>
        <w:jc w:val="center"/>
        <w:rPr>
          <w:rFonts w:ascii="Times New Roman" w:hAnsi="Times New Roman" w:cs="Times New Roman"/>
          <w:b/>
          <w:sz w:val="24"/>
          <w:szCs w:val="24"/>
        </w:rPr>
      </w:pPr>
    </w:p>
    <w:p w14:paraId="10395250" w14:textId="77777777" w:rsidR="00592906" w:rsidRDefault="00592906" w:rsidP="009719E4">
      <w:pPr>
        <w:spacing w:after="120" w:line="240" w:lineRule="auto"/>
        <w:jc w:val="center"/>
        <w:rPr>
          <w:rFonts w:ascii="Times New Roman" w:hAnsi="Times New Roman" w:cs="Times New Roman"/>
          <w:b/>
          <w:sz w:val="24"/>
          <w:szCs w:val="24"/>
        </w:rPr>
      </w:pPr>
    </w:p>
    <w:p w14:paraId="7D090E11" w14:textId="77777777" w:rsidR="003D3B92" w:rsidRDefault="003D3B92" w:rsidP="009719E4">
      <w:pPr>
        <w:spacing w:after="120" w:line="240" w:lineRule="auto"/>
        <w:jc w:val="center"/>
        <w:rPr>
          <w:rFonts w:ascii="Times New Roman" w:hAnsi="Times New Roman" w:cs="Times New Roman"/>
          <w:b/>
          <w:sz w:val="24"/>
          <w:szCs w:val="24"/>
        </w:rPr>
      </w:pPr>
    </w:p>
    <w:p w14:paraId="5F6D93B1" w14:textId="77777777" w:rsidR="003D3B92" w:rsidRDefault="003D3B92" w:rsidP="009719E4">
      <w:pPr>
        <w:spacing w:after="120" w:line="240" w:lineRule="auto"/>
        <w:jc w:val="center"/>
        <w:rPr>
          <w:rFonts w:ascii="Times New Roman" w:hAnsi="Times New Roman" w:cs="Times New Roman"/>
          <w:b/>
          <w:sz w:val="24"/>
          <w:szCs w:val="24"/>
        </w:rPr>
      </w:pPr>
    </w:p>
    <w:p w14:paraId="3B0A59F9" w14:textId="77777777" w:rsidR="00CD731C" w:rsidRPr="00E14B1D" w:rsidRDefault="00CD731C" w:rsidP="0024689B">
      <w:pPr>
        <w:spacing w:after="120" w:line="240" w:lineRule="auto"/>
        <w:rPr>
          <w:rFonts w:ascii="Times New Roman" w:hAnsi="Times New Roman" w:cs="Times New Roman"/>
          <w:b/>
          <w:sz w:val="24"/>
          <w:szCs w:val="24"/>
          <w:lang w:val="en-US"/>
        </w:rPr>
      </w:pPr>
    </w:p>
    <w:p w14:paraId="17153F16" w14:textId="62EDA8A4" w:rsidR="00166DA6" w:rsidRPr="00181D43" w:rsidRDefault="00181D43" w:rsidP="00247E88">
      <w:pPr>
        <w:pStyle w:val="af7"/>
        <w:spacing w:line="240" w:lineRule="auto"/>
        <w:jc w:val="center"/>
        <w:rPr>
          <w:sz w:val="20"/>
          <w:szCs w:val="20"/>
        </w:rPr>
      </w:pPr>
      <w:r w:rsidRPr="00181D43">
        <w:rPr>
          <w:rFonts w:ascii="Times New Roman" w:hAnsi="Times New Roman" w:cs="Times New Roman"/>
          <w:b/>
          <w:i/>
          <w:sz w:val="20"/>
          <w:szCs w:val="20"/>
        </w:rPr>
        <w:t>Настоящите Условия за кандидатстване</w:t>
      </w:r>
      <w:r w:rsidR="00A05A6B" w:rsidRPr="00181D43">
        <w:rPr>
          <w:rFonts w:ascii="Times New Roman" w:hAnsi="Times New Roman" w:cs="Times New Roman"/>
          <w:b/>
          <w:i/>
          <w:sz w:val="20"/>
          <w:szCs w:val="20"/>
        </w:rPr>
        <w:t xml:space="preserve"> са разработени </w:t>
      </w:r>
      <w:r w:rsidR="00592906" w:rsidRPr="00181D43">
        <w:rPr>
          <w:rFonts w:ascii="Times New Roman" w:hAnsi="Times New Roman" w:cs="Times New Roman"/>
          <w:b/>
          <w:i/>
          <w:sz w:val="20"/>
          <w:szCs w:val="20"/>
        </w:rPr>
        <w:t xml:space="preserve">от </w:t>
      </w:r>
      <w:r w:rsidR="0024689B" w:rsidRPr="00181D43">
        <w:rPr>
          <w:rFonts w:ascii="Times New Roman" w:hAnsi="Times New Roman" w:cs="Times New Roman"/>
          <w:b/>
          <w:i/>
          <w:sz w:val="20"/>
          <w:szCs w:val="20"/>
        </w:rPr>
        <w:t>Местна инициативна група Свиленград Ареал</w:t>
      </w:r>
      <w:r w:rsidR="00067FC8" w:rsidRPr="00181D43">
        <w:rPr>
          <w:rFonts w:ascii="Times New Roman" w:hAnsi="Times New Roman" w:cs="Times New Roman"/>
          <w:b/>
          <w:i/>
          <w:sz w:val="20"/>
          <w:szCs w:val="20"/>
        </w:rPr>
        <w:t xml:space="preserve"> </w:t>
      </w:r>
      <w:r w:rsidR="00247E88" w:rsidRPr="00181D43">
        <w:rPr>
          <w:rFonts w:ascii="Times New Roman" w:hAnsi="Times New Roman" w:cs="Times New Roman"/>
          <w:b/>
          <w:i/>
          <w:sz w:val="20"/>
          <w:szCs w:val="20"/>
        </w:rPr>
        <w:t>по реда на  чл. 25, ал.1, т.1 от ЗУСЕСИФ и чл. 2, ал.1 от ПМС №162/2016 г.</w:t>
      </w:r>
      <w:r w:rsidR="00592906" w:rsidRPr="00181D43">
        <w:rPr>
          <w:sz w:val="20"/>
          <w:szCs w:val="20"/>
        </w:rPr>
        <w:br w:type="page"/>
      </w:r>
    </w:p>
    <w:p w14:paraId="22A6087D" w14:textId="77777777" w:rsidR="00166DA6" w:rsidRDefault="00166DA6" w:rsidP="00247E88">
      <w:pPr>
        <w:pStyle w:val="af7"/>
        <w:spacing w:line="240" w:lineRule="auto"/>
        <w:jc w:val="center"/>
      </w:pPr>
    </w:p>
    <w:p w14:paraId="56A06712" w14:textId="77777777" w:rsidR="00166DA6" w:rsidRDefault="00166DA6" w:rsidP="00247E88">
      <w:pPr>
        <w:pStyle w:val="af7"/>
        <w:spacing w:line="240" w:lineRule="auto"/>
        <w:jc w:val="center"/>
      </w:pPr>
    </w:p>
    <w:p w14:paraId="629EF833" w14:textId="77777777" w:rsidR="00166DA6" w:rsidRDefault="00166DA6" w:rsidP="00247E88">
      <w:pPr>
        <w:pStyle w:val="af7"/>
        <w:spacing w:line="240" w:lineRule="auto"/>
        <w:jc w:val="center"/>
      </w:pPr>
    </w:p>
    <w:p w14:paraId="536EF992" w14:textId="2521F44E" w:rsidR="00DE7BB3" w:rsidRPr="000E3C62" w:rsidRDefault="00DE7BB3" w:rsidP="00247E88">
      <w:pPr>
        <w:pStyle w:val="af7"/>
        <w:spacing w:line="240" w:lineRule="auto"/>
        <w:jc w:val="center"/>
        <w:rPr>
          <w:rFonts w:ascii="Times New Roman" w:hAnsi="Times New Roman" w:cs="Times New Roman"/>
          <w:b/>
          <w:sz w:val="24"/>
          <w:szCs w:val="24"/>
        </w:rPr>
      </w:pPr>
      <w:r w:rsidRPr="003F0C59">
        <w:rPr>
          <w:rFonts w:ascii="Times New Roman" w:hAnsi="Times New Roman" w:cs="Times New Roman"/>
          <w:sz w:val="24"/>
          <w:szCs w:val="24"/>
        </w:rPr>
        <w:t>Съдържание:</w:t>
      </w:r>
    </w:p>
    <w:p w14:paraId="63693D5D" w14:textId="4279FEC9" w:rsidR="00DE7BB3" w:rsidRPr="00166DA6" w:rsidRDefault="00485499"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 </w:t>
      </w:r>
      <w:r w:rsidRPr="00166DA6">
        <w:rPr>
          <w:rFonts w:ascii="Times New Roman" w:hAnsi="Times New Roman" w:cs="Times New Roman"/>
          <w:sz w:val="24"/>
          <w:szCs w:val="24"/>
        </w:rPr>
        <w:t>Наименование</w:t>
      </w:r>
      <w:r w:rsidRPr="00166DA6">
        <w:rPr>
          <w:rFonts w:ascii="Times New Roman" w:hAnsi="Times New Roman" w:cs="Times New Roman"/>
          <w:sz w:val="24"/>
          <w:szCs w:val="24"/>
          <w:lang w:val="en-GB"/>
        </w:rPr>
        <w:t xml:space="preserve"> </w:t>
      </w:r>
      <w:r w:rsidRPr="00166DA6">
        <w:rPr>
          <w:rFonts w:ascii="Times New Roman" w:hAnsi="Times New Roman" w:cs="Times New Roman"/>
          <w:sz w:val="24"/>
          <w:szCs w:val="24"/>
        </w:rPr>
        <w:t xml:space="preserve">на програмата: </w:t>
      </w:r>
      <w:r w:rsidR="00DE7BB3"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p>
    <w:p w14:paraId="57640521" w14:textId="6E7F4B22"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 </w:t>
      </w:r>
      <w:r w:rsidR="00DE7BB3" w:rsidRPr="00166DA6">
        <w:rPr>
          <w:rFonts w:ascii="Times New Roman" w:hAnsi="Times New Roman" w:cs="Times New Roman"/>
          <w:sz w:val="24"/>
          <w:szCs w:val="24"/>
        </w:rPr>
        <w:t>Наименование на приоритетната ос: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3325B5DB" w14:textId="09118BA8"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3. </w:t>
      </w:r>
      <w:r w:rsidR="00DE7BB3" w:rsidRPr="00166DA6">
        <w:rPr>
          <w:rFonts w:ascii="Times New Roman" w:hAnsi="Times New Roman" w:cs="Times New Roman"/>
          <w:sz w:val="24"/>
          <w:szCs w:val="24"/>
        </w:rPr>
        <w:t>Наименование на процедурата: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8BE577E" w14:textId="354780E5"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Измерения по кодове: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92F5ACF" w14:textId="7B0C3C81"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Териториален обхват: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38BB8F77" w14:textId="0C991209"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Цели на предоставяната безвъзмездна финансова помощ по процедурата и очаквани резултати: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0E7BA106" w14:textId="0A62107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7. </w:t>
      </w:r>
      <w:r w:rsidR="00DE7BB3" w:rsidRPr="00166DA6">
        <w:rPr>
          <w:rFonts w:ascii="Times New Roman" w:hAnsi="Times New Roman" w:cs="Times New Roman"/>
          <w:sz w:val="24"/>
          <w:szCs w:val="24"/>
        </w:rPr>
        <w:t>Индикатори: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.6</w:t>
      </w:r>
      <w:r w:rsidR="00DE7BB3" w:rsidRPr="00166DA6">
        <w:rPr>
          <w:rFonts w:ascii="Times New Roman" w:hAnsi="Times New Roman" w:cs="Times New Roman"/>
          <w:sz w:val="24"/>
          <w:szCs w:val="24"/>
        </w:rPr>
        <w:t xml:space="preserve"> </w:t>
      </w:r>
    </w:p>
    <w:p w14:paraId="37DD2006" w14:textId="21C842C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8. </w:t>
      </w:r>
      <w:r w:rsidR="00DE7BB3" w:rsidRPr="00166DA6">
        <w:rPr>
          <w:rFonts w:ascii="Times New Roman" w:hAnsi="Times New Roman" w:cs="Times New Roman"/>
          <w:sz w:val="24"/>
          <w:szCs w:val="24"/>
        </w:rPr>
        <w:t>Общ размер на безвъзмездната финансова помощ по процедурата:</w:t>
      </w:r>
      <w:r w:rsidR="00F6061D">
        <w:rPr>
          <w:rFonts w:ascii="Times New Roman" w:hAnsi="Times New Roman" w:cs="Times New Roman"/>
          <w:sz w:val="24"/>
          <w:szCs w:val="24"/>
        </w:rPr>
        <w:t xml:space="preserve"> ..............................</w:t>
      </w:r>
      <w:r w:rsidR="000C6B76">
        <w:rPr>
          <w:rFonts w:ascii="Times New Roman" w:hAnsi="Times New Roman" w:cs="Times New Roman"/>
          <w:sz w:val="24"/>
          <w:szCs w:val="24"/>
        </w:rPr>
        <w:t>.</w:t>
      </w:r>
      <w:r w:rsidR="00F6061D">
        <w:rPr>
          <w:rFonts w:ascii="Times New Roman" w:hAnsi="Times New Roman" w:cs="Times New Roman"/>
          <w:sz w:val="24"/>
          <w:szCs w:val="24"/>
        </w:rPr>
        <w:t>7</w:t>
      </w:r>
    </w:p>
    <w:p w14:paraId="4096CDA8" w14:textId="07D0BA76"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9. </w:t>
      </w:r>
      <w:r w:rsidR="00DE7BB3" w:rsidRPr="00166DA6">
        <w:rPr>
          <w:rFonts w:ascii="Times New Roman" w:hAnsi="Times New Roman" w:cs="Times New Roman"/>
          <w:sz w:val="24"/>
          <w:szCs w:val="24"/>
        </w:rPr>
        <w:t>Минимален и максимален размер на безвъзмездната финансова помощ за проект</w:t>
      </w:r>
      <w:r w:rsidR="004D6A3C" w:rsidRPr="00166DA6">
        <w:rPr>
          <w:rFonts w:ascii="Times New Roman" w:hAnsi="Times New Roman" w:cs="Times New Roman"/>
          <w:sz w:val="24"/>
          <w:szCs w:val="24"/>
        </w:rPr>
        <w:t xml:space="preserve"> .....</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1D546C28" w14:textId="74AECB71"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10</w:t>
      </w:r>
      <w:r w:rsidRPr="00166DA6">
        <w:rPr>
          <w:rFonts w:ascii="Times New Roman" w:eastAsiaTheme="majorEastAsia" w:hAnsi="Times New Roman" w:cs="Times New Roman"/>
          <w:b/>
          <w:sz w:val="24"/>
          <w:szCs w:val="24"/>
        </w:rPr>
        <w:t xml:space="preserve">. </w:t>
      </w:r>
      <w:r w:rsidR="00D748CA" w:rsidRPr="00166DA6">
        <w:rPr>
          <w:rFonts w:ascii="Times New Roman" w:hAnsi="Times New Roman" w:cs="Times New Roman"/>
          <w:sz w:val="24"/>
          <w:szCs w:val="24"/>
        </w:rPr>
        <w:t>Процент на съфинансиране………………………………………………………………</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7D340EB6" w14:textId="7D403BA5"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11. </w:t>
      </w:r>
      <w:r w:rsidR="00DE7BB3" w:rsidRPr="00166DA6">
        <w:rPr>
          <w:rFonts w:ascii="Times New Roman" w:hAnsi="Times New Roman" w:cs="Times New Roman"/>
          <w:sz w:val="24"/>
          <w:szCs w:val="24"/>
        </w:rPr>
        <w:t>Допустими кандидати</w:t>
      </w:r>
      <w:r w:rsidR="00D748CA"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557A8F0D" w14:textId="07F7CFD2" w:rsidR="00DE7BB3" w:rsidRPr="00166DA6" w:rsidRDefault="00D15720"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12. </w:t>
      </w:r>
      <w:r w:rsidR="00D748CA" w:rsidRPr="00166DA6">
        <w:rPr>
          <w:rFonts w:ascii="Times New Roman" w:hAnsi="Times New Roman" w:cs="Times New Roman"/>
          <w:sz w:val="24"/>
          <w:szCs w:val="24"/>
        </w:rPr>
        <w:t>Допустими партньори</w:t>
      </w:r>
      <w:r w:rsidR="00DE7BB3"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9</w:t>
      </w:r>
    </w:p>
    <w:p w14:paraId="14703CEF" w14:textId="2F152C7F"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13. </w:t>
      </w:r>
      <w:r w:rsidR="00DE7BB3" w:rsidRPr="00166DA6">
        <w:rPr>
          <w:rFonts w:ascii="Times New Roman" w:hAnsi="Times New Roman" w:cs="Times New Roman"/>
          <w:sz w:val="24"/>
          <w:szCs w:val="24"/>
        </w:rPr>
        <w:t>Дейности, допустими за финансиране: ............................................</w:t>
      </w:r>
      <w:r w:rsidR="003F0C59" w:rsidRPr="00166DA6">
        <w:rPr>
          <w:rFonts w:ascii="Times New Roman" w:hAnsi="Times New Roman" w:cs="Times New Roman"/>
          <w:sz w:val="24"/>
          <w:szCs w:val="24"/>
        </w:rPr>
        <w:t>..............</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.12</w:t>
      </w:r>
    </w:p>
    <w:p w14:paraId="3F98D054" w14:textId="778AD42E"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Категории разходи, допустими за финансиране: .............................</w:t>
      </w:r>
      <w:r w:rsidR="003F0C59"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.16</w:t>
      </w:r>
    </w:p>
    <w:p w14:paraId="2B348B3E" w14:textId="443F3514"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Допустими целеви групи: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..27</w:t>
      </w:r>
    </w:p>
    <w:p w14:paraId="19CEA038" w14:textId="349D3B29" w:rsidR="00E6621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16</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Приложим режим на минимални/държавни помощи: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..28</w:t>
      </w:r>
    </w:p>
    <w:p w14:paraId="43841A7C" w14:textId="3F718417"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17</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Хоризонтални политики: ...................................................................</w:t>
      </w:r>
      <w:r w:rsidR="00990378"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..29</w:t>
      </w:r>
    </w:p>
    <w:p w14:paraId="3DF8EBE7" w14:textId="5EA1BA8A"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18</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Минимален и максимален срок за изпълнение на проекта: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.30</w:t>
      </w:r>
      <w:r w:rsidR="00DE7BB3" w:rsidRPr="00166DA6">
        <w:rPr>
          <w:rFonts w:ascii="Times New Roman" w:hAnsi="Times New Roman" w:cs="Times New Roman"/>
          <w:sz w:val="24"/>
          <w:szCs w:val="24"/>
        </w:rPr>
        <w:t xml:space="preserve"> </w:t>
      </w:r>
    </w:p>
    <w:p w14:paraId="604E27D1" w14:textId="5A92801F" w:rsidR="0040650E"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19</w:t>
      </w:r>
      <w:r w:rsidRPr="00166DA6">
        <w:rPr>
          <w:rFonts w:ascii="Times New Roman" w:eastAsiaTheme="majorEastAsia" w:hAnsi="Times New Roman" w:cs="Times New Roman"/>
          <w:b/>
          <w:sz w:val="24"/>
          <w:szCs w:val="24"/>
        </w:rPr>
        <w:t xml:space="preserve">. </w:t>
      </w:r>
      <w:r w:rsidR="0040650E" w:rsidRPr="00166DA6">
        <w:rPr>
          <w:rFonts w:ascii="Times New Roman" w:hAnsi="Times New Roman" w:cs="Times New Roman"/>
          <w:sz w:val="24"/>
          <w:szCs w:val="24"/>
        </w:rPr>
        <w:t>Ред за оценяване на проектни предложения………………………………</w:t>
      </w:r>
      <w:r w:rsidR="00F6061D">
        <w:rPr>
          <w:rFonts w:ascii="Times New Roman" w:hAnsi="Times New Roman" w:cs="Times New Roman"/>
          <w:sz w:val="24"/>
          <w:szCs w:val="24"/>
        </w:rPr>
        <w:t>………….</w:t>
      </w:r>
      <w:r w:rsidR="000C6B76">
        <w:rPr>
          <w:rFonts w:ascii="Times New Roman" w:hAnsi="Times New Roman" w:cs="Times New Roman"/>
          <w:sz w:val="24"/>
          <w:szCs w:val="24"/>
        </w:rPr>
        <w:t>...31</w:t>
      </w:r>
    </w:p>
    <w:p w14:paraId="5FA605D7" w14:textId="3E34CFF2"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20. </w:t>
      </w:r>
      <w:r w:rsidR="0040650E" w:rsidRPr="00166DA6">
        <w:rPr>
          <w:rFonts w:ascii="Times New Roman" w:hAnsi="Times New Roman" w:cs="Times New Roman"/>
          <w:sz w:val="24"/>
          <w:szCs w:val="24"/>
        </w:rPr>
        <w:t>Критерии и методика за оценка на проектни предложения……………………</w:t>
      </w:r>
      <w:r w:rsidR="000C6B76">
        <w:rPr>
          <w:rFonts w:ascii="Times New Roman" w:hAnsi="Times New Roman" w:cs="Times New Roman"/>
          <w:sz w:val="24"/>
          <w:szCs w:val="24"/>
        </w:rPr>
        <w:t>……..37</w:t>
      </w:r>
    </w:p>
    <w:p w14:paraId="11ED4668" w14:textId="51D7A6CF"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21</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Начин на подаване на проектните предложения........................................................</w:t>
      </w:r>
      <w:r w:rsidR="00166DA6" w:rsidRPr="00166DA6">
        <w:rPr>
          <w:rFonts w:ascii="Times New Roman" w:hAnsi="Times New Roman" w:cs="Times New Roman"/>
          <w:sz w:val="24"/>
          <w:szCs w:val="24"/>
        </w:rPr>
        <w:t>.</w:t>
      </w:r>
      <w:r w:rsidR="00EB07EE">
        <w:rPr>
          <w:rFonts w:ascii="Times New Roman" w:hAnsi="Times New Roman" w:cs="Times New Roman"/>
          <w:sz w:val="24"/>
          <w:szCs w:val="24"/>
        </w:rPr>
        <w:t>..</w:t>
      </w:r>
      <w:r w:rsidR="000C6B76">
        <w:rPr>
          <w:rFonts w:ascii="Times New Roman" w:hAnsi="Times New Roman" w:cs="Times New Roman"/>
          <w:sz w:val="24"/>
          <w:szCs w:val="24"/>
        </w:rPr>
        <w:t>.38</w:t>
      </w:r>
    </w:p>
    <w:p w14:paraId="56B2C531" w14:textId="2597A3D3"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22. </w:t>
      </w:r>
      <w:r w:rsidR="00DE7BB3" w:rsidRPr="00166DA6">
        <w:rPr>
          <w:rFonts w:ascii="Times New Roman" w:hAnsi="Times New Roman" w:cs="Times New Roman"/>
          <w:sz w:val="24"/>
          <w:szCs w:val="24"/>
        </w:rPr>
        <w:t>Списък на документите, които се подават на етап кандидатстване: ............</w:t>
      </w:r>
      <w:r w:rsidR="00F6061D">
        <w:rPr>
          <w:rFonts w:ascii="Times New Roman" w:hAnsi="Times New Roman" w:cs="Times New Roman"/>
          <w:sz w:val="24"/>
          <w:szCs w:val="24"/>
        </w:rPr>
        <w:t>..............</w:t>
      </w:r>
      <w:r w:rsidR="000C6B76">
        <w:rPr>
          <w:rFonts w:ascii="Times New Roman" w:hAnsi="Times New Roman" w:cs="Times New Roman"/>
          <w:sz w:val="24"/>
          <w:szCs w:val="24"/>
        </w:rPr>
        <w:t>.40</w:t>
      </w:r>
    </w:p>
    <w:p w14:paraId="2343D899" w14:textId="0EFF11B5"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23</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Краен срок за подаване на проектните предложения: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.42</w:t>
      </w:r>
    </w:p>
    <w:p w14:paraId="7CD9195B" w14:textId="611FEC4A" w:rsidR="005846B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Адрес за подаване на проектните предложения.........................................................</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2287D1B1" w14:textId="581FFA53" w:rsidR="003F0C59"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Допълнителна информация: ............................................................</w:t>
      </w:r>
      <w:r w:rsidR="003F0C59"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14AA6BFB" w14:textId="074A2396" w:rsidR="00247E88" w:rsidRPr="00166DA6" w:rsidRDefault="00FF5E36" w:rsidP="00247E88">
      <w:pPr>
        <w:pStyle w:val="af7"/>
        <w:spacing w:after="0" w:line="240" w:lineRule="auto"/>
        <w:jc w:val="both"/>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Приложения към Условията за кандидатстване: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....47</w:t>
      </w:r>
    </w:p>
    <w:p w14:paraId="2004F5CB" w14:textId="6A472FD0" w:rsidR="00166DA6" w:rsidRPr="00166DA6" w:rsidRDefault="00166DA6" w:rsidP="00247E88">
      <w:pPr>
        <w:pStyle w:val="af7"/>
        <w:spacing w:after="0" w:line="240" w:lineRule="auto"/>
        <w:jc w:val="both"/>
        <w:rPr>
          <w:rFonts w:ascii="Times New Roman" w:hAnsi="Times New Roman" w:cs="Times New Roman"/>
          <w:sz w:val="24"/>
          <w:szCs w:val="24"/>
        </w:rPr>
      </w:pPr>
      <w:r w:rsidRPr="00166DA6">
        <w:rPr>
          <w:rFonts w:ascii="Times New Roman" w:hAnsi="Times New Roman" w:cs="Times New Roman"/>
          <w:sz w:val="24"/>
          <w:szCs w:val="24"/>
        </w:rPr>
        <w:t>Приложение А.....................................................................................................................</w:t>
      </w:r>
      <w:r w:rsidR="003B553B">
        <w:rPr>
          <w:rFonts w:ascii="Times New Roman" w:hAnsi="Times New Roman" w:cs="Times New Roman"/>
          <w:sz w:val="24"/>
          <w:szCs w:val="24"/>
        </w:rPr>
        <w:t>....</w:t>
      </w:r>
      <w:r w:rsidR="000C6B76">
        <w:rPr>
          <w:rFonts w:ascii="Times New Roman" w:hAnsi="Times New Roman" w:cs="Times New Roman"/>
          <w:sz w:val="24"/>
          <w:szCs w:val="24"/>
        </w:rPr>
        <w:t>49</w:t>
      </w:r>
    </w:p>
    <w:p w14:paraId="42FBCB5F" w14:textId="68FD2DDC" w:rsidR="003F0C59" w:rsidRDefault="003F0C59" w:rsidP="000E3C62">
      <w:pPr>
        <w:keepNext/>
        <w:keepLines/>
        <w:spacing w:after="0" w:line="240" w:lineRule="auto"/>
        <w:jc w:val="both"/>
        <w:outlineLvl w:val="2"/>
        <w:rPr>
          <w:rFonts w:ascii="Times New Roman" w:hAnsi="Times New Roman" w:cs="Times New Roman"/>
          <w:color w:val="FF0000"/>
          <w:sz w:val="24"/>
          <w:szCs w:val="24"/>
        </w:rPr>
      </w:pPr>
      <w:r w:rsidRPr="000E3C62">
        <w:rPr>
          <w:rFonts w:ascii="Times New Roman" w:hAnsi="Times New Roman" w:cs="Times New Roman"/>
          <w:color w:val="FF0000"/>
          <w:sz w:val="24"/>
          <w:szCs w:val="24"/>
        </w:rPr>
        <w:lastRenderedPageBreak/>
        <w:tab/>
      </w:r>
    </w:p>
    <w:p w14:paraId="05FB806C"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C7A676F"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EDEC9A5"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63EA7AE2"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57915EE"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014B1F89"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A05769A"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2C6FE44" w14:textId="77777777" w:rsidR="00166DA6" w:rsidRPr="000E3C62" w:rsidRDefault="00166DA6" w:rsidP="000E3C62">
      <w:pPr>
        <w:keepNext/>
        <w:keepLines/>
        <w:spacing w:after="0" w:line="240" w:lineRule="auto"/>
        <w:jc w:val="both"/>
        <w:outlineLvl w:val="2"/>
        <w:rPr>
          <w:rFonts w:ascii="Times New Roman" w:hAnsi="Times New Roman" w:cs="Times New Roman"/>
          <w:b/>
          <w:color w:val="FF0000"/>
          <w:sz w:val="24"/>
          <w:szCs w:val="24"/>
        </w:rPr>
      </w:pPr>
    </w:p>
    <w:tbl>
      <w:tblPr>
        <w:tblStyle w:val="ad"/>
        <w:tblW w:w="10207" w:type="dxa"/>
        <w:tblInd w:w="-431" w:type="dxa"/>
        <w:tblLook w:val="04A0" w:firstRow="1" w:lastRow="0" w:firstColumn="1" w:lastColumn="0" w:noHBand="0" w:noVBand="1"/>
      </w:tblPr>
      <w:tblGrid>
        <w:gridCol w:w="10207"/>
      </w:tblGrid>
      <w:tr w:rsidR="00E85B98" w14:paraId="7E8C465B" w14:textId="77777777" w:rsidTr="00CA777C">
        <w:tc>
          <w:tcPr>
            <w:tcW w:w="10207" w:type="dxa"/>
          </w:tcPr>
          <w:p w14:paraId="33C25A11" w14:textId="4FA9AC3B" w:rsidR="00E85B98" w:rsidRPr="00071373" w:rsidRDefault="00870A71" w:rsidP="00870A71">
            <w:pPr>
              <w:pStyle w:val="2"/>
              <w:outlineLvl w:val="1"/>
              <w:rPr>
                <w:rFonts w:ascii="Times New Roman" w:hAnsi="Times New Roman" w:cs="Times New Roman"/>
                <w:b/>
                <w:color w:val="auto"/>
                <w:sz w:val="24"/>
                <w:szCs w:val="24"/>
              </w:rPr>
            </w:pPr>
            <w:r w:rsidRPr="00071373">
              <w:rPr>
                <w:rFonts w:ascii="Times New Roman" w:hAnsi="Times New Roman" w:cs="Times New Roman"/>
                <w:b/>
                <w:color w:val="auto"/>
                <w:sz w:val="24"/>
                <w:szCs w:val="24"/>
              </w:rPr>
              <w:t>1</w:t>
            </w:r>
            <w:r w:rsidRPr="005A30DA">
              <w:rPr>
                <w:rFonts w:ascii="Times New Roman" w:hAnsi="Times New Roman" w:cs="Times New Roman"/>
                <w:b/>
                <w:color w:val="auto"/>
                <w:sz w:val="24"/>
                <w:szCs w:val="24"/>
              </w:rPr>
              <w:t xml:space="preserve">. </w:t>
            </w:r>
            <w:r w:rsidRPr="00071373">
              <w:rPr>
                <w:rFonts w:ascii="Times New Roman" w:hAnsi="Times New Roman" w:cs="Times New Roman"/>
                <w:b/>
                <w:color w:val="auto"/>
                <w:sz w:val="24"/>
                <w:szCs w:val="24"/>
              </w:rPr>
              <w:t xml:space="preserve">Наименование на програмата: </w:t>
            </w:r>
          </w:p>
          <w:p w14:paraId="42061624" w14:textId="1D2292F5" w:rsidR="003D3022" w:rsidRDefault="00E85B98" w:rsidP="00870A71">
            <w:pPr>
              <w:pStyle w:val="2"/>
              <w:outlineLvl w:val="1"/>
              <w:rPr>
                <w:rFonts w:ascii="Times New Roman" w:hAnsi="Times New Roman" w:cs="Times New Roman"/>
                <w:sz w:val="24"/>
                <w:szCs w:val="24"/>
              </w:rPr>
            </w:pPr>
            <w:r w:rsidRPr="00071373">
              <w:rPr>
                <w:rFonts w:ascii="Times New Roman" w:hAnsi="Times New Roman" w:cs="Times New Roman"/>
                <w:color w:val="auto"/>
                <w:sz w:val="24"/>
                <w:szCs w:val="24"/>
              </w:rPr>
              <w:t xml:space="preserve">Оперативна програма „Наука и образование за интелигентен растеж” 2014-2020 </w:t>
            </w:r>
            <w:r w:rsidR="00536CA6" w:rsidRPr="00071373">
              <w:rPr>
                <w:rFonts w:ascii="Times New Roman" w:hAnsi="Times New Roman" w:cs="Times New Roman"/>
                <w:color w:val="auto"/>
                <w:sz w:val="24"/>
                <w:szCs w:val="24"/>
              </w:rPr>
              <w:t xml:space="preserve">г. </w:t>
            </w:r>
            <w:r w:rsidRPr="00071373">
              <w:rPr>
                <w:rFonts w:ascii="Times New Roman" w:hAnsi="Times New Roman" w:cs="Times New Roman"/>
                <w:color w:val="auto"/>
                <w:sz w:val="24"/>
                <w:szCs w:val="24"/>
              </w:rPr>
              <w:t>(ОП НОИР).</w:t>
            </w:r>
          </w:p>
        </w:tc>
      </w:tr>
      <w:tr w:rsidR="00247E88" w14:paraId="0308EAB6" w14:textId="77777777" w:rsidTr="00CA777C">
        <w:tc>
          <w:tcPr>
            <w:tcW w:w="10207" w:type="dxa"/>
          </w:tcPr>
          <w:p w14:paraId="37C105D1" w14:textId="77777777" w:rsidR="00247E88" w:rsidRPr="00071373" w:rsidRDefault="00247E88" w:rsidP="00870A71">
            <w:pPr>
              <w:pStyle w:val="2"/>
              <w:outlineLvl w:val="1"/>
              <w:rPr>
                <w:rFonts w:ascii="Times New Roman" w:hAnsi="Times New Roman" w:cs="Times New Roman"/>
                <w:b/>
                <w:color w:val="auto"/>
                <w:sz w:val="24"/>
                <w:szCs w:val="24"/>
              </w:rPr>
            </w:pPr>
          </w:p>
        </w:tc>
      </w:tr>
    </w:tbl>
    <w:p w14:paraId="667404BF" w14:textId="5785D466" w:rsidR="00392BE1" w:rsidRDefault="00392BE1"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77517EA7" w14:textId="77777777" w:rsidTr="00CA777C">
        <w:tc>
          <w:tcPr>
            <w:tcW w:w="10207" w:type="dxa"/>
          </w:tcPr>
          <w:p w14:paraId="37C27DBD" w14:textId="27D511B1" w:rsidR="00E85B98" w:rsidRPr="003D3022"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2. На</w:t>
            </w:r>
            <w:r w:rsidR="003D3022">
              <w:rPr>
                <w:rFonts w:ascii="Times New Roman" w:hAnsi="Times New Roman" w:cs="Times New Roman"/>
                <w:b/>
                <w:sz w:val="24"/>
                <w:szCs w:val="24"/>
              </w:rPr>
              <w:t>именование на приоритетната ос:</w:t>
            </w:r>
          </w:p>
          <w:p w14:paraId="3B5E980C" w14:textId="77777777"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Приоритетна ос 3</w:t>
            </w:r>
            <w:r w:rsidRPr="00392BE1">
              <w:rPr>
                <w:rFonts w:ascii="Times New Roman" w:hAnsi="Times New Roman" w:cs="Times New Roman"/>
                <w:sz w:val="24"/>
                <w:szCs w:val="24"/>
              </w:rPr>
              <w:t xml:space="preserve"> „Образователна среда за активно социално включване“.</w:t>
            </w:r>
          </w:p>
          <w:p w14:paraId="7D41933F" w14:textId="4F189EDF" w:rsid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Инвестиционен приоритет 9</w:t>
            </w:r>
            <w:r>
              <w:rPr>
                <w:rFonts w:ascii="Times New Roman" w:hAnsi="Times New Roman" w:cs="Times New Roman"/>
                <w:sz w:val="24"/>
                <w:szCs w:val="24"/>
                <w:lang w:val="en-US"/>
              </w:rPr>
              <w:t>ii</w:t>
            </w:r>
            <w:r w:rsidRPr="00E542A9">
              <w:rPr>
                <w:rFonts w:ascii="Times New Roman" w:hAnsi="Times New Roman" w:cs="Times New Roman"/>
                <w:sz w:val="24"/>
                <w:szCs w:val="24"/>
              </w:rPr>
              <w:t xml:space="preserve">. </w:t>
            </w:r>
            <w:r w:rsidRPr="00A872CA">
              <w:rPr>
                <w:rFonts w:ascii="Times New Roman" w:hAnsi="Times New Roman" w:cs="Times New Roman"/>
                <w:sz w:val="24"/>
                <w:szCs w:val="24"/>
              </w:rPr>
              <w:t xml:space="preserve">Социално-икономическо интегриране на </w:t>
            </w:r>
            <w:proofErr w:type="spellStart"/>
            <w:r w:rsidRPr="00A872CA">
              <w:rPr>
                <w:rFonts w:ascii="Times New Roman" w:hAnsi="Times New Roman" w:cs="Times New Roman"/>
                <w:sz w:val="24"/>
                <w:szCs w:val="24"/>
              </w:rPr>
              <w:t>маргинализираните</w:t>
            </w:r>
            <w:proofErr w:type="spellEnd"/>
            <w:r w:rsidRPr="00A872CA">
              <w:rPr>
                <w:rFonts w:ascii="Times New Roman" w:hAnsi="Times New Roman" w:cs="Times New Roman"/>
                <w:sz w:val="24"/>
                <w:szCs w:val="24"/>
              </w:rPr>
              <w:t xml:space="preserve"> общности като например ромите.</w:t>
            </w:r>
          </w:p>
          <w:p w14:paraId="7E93BC88" w14:textId="3CC62984" w:rsidR="00A872CA" w:rsidRP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Специфична цел 1: </w:t>
            </w:r>
            <w:r w:rsidRPr="00A872CA">
              <w:rPr>
                <w:rFonts w:ascii="Times New Roman" w:hAnsi="Times New Roman" w:cs="Times New Roman"/>
                <w:sz w:val="24"/>
                <w:szCs w:val="24"/>
              </w:rPr>
              <w:t xml:space="preserve">Повишаване броя на успешно интегрираните чрез образователната система деца и ученици от </w:t>
            </w:r>
            <w:proofErr w:type="spellStart"/>
            <w:r w:rsidRPr="00A872CA">
              <w:rPr>
                <w:rFonts w:ascii="Times New Roman" w:hAnsi="Times New Roman" w:cs="Times New Roman"/>
                <w:sz w:val="24"/>
                <w:szCs w:val="24"/>
              </w:rPr>
              <w:t>маргинализирани</w:t>
            </w:r>
            <w:proofErr w:type="spellEnd"/>
            <w:r w:rsidRPr="00A872CA">
              <w:rPr>
                <w:rFonts w:ascii="Times New Roman" w:hAnsi="Times New Roman" w:cs="Times New Roman"/>
                <w:sz w:val="24"/>
                <w:szCs w:val="24"/>
              </w:rPr>
              <w:t xml:space="preserve"> общности, включително роми</w:t>
            </w:r>
          </w:p>
          <w:p w14:paraId="3F34C8D7" w14:textId="3B2FE68F" w:rsidR="003D3022" w:rsidRDefault="003D3022" w:rsidP="009719E4">
            <w:pPr>
              <w:spacing w:after="120"/>
              <w:jc w:val="both"/>
              <w:rPr>
                <w:rFonts w:ascii="Times New Roman" w:hAnsi="Times New Roman" w:cs="Times New Roman"/>
                <w:sz w:val="24"/>
                <w:szCs w:val="24"/>
              </w:rPr>
            </w:pPr>
            <w:r>
              <w:rPr>
                <w:rFonts w:ascii="Times New Roman" w:hAnsi="Times New Roman" w:cs="Times New Roman"/>
                <w:sz w:val="24"/>
                <w:szCs w:val="24"/>
              </w:rPr>
              <w:t>Водено от общностите местно развитие</w:t>
            </w:r>
          </w:p>
          <w:p w14:paraId="36FBDCC7" w14:textId="77777777"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О</w:t>
            </w:r>
            <w:r w:rsidRPr="00392BE1">
              <w:rPr>
                <w:rFonts w:ascii="Times New Roman" w:hAnsi="Times New Roman" w:cs="Times New Roman"/>
                <w:sz w:val="24"/>
                <w:szCs w:val="24"/>
              </w:rPr>
              <w:t xml:space="preserve">перация „Осигуряване на достъп до качествено образование в малките населени места и в труднодостъпните райони“ </w:t>
            </w:r>
          </w:p>
        </w:tc>
      </w:tr>
    </w:tbl>
    <w:p w14:paraId="0C74CDFF"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7884871" w14:textId="77777777" w:rsidTr="00CA777C">
        <w:tc>
          <w:tcPr>
            <w:tcW w:w="10207" w:type="dxa"/>
          </w:tcPr>
          <w:p w14:paraId="780F76E4" w14:textId="4A94B6AD" w:rsidR="00E85B98" w:rsidRPr="00392BE1"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3. Наименование на процедурата:</w:t>
            </w:r>
          </w:p>
          <w:p w14:paraId="64167B1E" w14:textId="1923A481" w:rsidR="00E51E84" w:rsidRPr="003252C4" w:rsidRDefault="00A872CA" w:rsidP="009719E4">
            <w:pPr>
              <w:spacing w:after="120"/>
              <w:jc w:val="both"/>
              <w:rPr>
                <w:rFonts w:ascii="Times New Roman" w:hAnsi="Times New Roman" w:cs="Times New Roman"/>
                <w:sz w:val="24"/>
                <w:szCs w:val="24"/>
              </w:rPr>
            </w:pPr>
            <w:r w:rsidRPr="00E542A9">
              <w:rPr>
                <w:rFonts w:ascii="Times New Roman" w:hAnsi="Times New Roman" w:cs="Times New Roman"/>
                <w:i/>
                <w:sz w:val="24"/>
                <w:szCs w:val="24"/>
              </w:rPr>
              <w:t xml:space="preserve"> </w:t>
            </w:r>
            <w:r w:rsidR="00CF37F3">
              <w:rPr>
                <w:rFonts w:ascii="Times New Roman" w:hAnsi="Times New Roman" w:cs="Times New Roman"/>
                <w:b/>
                <w:sz w:val="24"/>
                <w:szCs w:val="24"/>
              </w:rPr>
              <w:t xml:space="preserve">МИГ Свиленград </w:t>
            </w:r>
            <w:r w:rsidR="00E51E84" w:rsidRPr="003252C4">
              <w:rPr>
                <w:rFonts w:ascii="Times New Roman" w:hAnsi="Times New Roman" w:cs="Times New Roman"/>
                <w:b/>
                <w:sz w:val="24"/>
                <w:szCs w:val="24"/>
              </w:rPr>
              <w:t xml:space="preserve">Ареал-Осигуряване на достъп до качествено образование в малките населени места и </w:t>
            </w:r>
            <w:r w:rsidR="00C15E2C">
              <w:rPr>
                <w:rFonts w:ascii="Times New Roman" w:hAnsi="Times New Roman" w:cs="Times New Roman"/>
                <w:b/>
                <w:sz w:val="24"/>
                <w:szCs w:val="24"/>
              </w:rPr>
              <w:t xml:space="preserve">в </w:t>
            </w:r>
            <w:r w:rsidR="00E51E84" w:rsidRPr="003252C4">
              <w:rPr>
                <w:rFonts w:ascii="Times New Roman" w:hAnsi="Times New Roman" w:cs="Times New Roman"/>
                <w:b/>
                <w:sz w:val="24"/>
                <w:szCs w:val="24"/>
              </w:rPr>
              <w:t>трудно достъпните райони</w:t>
            </w:r>
            <w:r w:rsidR="00E51E84" w:rsidRPr="003252C4">
              <w:rPr>
                <w:rFonts w:ascii="Times New Roman" w:hAnsi="Times New Roman" w:cs="Times New Roman"/>
                <w:sz w:val="24"/>
                <w:szCs w:val="24"/>
              </w:rPr>
              <w:t xml:space="preserve"> </w:t>
            </w:r>
          </w:p>
          <w:p w14:paraId="179F0522" w14:textId="4D7E1992" w:rsidR="00247E88" w:rsidRDefault="00247E88"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Процедурата чрез подбор на проектни предложения </w:t>
            </w:r>
            <w:r>
              <w:rPr>
                <w:rFonts w:ascii="Times New Roman" w:hAnsi="Times New Roman" w:cs="Times New Roman"/>
                <w:sz w:val="24"/>
                <w:szCs w:val="24"/>
              </w:rPr>
              <w:t xml:space="preserve">е </w:t>
            </w:r>
            <w:r w:rsidR="004A1CF7">
              <w:rPr>
                <w:rFonts w:ascii="Times New Roman" w:hAnsi="Times New Roman" w:cs="Times New Roman"/>
                <w:sz w:val="24"/>
                <w:szCs w:val="24"/>
              </w:rPr>
              <w:t>с два крайни</w:t>
            </w:r>
            <w:r w:rsidRPr="00247E88">
              <w:rPr>
                <w:rFonts w:ascii="Times New Roman" w:hAnsi="Times New Roman" w:cs="Times New Roman"/>
                <w:sz w:val="24"/>
                <w:szCs w:val="24"/>
              </w:rPr>
              <w:t xml:space="preserve"> срок</w:t>
            </w:r>
            <w:r w:rsidR="004A1CF7">
              <w:rPr>
                <w:rFonts w:ascii="Times New Roman" w:hAnsi="Times New Roman" w:cs="Times New Roman"/>
                <w:sz w:val="24"/>
                <w:szCs w:val="24"/>
              </w:rPr>
              <w:t>а</w:t>
            </w:r>
            <w:r w:rsidRPr="00247E88">
              <w:rPr>
                <w:rFonts w:ascii="Times New Roman" w:hAnsi="Times New Roman" w:cs="Times New Roman"/>
                <w:sz w:val="24"/>
                <w:szCs w:val="24"/>
              </w:rPr>
              <w:t xml:space="preserve">  за кандидатстване</w:t>
            </w:r>
            <w:r>
              <w:rPr>
                <w:rFonts w:ascii="Times New Roman" w:hAnsi="Times New Roman" w:cs="Times New Roman"/>
                <w:sz w:val="24"/>
                <w:szCs w:val="24"/>
              </w:rPr>
              <w:t>.</w:t>
            </w:r>
          </w:p>
          <w:p w14:paraId="3255FAEE" w14:textId="667B347A" w:rsidR="00164459" w:rsidRPr="00E542A9" w:rsidRDefault="00164459"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Настоящата процедура за предоставяне на безвъзмездна финансова помощ е процедура </w:t>
            </w:r>
            <w:r w:rsidR="00FA546C" w:rsidRPr="00247E88">
              <w:rPr>
                <w:rFonts w:ascii="Times New Roman" w:hAnsi="Times New Roman" w:cs="Times New Roman"/>
                <w:sz w:val="24"/>
                <w:szCs w:val="24"/>
              </w:rPr>
              <w:t xml:space="preserve">чрез подбор на проектни предложения </w:t>
            </w:r>
            <w:r w:rsidRPr="00247E88">
              <w:rPr>
                <w:rFonts w:ascii="Times New Roman" w:hAnsi="Times New Roman" w:cs="Times New Roman"/>
                <w:sz w:val="24"/>
                <w:szCs w:val="24"/>
              </w:rPr>
              <w:t>по реда на ч</w:t>
            </w:r>
            <w:r w:rsidR="00564651" w:rsidRPr="00247E88">
              <w:rPr>
                <w:rFonts w:ascii="Times New Roman" w:hAnsi="Times New Roman" w:cs="Times New Roman"/>
                <w:sz w:val="24"/>
                <w:szCs w:val="24"/>
              </w:rPr>
              <w:t>л. 25, ал.1, т.1</w:t>
            </w:r>
            <w:r w:rsidRPr="00247E88">
              <w:rPr>
                <w:rFonts w:ascii="Times New Roman" w:hAnsi="Times New Roman" w:cs="Times New Roman"/>
                <w:sz w:val="24"/>
                <w:szCs w:val="24"/>
              </w:rPr>
              <w:t xml:space="preserve"> от ЗУСЕСИФ </w:t>
            </w:r>
            <w:r w:rsidR="00564651" w:rsidRPr="00247E88">
              <w:rPr>
                <w:rFonts w:ascii="Times New Roman" w:hAnsi="Times New Roman" w:cs="Times New Roman"/>
                <w:sz w:val="24"/>
                <w:szCs w:val="24"/>
              </w:rPr>
              <w:t>и чл. 2, ал.1 от ПМС №162/2016 г.</w:t>
            </w:r>
          </w:p>
        </w:tc>
      </w:tr>
    </w:tbl>
    <w:p w14:paraId="324FD192"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4C81D489" w14:textId="77777777" w:rsidTr="00CA777C">
        <w:tc>
          <w:tcPr>
            <w:tcW w:w="10207" w:type="dxa"/>
          </w:tcPr>
          <w:p w14:paraId="3B27A28F"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4. Измерения по кодове:</w:t>
            </w:r>
          </w:p>
          <w:p w14:paraId="7A941D97" w14:textId="08A0A702"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1</w:t>
            </w:r>
            <w:r w:rsidRPr="001A232C">
              <w:rPr>
                <w:rFonts w:ascii="Times New Roman" w:hAnsi="Times New Roman" w:cs="Times New Roman"/>
                <w:sz w:val="24"/>
                <w:szCs w:val="24"/>
              </w:rPr>
              <w:t xml:space="preserve"> – Област на интервенция:</w:t>
            </w:r>
            <w:r w:rsidR="00541338">
              <w:rPr>
                <w:rFonts w:ascii="Times New Roman" w:hAnsi="Times New Roman" w:cs="Times New Roman"/>
                <w:sz w:val="24"/>
                <w:szCs w:val="24"/>
              </w:rPr>
              <w:t xml:space="preserve"> </w:t>
            </w:r>
            <w:r w:rsidR="00541338" w:rsidRPr="000E30D2">
              <w:rPr>
                <w:rFonts w:ascii="Times New Roman" w:hAnsi="Times New Roman" w:cs="Times New Roman"/>
                <w:sz w:val="24"/>
                <w:szCs w:val="24"/>
              </w:rPr>
              <w:t>110</w:t>
            </w:r>
          </w:p>
          <w:p w14:paraId="79640CB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2</w:t>
            </w:r>
            <w:r w:rsidRPr="001A232C">
              <w:rPr>
                <w:rFonts w:ascii="Times New Roman" w:hAnsi="Times New Roman" w:cs="Times New Roman"/>
                <w:sz w:val="24"/>
                <w:szCs w:val="24"/>
              </w:rPr>
              <w:t xml:space="preserve"> – Форма на финансиране: 01 Безвъзмездни средства</w:t>
            </w:r>
          </w:p>
          <w:p w14:paraId="0E49E8E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3</w:t>
            </w:r>
            <w:r w:rsidRPr="001A232C">
              <w:rPr>
                <w:rFonts w:ascii="Times New Roman" w:hAnsi="Times New Roman" w:cs="Times New Roman"/>
                <w:sz w:val="24"/>
                <w:szCs w:val="24"/>
              </w:rPr>
              <w:t xml:space="preserve"> – Вид територия: 07 Не се прилага</w:t>
            </w:r>
          </w:p>
          <w:p w14:paraId="619947C0" w14:textId="63397439" w:rsidR="00D47281"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4</w:t>
            </w:r>
            <w:r w:rsidRPr="001A232C">
              <w:rPr>
                <w:rFonts w:ascii="Times New Roman" w:hAnsi="Times New Roman" w:cs="Times New Roman"/>
                <w:sz w:val="24"/>
                <w:szCs w:val="24"/>
              </w:rPr>
              <w:t xml:space="preserve"> – Терито</w:t>
            </w:r>
            <w:r w:rsidR="00541338">
              <w:rPr>
                <w:rFonts w:ascii="Times New Roman" w:hAnsi="Times New Roman" w:cs="Times New Roman"/>
                <w:sz w:val="24"/>
                <w:szCs w:val="24"/>
              </w:rPr>
              <w:t xml:space="preserve">риални механизми за изпълнение: 06. Инициативи за </w:t>
            </w:r>
            <w:r w:rsidRPr="001A232C">
              <w:rPr>
                <w:rFonts w:ascii="Times New Roman" w:hAnsi="Times New Roman" w:cs="Times New Roman"/>
                <w:sz w:val="24"/>
                <w:szCs w:val="24"/>
              </w:rPr>
              <w:t>Водено от общностите местно развитие</w:t>
            </w:r>
          </w:p>
          <w:p w14:paraId="10880057" w14:textId="52DC7827" w:rsidR="00E85B98" w:rsidRDefault="00E85B98" w:rsidP="009719E4">
            <w:pPr>
              <w:spacing w:after="120"/>
              <w:jc w:val="both"/>
              <w:rPr>
                <w:rFonts w:ascii="Times New Roman" w:hAnsi="Times New Roman" w:cs="Times New Roman"/>
                <w:sz w:val="24"/>
                <w:szCs w:val="24"/>
              </w:rPr>
            </w:pPr>
            <w:r w:rsidRPr="00071373">
              <w:rPr>
                <w:rFonts w:ascii="Times New Roman" w:hAnsi="Times New Roman" w:cs="Times New Roman"/>
                <w:b/>
                <w:sz w:val="24"/>
                <w:szCs w:val="24"/>
              </w:rPr>
              <w:lastRenderedPageBreak/>
              <w:t>Измерение 6</w:t>
            </w:r>
            <w:r w:rsidRPr="000E30D2">
              <w:rPr>
                <w:rFonts w:ascii="Times New Roman" w:hAnsi="Times New Roman" w:cs="Times New Roman"/>
                <w:sz w:val="24"/>
                <w:szCs w:val="24"/>
              </w:rPr>
              <w:t xml:space="preserve"> - Вторична тема по ЕСФ: </w:t>
            </w:r>
            <w:r w:rsidR="00564651" w:rsidRPr="000E30D2">
              <w:rPr>
                <w:rFonts w:ascii="Times New Roman" w:hAnsi="Times New Roman" w:cs="Times New Roman"/>
                <w:sz w:val="24"/>
                <w:szCs w:val="24"/>
              </w:rPr>
              <w:t xml:space="preserve">06 </w:t>
            </w:r>
          </w:p>
        </w:tc>
      </w:tr>
    </w:tbl>
    <w:p w14:paraId="2BC357D3"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04736013" w14:textId="77777777" w:rsidTr="00CA777C">
        <w:tc>
          <w:tcPr>
            <w:tcW w:w="10207" w:type="dxa"/>
          </w:tcPr>
          <w:p w14:paraId="000CFB25"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5. Териториален обхват:</w:t>
            </w:r>
          </w:p>
          <w:p w14:paraId="56A148D1" w14:textId="1DF6AB9F" w:rsidR="00541338" w:rsidRPr="00247E88" w:rsidRDefault="00247E88" w:rsidP="00247E88">
            <w:pPr>
              <w:spacing w:after="120"/>
              <w:jc w:val="both"/>
              <w:rPr>
                <w:rFonts w:ascii="Times New Roman" w:hAnsi="Times New Roman" w:cs="Times New Roman"/>
                <w:sz w:val="24"/>
                <w:szCs w:val="24"/>
              </w:rPr>
            </w:pPr>
            <w:r w:rsidRPr="00247E88">
              <w:rPr>
                <w:rFonts w:ascii="Times New Roman" w:hAnsi="Times New Roman" w:cs="Times New Roman"/>
                <w:sz w:val="24"/>
                <w:szCs w:val="24"/>
              </w:rPr>
              <w:t>Проектите се изпълняват н</w:t>
            </w:r>
            <w:r w:rsidR="00CF37F3">
              <w:rPr>
                <w:rFonts w:ascii="Times New Roman" w:hAnsi="Times New Roman" w:cs="Times New Roman"/>
                <w:sz w:val="24"/>
                <w:szCs w:val="24"/>
              </w:rPr>
              <w:t xml:space="preserve">а територията на МИГ Свиленград </w:t>
            </w:r>
            <w:r w:rsidRPr="00247E88">
              <w:rPr>
                <w:rFonts w:ascii="Times New Roman" w:hAnsi="Times New Roman" w:cs="Times New Roman"/>
                <w:sz w:val="24"/>
                <w:szCs w:val="24"/>
              </w:rPr>
              <w:t>Ареал</w:t>
            </w:r>
          </w:p>
        </w:tc>
      </w:tr>
    </w:tbl>
    <w:p w14:paraId="59397A9D"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3EA41366" w14:textId="77777777" w:rsidTr="00CA777C">
        <w:tc>
          <w:tcPr>
            <w:tcW w:w="10207" w:type="dxa"/>
          </w:tcPr>
          <w:p w14:paraId="0D21BE57" w14:textId="7ED62981" w:rsidR="00E85B98" w:rsidRPr="006818CB" w:rsidRDefault="00E85B98" w:rsidP="00332D38">
            <w:pPr>
              <w:jc w:val="both"/>
              <w:rPr>
                <w:rFonts w:ascii="Times New Roman" w:hAnsi="Times New Roman" w:cs="Times New Roman"/>
                <w:b/>
                <w:sz w:val="24"/>
                <w:szCs w:val="24"/>
              </w:rPr>
            </w:pPr>
            <w:r w:rsidRPr="006818CB">
              <w:rPr>
                <w:rFonts w:ascii="Times New Roman" w:hAnsi="Times New Roman" w:cs="Times New Roman"/>
                <w:b/>
                <w:sz w:val="24"/>
                <w:szCs w:val="24"/>
              </w:rPr>
              <w:t>6. Цели на предоставяната безвъзмездна финансова помощ по процедурата и очаквани резултати:</w:t>
            </w:r>
          </w:p>
          <w:p w14:paraId="50826807" w14:textId="77777777" w:rsidR="00247E88" w:rsidRDefault="00247E88" w:rsidP="00332D38">
            <w:pPr>
              <w:jc w:val="both"/>
              <w:rPr>
                <w:rFonts w:ascii="Times New Roman" w:hAnsi="Times New Roman" w:cs="Times New Roman"/>
                <w:i/>
                <w:sz w:val="24"/>
                <w:szCs w:val="24"/>
              </w:rPr>
            </w:pPr>
            <w:r w:rsidRPr="00247E88">
              <w:rPr>
                <w:rFonts w:ascii="Times New Roman" w:hAnsi="Times New Roman" w:cs="Times New Roman"/>
                <w:sz w:val="24"/>
                <w:szCs w:val="24"/>
              </w:rPr>
              <w:t xml:space="preserve">Мярката е в съответствие с </w:t>
            </w:r>
            <w:r w:rsidR="00E85B98" w:rsidRPr="00247E88">
              <w:rPr>
                <w:rFonts w:ascii="Times New Roman" w:hAnsi="Times New Roman" w:cs="Times New Roman"/>
                <w:sz w:val="24"/>
                <w:szCs w:val="24"/>
              </w:rPr>
              <w:t xml:space="preserve">Приоритетна ос 3 „Образователна среда за активно социално включване“, Инвестиционен приоритет (ИП) 9.ii „Социално-икономическо интегриране на </w:t>
            </w:r>
            <w:proofErr w:type="spellStart"/>
            <w:r w:rsidR="00E85B98" w:rsidRPr="00247E88">
              <w:rPr>
                <w:rFonts w:ascii="Times New Roman" w:hAnsi="Times New Roman" w:cs="Times New Roman"/>
                <w:sz w:val="24"/>
                <w:szCs w:val="24"/>
              </w:rPr>
              <w:t>маргинализирани</w:t>
            </w:r>
            <w:proofErr w:type="spellEnd"/>
            <w:r w:rsidR="00E85B98" w:rsidRPr="00247E88">
              <w:rPr>
                <w:rFonts w:ascii="Times New Roman" w:hAnsi="Times New Roman" w:cs="Times New Roman"/>
                <w:sz w:val="24"/>
                <w:szCs w:val="24"/>
              </w:rPr>
              <w:t xml:space="preserve"> общности, като например ромите”</w:t>
            </w:r>
            <w:r w:rsidR="00496C3F" w:rsidRPr="00247E88">
              <w:rPr>
                <w:rFonts w:ascii="Times New Roman" w:hAnsi="Times New Roman" w:cs="Times New Roman"/>
                <w:sz w:val="24"/>
                <w:szCs w:val="24"/>
              </w:rPr>
              <w:t>.</w:t>
            </w:r>
            <w:r w:rsidR="00E85B98" w:rsidRPr="00247E88">
              <w:rPr>
                <w:rFonts w:ascii="Times New Roman" w:hAnsi="Times New Roman" w:cs="Times New Roman"/>
                <w:sz w:val="24"/>
                <w:szCs w:val="24"/>
              </w:rPr>
              <w:t xml:space="preserve"> </w:t>
            </w:r>
          </w:p>
          <w:p w14:paraId="29F02F08" w14:textId="05606D36" w:rsidR="00E85B98" w:rsidRPr="00E12909" w:rsidRDefault="00E85B98" w:rsidP="00332D38">
            <w:pPr>
              <w:jc w:val="both"/>
              <w:rPr>
                <w:rFonts w:ascii="Times New Roman" w:hAnsi="Times New Roman" w:cs="Times New Roman"/>
                <w:b/>
                <w:sz w:val="24"/>
                <w:szCs w:val="24"/>
              </w:rPr>
            </w:pPr>
            <w:r w:rsidRPr="00E12909">
              <w:rPr>
                <w:rFonts w:ascii="Times New Roman" w:hAnsi="Times New Roman" w:cs="Times New Roman"/>
                <w:b/>
                <w:sz w:val="24"/>
                <w:szCs w:val="24"/>
              </w:rPr>
              <w:t xml:space="preserve">Специфичната цел на ОП НОИР по ИП 9.ii e: „Повишаване броя на успешно интегрираните чрез образователната система деца и ученици от </w:t>
            </w:r>
            <w:proofErr w:type="spellStart"/>
            <w:r w:rsidRPr="00E12909">
              <w:rPr>
                <w:rFonts w:ascii="Times New Roman" w:hAnsi="Times New Roman" w:cs="Times New Roman"/>
                <w:b/>
                <w:sz w:val="24"/>
                <w:szCs w:val="24"/>
              </w:rPr>
              <w:t>маргинализирани</w:t>
            </w:r>
            <w:proofErr w:type="spellEnd"/>
            <w:r w:rsidRPr="00E12909">
              <w:rPr>
                <w:rFonts w:ascii="Times New Roman" w:hAnsi="Times New Roman" w:cs="Times New Roman"/>
                <w:b/>
                <w:sz w:val="24"/>
                <w:szCs w:val="24"/>
              </w:rPr>
              <w:t xml:space="preserve"> общности, включително роми“. </w:t>
            </w:r>
          </w:p>
          <w:p w14:paraId="606A1E53" w14:textId="653A8734" w:rsidR="00C063FF" w:rsidRPr="00203823" w:rsidRDefault="00C063FF" w:rsidP="00332D38">
            <w:pPr>
              <w:jc w:val="both"/>
              <w:rPr>
                <w:rFonts w:ascii="Times New Roman" w:hAnsi="Times New Roman" w:cs="Times New Roman"/>
                <w:sz w:val="24"/>
                <w:szCs w:val="24"/>
              </w:rPr>
            </w:pPr>
            <w:r w:rsidRPr="00203823">
              <w:rPr>
                <w:rFonts w:ascii="Times New Roman" w:hAnsi="Times New Roman" w:cs="Times New Roman"/>
                <w:b/>
                <w:sz w:val="24"/>
                <w:szCs w:val="24"/>
              </w:rPr>
              <w:t>Основната цел</w:t>
            </w:r>
            <w:r w:rsidRPr="00203823">
              <w:rPr>
                <w:rFonts w:ascii="Times New Roman" w:hAnsi="Times New Roman" w:cs="Times New Roman"/>
                <w:sz w:val="24"/>
                <w:szCs w:val="24"/>
              </w:rPr>
              <w:t xml:space="preserve"> на операцията по подхода ВОМР по ОП НОИР е подкрепа за социално включване на деца и ученици от </w:t>
            </w:r>
            <w:proofErr w:type="spellStart"/>
            <w:r w:rsidRPr="00203823">
              <w:rPr>
                <w:rFonts w:ascii="Times New Roman" w:hAnsi="Times New Roman" w:cs="Times New Roman"/>
                <w:sz w:val="24"/>
                <w:szCs w:val="24"/>
              </w:rPr>
              <w:t>маргинализираните</w:t>
            </w:r>
            <w:proofErr w:type="spellEnd"/>
            <w:r w:rsidRPr="00203823">
              <w:rPr>
                <w:rFonts w:ascii="Times New Roman" w:hAnsi="Times New Roman" w:cs="Times New Roman"/>
                <w:sz w:val="24"/>
                <w:szCs w:val="24"/>
              </w:rPr>
              <w:t xml:space="preserve"> групи чрез подобряване на достъпа им до качествено образование.</w:t>
            </w:r>
          </w:p>
          <w:p w14:paraId="1C51B493"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Специфични цели на операцията са:</w:t>
            </w:r>
          </w:p>
          <w:p w14:paraId="05892986"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а) повишаване на качеството на предучилищното и училищното образование, вкл. професионалното образование, в малките населени места;</w:t>
            </w:r>
          </w:p>
          <w:p w14:paraId="7A0A9D0B"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б) подобряване на достъпа до предучилищното и училищното образование, вкл. професионалното образование, в малките населени места;</w:t>
            </w:r>
          </w:p>
          <w:p w14:paraId="0437A503" w14:textId="77777777" w:rsidR="00E85B98"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 xml:space="preserve">в) намаляване броя на </w:t>
            </w:r>
            <w:proofErr w:type="spellStart"/>
            <w:r w:rsidRPr="00203823">
              <w:rPr>
                <w:rFonts w:ascii="Times New Roman" w:hAnsi="Times New Roman" w:cs="Times New Roman"/>
                <w:sz w:val="24"/>
                <w:szCs w:val="24"/>
              </w:rPr>
              <w:t>необхванатите</w:t>
            </w:r>
            <w:proofErr w:type="spellEnd"/>
            <w:r w:rsidRPr="00203823">
              <w:rPr>
                <w:rFonts w:ascii="Times New Roman" w:hAnsi="Times New Roman" w:cs="Times New Roman"/>
                <w:sz w:val="24"/>
                <w:szCs w:val="24"/>
              </w:rPr>
              <w:t xml:space="preserve"> от образователната система, на отпадащите от училище и на преждевременно напусналите училище.</w:t>
            </w:r>
          </w:p>
          <w:p w14:paraId="48715E7A" w14:textId="77777777" w:rsidR="007228F3" w:rsidRPr="007228F3" w:rsidRDefault="007228F3" w:rsidP="00332D38">
            <w:pPr>
              <w:jc w:val="both"/>
              <w:rPr>
                <w:rFonts w:ascii="Times New Roman" w:hAnsi="Times New Roman" w:cs="Times New Roman"/>
                <w:b/>
                <w:sz w:val="24"/>
                <w:szCs w:val="24"/>
              </w:rPr>
            </w:pPr>
            <w:r w:rsidRPr="007228F3">
              <w:rPr>
                <w:rFonts w:ascii="Times New Roman" w:hAnsi="Times New Roman" w:cs="Times New Roman"/>
                <w:b/>
                <w:sz w:val="24"/>
                <w:szCs w:val="24"/>
              </w:rPr>
              <w:t xml:space="preserve">Съответствие със спецификите на територията: </w:t>
            </w:r>
          </w:p>
          <w:p w14:paraId="5061D022" w14:textId="6EBCDF76" w:rsid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В образователната си</w:t>
            </w:r>
            <w:r w:rsidR="007D5D9A">
              <w:rPr>
                <w:rFonts w:ascii="Times New Roman" w:hAnsi="Times New Roman" w:cs="Times New Roman"/>
                <w:sz w:val="24"/>
                <w:szCs w:val="24"/>
              </w:rPr>
              <w:t>с</w:t>
            </w:r>
            <w:r w:rsidRPr="00203823">
              <w:rPr>
                <w:rFonts w:ascii="Times New Roman" w:hAnsi="Times New Roman" w:cs="Times New Roman"/>
                <w:sz w:val="24"/>
                <w:szCs w:val="24"/>
              </w:rPr>
              <w:t xml:space="preserve">тема на </w:t>
            </w:r>
            <w:r w:rsidR="00CF37F3">
              <w:rPr>
                <w:rFonts w:ascii="Times New Roman" w:hAnsi="Times New Roman" w:cs="Times New Roman"/>
                <w:sz w:val="24"/>
                <w:szCs w:val="24"/>
              </w:rPr>
              <w:t xml:space="preserve">територията на МИГ Свиленград Ареал </w:t>
            </w:r>
            <w:r w:rsidRPr="00203823">
              <w:rPr>
                <w:rFonts w:ascii="Times New Roman" w:hAnsi="Times New Roman" w:cs="Times New Roman"/>
                <w:sz w:val="24"/>
                <w:szCs w:val="24"/>
              </w:rPr>
              <w:t xml:space="preserve"> са създадени практически условия за реализиране на изискването за социално включване н</w:t>
            </w:r>
            <w:r w:rsidR="007D5D9A">
              <w:rPr>
                <w:rFonts w:ascii="Times New Roman" w:hAnsi="Times New Roman" w:cs="Times New Roman"/>
                <w:sz w:val="24"/>
                <w:szCs w:val="24"/>
              </w:rPr>
              <w:t>а децата и учениците от малцинс</w:t>
            </w:r>
            <w:r w:rsidRPr="00203823">
              <w:rPr>
                <w:rFonts w:ascii="Times New Roman" w:hAnsi="Times New Roman" w:cs="Times New Roman"/>
                <w:sz w:val="24"/>
                <w:szCs w:val="24"/>
              </w:rPr>
              <w:t>твените етнически групи.</w:t>
            </w:r>
            <w:r w:rsidR="00A87794">
              <w:rPr>
                <w:rFonts w:ascii="Times New Roman" w:hAnsi="Times New Roman" w:cs="Times New Roman"/>
                <w:sz w:val="24"/>
                <w:szCs w:val="24"/>
              </w:rPr>
              <w:t xml:space="preserve"> </w:t>
            </w:r>
            <w:r w:rsidRPr="00203823">
              <w:rPr>
                <w:rFonts w:ascii="Times New Roman" w:hAnsi="Times New Roman" w:cs="Times New Roman"/>
                <w:sz w:val="24"/>
                <w:szCs w:val="24"/>
              </w:rPr>
              <w:t xml:space="preserve">Въпреки това, продължава тенденцията на ежегодно отпадане на младежите от училище, без завършен 8-ми клас. Преобладаващата част отново са от ромски произход, най-вече в основното училище в </w:t>
            </w:r>
            <w:r w:rsidRPr="00DF6B3E">
              <w:rPr>
                <w:rFonts w:ascii="Times New Roman" w:hAnsi="Times New Roman" w:cs="Times New Roman"/>
                <w:sz w:val="24"/>
                <w:szCs w:val="24"/>
              </w:rPr>
              <w:t>селата. Това предопределя по-ниския образователен и квалификационен статус на цялата об</w:t>
            </w:r>
            <w:r w:rsidR="007D5D9A" w:rsidRPr="00DF6B3E">
              <w:rPr>
                <w:rFonts w:ascii="Times New Roman" w:hAnsi="Times New Roman" w:cs="Times New Roman"/>
                <w:sz w:val="24"/>
                <w:szCs w:val="24"/>
              </w:rPr>
              <w:t>щност. Относителният дял на нег</w:t>
            </w:r>
            <w:r w:rsidRPr="00DF6B3E">
              <w:rPr>
                <w:rFonts w:ascii="Times New Roman" w:hAnsi="Times New Roman" w:cs="Times New Roman"/>
                <w:sz w:val="24"/>
                <w:szCs w:val="24"/>
              </w:rPr>
              <w:t xml:space="preserve">рамотните лица (неумението да се чете или пише) е 1.5 %, като основна част от това население е от ромски произход. В ромската етническа група няма представител със завършено висше образование, едва 3,1% са със завършено средно, 53,8% са с начално и незавършено начално, 11% никога не са посещавали училище. За преодоляване на проблема на общинско ниво действат редица програми и мерки, които ще </w:t>
            </w:r>
            <w:r w:rsidR="00A87794" w:rsidRPr="00DF6B3E">
              <w:rPr>
                <w:rFonts w:ascii="Times New Roman" w:hAnsi="Times New Roman" w:cs="Times New Roman"/>
                <w:sz w:val="24"/>
                <w:szCs w:val="24"/>
              </w:rPr>
              <w:t>действат комплексно заедно с процеду</w:t>
            </w:r>
            <w:r w:rsidR="00A87794">
              <w:rPr>
                <w:rFonts w:ascii="Times New Roman" w:hAnsi="Times New Roman" w:cs="Times New Roman"/>
                <w:sz w:val="24"/>
                <w:szCs w:val="24"/>
              </w:rPr>
              <w:t xml:space="preserve">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A87794">
              <w:rPr>
                <w:rFonts w:ascii="Times New Roman" w:hAnsi="Times New Roman" w:cs="Times New Roman"/>
                <w:sz w:val="24"/>
                <w:szCs w:val="24"/>
              </w:rPr>
              <w:t>.</w:t>
            </w:r>
          </w:p>
          <w:p w14:paraId="6C3E9454" w14:textId="5B85BD85"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lang w:val="en-US"/>
              </w:rPr>
              <w:t>Очаквани</w:t>
            </w:r>
            <w:proofErr w:type="spellEnd"/>
            <w:r w:rsidRPr="007228F3">
              <w:rPr>
                <w:rFonts w:ascii="Times New Roman" w:hAnsi="Times New Roman" w:cs="Times New Roman"/>
                <w:b/>
                <w:sz w:val="24"/>
                <w:szCs w:val="24"/>
                <w:lang w:val="en-US"/>
              </w:rPr>
              <w:t xml:space="preserve"> </w:t>
            </w:r>
            <w:proofErr w:type="spellStart"/>
            <w:r w:rsidRPr="007228F3">
              <w:rPr>
                <w:rFonts w:ascii="Times New Roman" w:hAnsi="Times New Roman" w:cs="Times New Roman"/>
                <w:b/>
                <w:sz w:val="24"/>
                <w:szCs w:val="24"/>
                <w:lang w:val="en-US"/>
              </w:rPr>
              <w:t>резултати</w:t>
            </w:r>
            <w:proofErr w:type="spellEnd"/>
            <w:r w:rsidRPr="007228F3">
              <w:rPr>
                <w:rFonts w:ascii="Times New Roman" w:hAnsi="Times New Roman" w:cs="Times New Roman"/>
                <w:b/>
                <w:sz w:val="24"/>
                <w:szCs w:val="24"/>
                <w:lang w:val="en-US"/>
              </w:rPr>
              <w:t>:</w:t>
            </w:r>
          </w:p>
          <w:p w14:paraId="64B38E3C" w14:textId="0BC40557" w:rsidR="00203823" w:rsidRP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Очакваният принос</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от прилагане на </w:t>
            </w:r>
            <w:r w:rsidR="00A87794" w:rsidRPr="00A87794">
              <w:rPr>
                <w:rFonts w:ascii="Times New Roman" w:hAnsi="Times New Roman" w:cs="Times New Roman"/>
                <w:sz w:val="24"/>
                <w:szCs w:val="24"/>
              </w:rPr>
              <w:t xml:space="preserve">процедурата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C15E2C">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C15E2C">
              <w:rPr>
                <w:rFonts w:ascii="Times New Roman" w:hAnsi="Times New Roman" w:cs="Times New Roman"/>
                <w:sz w:val="24"/>
                <w:szCs w:val="24"/>
              </w:rPr>
              <w:t>“</w:t>
            </w:r>
            <w:r w:rsidR="00E51E84" w:rsidRPr="00E51E84">
              <w:rPr>
                <w:rFonts w:ascii="Times New Roman" w:hAnsi="Times New Roman" w:cs="Times New Roman"/>
                <w:sz w:val="24"/>
                <w:szCs w:val="24"/>
              </w:rPr>
              <w:t xml:space="preserve"> </w:t>
            </w:r>
            <w:r w:rsidRPr="00203823">
              <w:rPr>
                <w:rFonts w:ascii="Times New Roman" w:hAnsi="Times New Roman" w:cs="Times New Roman"/>
                <w:sz w:val="24"/>
                <w:szCs w:val="24"/>
              </w:rPr>
              <w:t>е осигуряване на условия за ранното интегриране в образо</w:t>
            </w:r>
            <w:r>
              <w:rPr>
                <w:rFonts w:ascii="Times New Roman" w:hAnsi="Times New Roman" w:cs="Times New Roman"/>
                <w:sz w:val="24"/>
                <w:szCs w:val="24"/>
              </w:rPr>
              <w:t>вателната система на деца и уче</w:t>
            </w:r>
            <w:r w:rsidRPr="00203823">
              <w:rPr>
                <w:rFonts w:ascii="Times New Roman" w:hAnsi="Times New Roman" w:cs="Times New Roman"/>
                <w:sz w:val="24"/>
                <w:szCs w:val="24"/>
              </w:rPr>
              <w:t>ници от</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ромската общност, осигуряване на условия за достъп до качествено образование, подобряване на материалните условия, условия за намаляване </w:t>
            </w:r>
            <w:r w:rsidRPr="00203823">
              <w:rPr>
                <w:rFonts w:ascii="Times New Roman" w:hAnsi="Times New Roman" w:cs="Times New Roman"/>
                <w:sz w:val="24"/>
                <w:szCs w:val="24"/>
              </w:rPr>
              <w:lastRenderedPageBreak/>
              <w:t>броя на обособените по етнически признак детски градини и училища, условия з</w:t>
            </w:r>
            <w:r>
              <w:rPr>
                <w:rFonts w:ascii="Times New Roman" w:hAnsi="Times New Roman" w:cs="Times New Roman"/>
                <w:sz w:val="24"/>
                <w:szCs w:val="24"/>
              </w:rPr>
              <w:t>а увеличаване броя на интегрира</w:t>
            </w:r>
            <w:r w:rsidRPr="00203823">
              <w:rPr>
                <w:rFonts w:ascii="Times New Roman" w:hAnsi="Times New Roman" w:cs="Times New Roman"/>
                <w:sz w:val="24"/>
                <w:szCs w:val="24"/>
              </w:rPr>
              <w:t>ните ученици, запазване и развитие на културната идентичност и осигуряване на среда за преодоляване на негативни обществени нагласи</w:t>
            </w:r>
            <w:r w:rsidR="00A87794">
              <w:rPr>
                <w:rFonts w:ascii="Times New Roman" w:hAnsi="Times New Roman" w:cs="Times New Roman"/>
                <w:sz w:val="24"/>
                <w:szCs w:val="24"/>
              </w:rPr>
              <w:t>.</w:t>
            </w:r>
          </w:p>
          <w:p w14:paraId="00E26391" w14:textId="54AFEA62" w:rsidR="00AD731B"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Всички проекти задължително се осъществяват съгласувано с Общинските планове за интеграция на р</w:t>
            </w:r>
            <w:r w:rsidR="00203823">
              <w:rPr>
                <w:rFonts w:ascii="Times New Roman" w:hAnsi="Times New Roman" w:cs="Times New Roman"/>
                <w:sz w:val="24"/>
                <w:szCs w:val="24"/>
              </w:rPr>
              <w:t>омите на територията на община Свиленград</w:t>
            </w:r>
            <w:r w:rsidRPr="00203823">
              <w:rPr>
                <w:rFonts w:ascii="Times New Roman" w:hAnsi="Times New Roman" w:cs="Times New Roman"/>
                <w:sz w:val="24"/>
                <w:szCs w:val="24"/>
              </w:rPr>
              <w:t xml:space="preserve"> и други стратегии, планове и програми, изпълнявани на тер</w:t>
            </w:r>
            <w:r w:rsidR="00203823">
              <w:rPr>
                <w:rFonts w:ascii="Times New Roman" w:hAnsi="Times New Roman" w:cs="Times New Roman"/>
                <w:sz w:val="24"/>
                <w:szCs w:val="24"/>
              </w:rPr>
              <w:t xml:space="preserve">иторията на </w:t>
            </w:r>
            <w:r w:rsidRPr="00203823">
              <w:rPr>
                <w:rFonts w:ascii="Times New Roman" w:hAnsi="Times New Roman" w:cs="Times New Roman"/>
                <w:sz w:val="24"/>
                <w:szCs w:val="24"/>
              </w:rPr>
              <w:t xml:space="preserve"> община </w:t>
            </w:r>
            <w:r w:rsidR="00203823">
              <w:rPr>
                <w:rFonts w:ascii="Times New Roman" w:hAnsi="Times New Roman" w:cs="Times New Roman"/>
                <w:sz w:val="24"/>
                <w:szCs w:val="24"/>
              </w:rPr>
              <w:t xml:space="preserve"> Свиленград </w:t>
            </w:r>
            <w:r w:rsidR="00FC6413">
              <w:rPr>
                <w:rFonts w:ascii="Times New Roman" w:hAnsi="Times New Roman" w:cs="Times New Roman"/>
                <w:sz w:val="24"/>
                <w:szCs w:val="24"/>
              </w:rPr>
              <w:t>в обхвата на стратегията</w:t>
            </w:r>
            <w:r w:rsidRPr="00203823">
              <w:rPr>
                <w:rFonts w:ascii="Times New Roman" w:hAnsi="Times New Roman" w:cs="Times New Roman"/>
                <w:sz w:val="24"/>
                <w:szCs w:val="24"/>
              </w:rPr>
              <w:t xml:space="preserve"> за ВОМР на МИГ</w:t>
            </w:r>
            <w:r w:rsidR="00FC6413">
              <w:rPr>
                <w:rFonts w:ascii="Times New Roman" w:hAnsi="Times New Roman" w:cs="Times New Roman"/>
                <w:sz w:val="24"/>
                <w:szCs w:val="24"/>
              </w:rPr>
              <w:t xml:space="preserve"> </w:t>
            </w:r>
            <w:r w:rsidR="00FC6413" w:rsidRPr="00CF37F3">
              <w:rPr>
                <w:rFonts w:ascii="Times New Roman" w:hAnsi="Times New Roman" w:cs="Times New Roman"/>
                <w:sz w:val="24"/>
                <w:szCs w:val="24"/>
              </w:rPr>
              <w:t>Свиленград Ареал</w:t>
            </w:r>
            <w:r w:rsidRPr="00CF37F3">
              <w:rPr>
                <w:rFonts w:ascii="Times New Roman" w:hAnsi="Times New Roman" w:cs="Times New Roman"/>
                <w:sz w:val="24"/>
                <w:szCs w:val="24"/>
              </w:rPr>
              <w:t>.</w:t>
            </w:r>
          </w:p>
          <w:p w14:paraId="34C472E1" w14:textId="68C770C3"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rPr>
              <w:t>Демаркация</w:t>
            </w:r>
            <w:proofErr w:type="spellEnd"/>
            <w:r w:rsidRPr="007228F3">
              <w:rPr>
                <w:rFonts w:ascii="Times New Roman" w:hAnsi="Times New Roman" w:cs="Times New Roman"/>
                <w:b/>
                <w:sz w:val="24"/>
                <w:szCs w:val="24"/>
              </w:rPr>
              <w:t>:</w:t>
            </w:r>
          </w:p>
          <w:p w14:paraId="6DAC8A87" w14:textId="77777777" w:rsidR="00071373" w:rsidRDefault="00071373" w:rsidP="00332D38">
            <w:pPr>
              <w:jc w:val="both"/>
              <w:rPr>
                <w:rFonts w:ascii="Times New Roman" w:hAnsi="Times New Roman" w:cs="Times New Roman"/>
                <w:sz w:val="24"/>
                <w:szCs w:val="24"/>
              </w:rPr>
            </w:pPr>
            <w:r>
              <w:rPr>
                <w:rFonts w:ascii="Times New Roman" w:hAnsi="Times New Roman" w:cs="Times New Roman"/>
                <w:b/>
                <w:sz w:val="24"/>
                <w:szCs w:val="24"/>
              </w:rPr>
              <w:t>ВАЖНО!</w:t>
            </w:r>
            <w:r w:rsidR="00564651">
              <w:rPr>
                <w:rFonts w:ascii="Times New Roman" w:hAnsi="Times New Roman" w:cs="Times New Roman"/>
                <w:sz w:val="24"/>
                <w:szCs w:val="24"/>
              </w:rPr>
              <w:t xml:space="preserve"> </w:t>
            </w:r>
          </w:p>
          <w:p w14:paraId="2F4B20F0" w14:textId="0F4B547B" w:rsidR="00564651" w:rsidRPr="00E2779E" w:rsidRDefault="00564651" w:rsidP="00332D38">
            <w:pPr>
              <w:jc w:val="both"/>
              <w:rPr>
                <w:rFonts w:ascii="Times New Roman" w:hAnsi="Times New Roman" w:cs="Times New Roman"/>
                <w:b/>
                <w:sz w:val="24"/>
                <w:szCs w:val="24"/>
              </w:rPr>
            </w:pPr>
            <w:r w:rsidRPr="00E2779E">
              <w:rPr>
                <w:rFonts w:ascii="Times New Roman" w:hAnsi="Times New Roman" w:cs="Times New Roman"/>
                <w:b/>
                <w:sz w:val="24"/>
                <w:szCs w:val="24"/>
              </w:rPr>
              <w:t>По настоящата процедура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0AAFE3C" w14:textId="350EFE1F" w:rsidR="00D247BF" w:rsidRDefault="00B01EDC" w:rsidP="00332D38">
            <w:pPr>
              <w:jc w:val="both"/>
              <w:rPr>
                <w:rFonts w:ascii="Times New Roman" w:hAnsi="Times New Roman" w:cs="Times New Roman"/>
                <w:sz w:val="24"/>
                <w:szCs w:val="24"/>
                <w:lang w:val="en-US"/>
              </w:rPr>
            </w:pPr>
            <w:r>
              <w:rPr>
                <w:rFonts w:ascii="Times New Roman" w:hAnsi="Times New Roman" w:cs="Times New Roman"/>
                <w:sz w:val="24"/>
                <w:szCs w:val="24"/>
              </w:rPr>
              <w:t xml:space="preserve">ОП НОИР и ОП РЧР, </w:t>
            </w:r>
            <w:r w:rsidRPr="00B01EDC">
              <w:rPr>
                <w:rFonts w:ascii="Times New Roman" w:hAnsi="Times New Roman" w:cs="Times New Roman"/>
                <w:sz w:val="24"/>
                <w:szCs w:val="24"/>
              </w:rPr>
              <w:t xml:space="preserve"> имат редица пресечни точки, а именно: финансират се от ЕСФ,  имат идентични инвестиционни </w:t>
            </w:r>
            <w:r w:rsidR="00A87794">
              <w:rPr>
                <w:rFonts w:ascii="Times New Roman" w:hAnsi="Times New Roman" w:cs="Times New Roman"/>
                <w:sz w:val="24"/>
                <w:szCs w:val="24"/>
              </w:rPr>
              <w:t xml:space="preserve"> </w:t>
            </w:r>
            <w:r w:rsidRPr="00B01EDC">
              <w:rPr>
                <w:rFonts w:ascii="Times New Roman" w:hAnsi="Times New Roman" w:cs="Times New Roman"/>
                <w:sz w:val="24"/>
                <w:szCs w:val="24"/>
              </w:rPr>
              <w:t xml:space="preserve">приоритети – ИП 9.ii  на ОП НОИР и ИП 2.1. на ОП РЧР, допринасят за постигане на цели, заложени в редица рамкови и стратегически документи (Националната стратегия на Република България за интегриране на ромите (2012-2020); Националната стратегия за учене през целия живот за периода 2014-2020 г.; </w:t>
            </w:r>
            <w:r w:rsidR="00C75142" w:rsidRPr="00C75142">
              <w:rPr>
                <w:rFonts w:ascii="Times New Roman" w:hAnsi="Times New Roman" w:cs="Times New Roman"/>
                <w:sz w:val="24"/>
                <w:szCs w:val="24"/>
              </w:rPr>
              <w:t>Националната стратегия в областта на миграцията, убежището и интеграцията (2011-2020) и др</w:t>
            </w:r>
            <w:r w:rsidR="00C75142">
              <w:rPr>
                <w:rFonts w:ascii="Times New Roman" w:hAnsi="Times New Roman" w:cs="Times New Roman"/>
                <w:sz w:val="24"/>
                <w:szCs w:val="24"/>
              </w:rPr>
              <w:t xml:space="preserve">. </w:t>
            </w:r>
          </w:p>
          <w:p w14:paraId="5642B6CB" w14:textId="7D35DD8A" w:rsidR="003239F8" w:rsidRPr="00E2779E" w:rsidRDefault="003239F8" w:rsidP="00332D38">
            <w:pPr>
              <w:jc w:val="both"/>
              <w:rPr>
                <w:rFonts w:ascii="Times New Roman" w:hAnsi="Times New Roman" w:cs="Times New Roman"/>
                <w:sz w:val="24"/>
                <w:szCs w:val="24"/>
              </w:rPr>
            </w:pPr>
            <w:proofErr w:type="spellStart"/>
            <w:r w:rsidRPr="00E2779E">
              <w:rPr>
                <w:rFonts w:ascii="Times New Roman" w:hAnsi="Times New Roman" w:cs="Times New Roman"/>
                <w:sz w:val="24"/>
                <w:szCs w:val="24"/>
                <w:lang w:val="en-US"/>
              </w:rPr>
              <w:t>Настоящата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операция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надгради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постигнатите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резултати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проекти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програми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средства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националния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бюджет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Европейския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съюз</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източници</w:t>
            </w:r>
            <w:proofErr w:type="spellEnd"/>
            <w:r w:rsidRPr="00E2779E">
              <w:rPr>
                <w:rFonts w:ascii="Times New Roman" w:hAnsi="Times New Roman" w:cs="Times New Roman"/>
                <w:sz w:val="24"/>
                <w:szCs w:val="24"/>
                <w:lang w:val="en-US"/>
              </w:rPr>
              <w:t xml:space="preserve">. С </w:t>
            </w:r>
            <w:proofErr w:type="spellStart"/>
            <w:r w:rsidRPr="00E2779E">
              <w:rPr>
                <w:rFonts w:ascii="Times New Roman" w:hAnsi="Times New Roman" w:cs="Times New Roman"/>
                <w:sz w:val="24"/>
                <w:szCs w:val="24"/>
                <w:lang w:val="en-US"/>
              </w:rPr>
              <w:t>оглед</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спазване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демаркацията</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като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най-маргинализираните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процедура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Социално-икономическа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уязвими</w:t>
            </w:r>
            <w:proofErr w:type="spellEnd"/>
            <w:r w:rsidRPr="00E2779E">
              <w:rPr>
                <w:rFonts w:ascii="Times New Roman" w:hAnsi="Times New Roman" w:cs="Times New Roman"/>
                <w:sz w:val="24"/>
                <w:szCs w:val="24"/>
                <w:lang w:val="en-US"/>
              </w:rPr>
              <w:t xml:space="preserve"> </w:t>
            </w:r>
            <w:proofErr w:type="spellStart"/>
            <w:proofErr w:type="gramStart"/>
            <w:r w:rsidRPr="00E2779E">
              <w:rPr>
                <w:rFonts w:ascii="Times New Roman" w:hAnsi="Times New Roman" w:cs="Times New Roman"/>
                <w:sz w:val="24"/>
                <w:szCs w:val="24"/>
                <w:lang w:val="en-US"/>
              </w:rPr>
              <w:t>групи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proofErr w:type="gram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предвижда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изпълнявани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включващи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подобряване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заетост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здравни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както</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развитието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местните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преодоляването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негативни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стереотипи</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инициативи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осигуряване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на </w:t>
            </w:r>
            <w:r w:rsidRPr="00E2779E">
              <w:rPr>
                <w:rFonts w:ascii="Times New Roman" w:hAnsi="Times New Roman" w:cs="Times New Roman"/>
                <w:sz w:val="24"/>
                <w:szCs w:val="24"/>
              </w:rPr>
              <w:t xml:space="preserve">безработни лица. </w:t>
            </w:r>
            <w:r w:rsidRPr="00E2779E">
              <w:rPr>
                <w:rFonts w:ascii="Times New Roman" w:hAnsi="Times New Roman" w:cs="Times New Roman"/>
                <w:sz w:val="24"/>
                <w:szCs w:val="24"/>
                <w:lang w:val="en-US"/>
              </w:rPr>
              <w:t xml:space="preserve">  </w:t>
            </w:r>
            <w:r w:rsidR="00CD0306" w:rsidRPr="00E2779E">
              <w:rPr>
                <w:rFonts w:ascii="Times New Roman" w:hAnsi="Times New Roman" w:cs="Times New Roman"/>
                <w:sz w:val="24"/>
                <w:szCs w:val="24"/>
              </w:rPr>
              <w:t xml:space="preserve">По </w:t>
            </w:r>
            <w:r w:rsidRPr="00E2779E">
              <w:rPr>
                <w:rFonts w:ascii="Times New Roman" w:hAnsi="Times New Roman" w:cs="Times New Roman"/>
                <w:sz w:val="24"/>
                <w:szCs w:val="24"/>
                <w:lang w:val="en-US"/>
              </w:rPr>
              <w:t xml:space="preserve">ОП РЧР </w:t>
            </w:r>
            <w:proofErr w:type="spellStart"/>
            <w:r w:rsidRPr="00E2779E">
              <w:rPr>
                <w:rFonts w:ascii="Times New Roman" w:hAnsi="Times New Roman" w:cs="Times New Roman"/>
                <w:sz w:val="24"/>
                <w:szCs w:val="24"/>
                <w:lang w:val="en-US"/>
              </w:rPr>
              <w:t>няма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осъществяващи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територията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детската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или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които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формалния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образователен</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детските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училищата</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т.ч</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превенция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отпадането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линия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ОП НОИР</w:t>
            </w:r>
            <w:r w:rsidRPr="00E2779E">
              <w:rPr>
                <w:rFonts w:ascii="Times New Roman" w:hAnsi="Times New Roman" w:cs="Times New Roman"/>
                <w:sz w:val="24"/>
                <w:szCs w:val="24"/>
              </w:rPr>
              <w:t>.</w:t>
            </w:r>
            <w:r w:rsidRPr="00E2779E">
              <w:rPr>
                <w:rFonts w:ascii="Times New Roman" w:hAnsi="Times New Roman" w:cs="Times New Roman"/>
                <w:sz w:val="24"/>
                <w:szCs w:val="24"/>
                <w:lang w:val="en-US"/>
              </w:rPr>
              <w:t xml:space="preserve"> </w:t>
            </w:r>
          </w:p>
          <w:p w14:paraId="6A82D162" w14:textId="4774D751" w:rsidR="00D247BF" w:rsidRPr="003239F8" w:rsidRDefault="003239F8" w:rsidP="00332D38">
            <w:pPr>
              <w:jc w:val="both"/>
              <w:rPr>
                <w:rFonts w:ascii="Times New Roman" w:hAnsi="Times New Roman" w:cs="Times New Roman"/>
                <w:sz w:val="24"/>
                <w:szCs w:val="24"/>
              </w:rPr>
            </w:pP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w:t>
            </w:r>
            <w:proofErr w:type="spellEnd"/>
            <w:r w:rsidRPr="003239F8">
              <w:rPr>
                <w:rFonts w:ascii="Times New Roman" w:hAnsi="Times New Roman" w:cs="Times New Roman"/>
                <w:sz w:val="24"/>
                <w:szCs w:val="24"/>
                <w:lang w:val="en-US"/>
              </w:rPr>
              <w:t xml:space="preserve"> ОП НОИР, </w:t>
            </w:r>
            <w:proofErr w:type="spellStart"/>
            <w:r w:rsidRPr="003239F8">
              <w:rPr>
                <w:rFonts w:ascii="Times New Roman" w:hAnsi="Times New Roman" w:cs="Times New Roman"/>
                <w:sz w:val="24"/>
                <w:szCs w:val="24"/>
                <w:lang w:val="en-US"/>
              </w:rPr>
              <w:t>ще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допринесат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постигане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заложени</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Република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България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интегриране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ромите</w:t>
            </w:r>
            <w:proofErr w:type="spellEnd"/>
            <w:r w:rsidRPr="003239F8">
              <w:rPr>
                <w:rFonts w:ascii="Times New Roman" w:hAnsi="Times New Roman" w:cs="Times New Roman"/>
                <w:sz w:val="24"/>
                <w:szCs w:val="24"/>
                <w:lang w:val="en-US"/>
              </w:rPr>
              <w:t xml:space="preserve"> (2012 – 2020), </w:t>
            </w:r>
            <w:proofErr w:type="spellStart"/>
            <w:r w:rsidRPr="003239F8">
              <w:rPr>
                <w:rFonts w:ascii="Times New Roman" w:hAnsi="Times New Roman" w:cs="Times New Roman"/>
                <w:sz w:val="24"/>
                <w:szCs w:val="24"/>
                <w:lang w:val="en-US"/>
              </w:rPr>
              <w:t>актуализираната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интеграция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децата</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учениците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етническите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малцинства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намаляване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дела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преждевременно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напусналите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система</w:t>
            </w:r>
            <w:proofErr w:type="spellEnd"/>
            <w:r w:rsidRPr="003239F8">
              <w:rPr>
                <w:rFonts w:ascii="Times New Roman" w:hAnsi="Times New Roman" w:cs="Times New Roman"/>
                <w:sz w:val="24"/>
                <w:szCs w:val="24"/>
                <w:lang w:val="en-US"/>
              </w:rPr>
              <w:t xml:space="preserve"> (2013–2020),</w:t>
            </w:r>
            <w:r w:rsidR="00CD0306">
              <w:rPr>
                <w:rFonts w:ascii="Times New Roman" w:hAnsi="Times New Roman" w:cs="Times New Roman"/>
                <w:sz w:val="24"/>
                <w:szCs w:val="24"/>
              </w:rPr>
              <w:t xml:space="preserve"> </w:t>
            </w:r>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учене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през</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живот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периода</w:t>
            </w:r>
            <w:proofErr w:type="spellEnd"/>
            <w:r w:rsidRPr="003239F8">
              <w:rPr>
                <w:rFonts w:ascii="Times New Roman" w:hAnsi="Times New Roman" w:cs="Times New Roman"/>
                <w:sz w:val="24"/>
                <w:szCs w:val="24"/>
                <w:lang w:val="en-US"/>
              </w:rPr>
              <w:t xml:space="preserve"> 2014– 2020 г.,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насърчаване</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повишаване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грамотността</w:t>
            </w:r>
            <w:proofErr w:type="spellEnd"/>
            <w:r w:rsidRPr="003239F8">
              <w:rPr>
                <w:rFonts w:ascii="Times New Roman" w:hAnsi="Times New Roman" w:cs="Times New Roman"/>
                <w:sz w:val="24"/>
                <w:szCs w:val="24"/>
                <w:lang w:val="en-US"/>
              </w:rPr>
              <w:t xml:space="preserve"> (2014 – 2020) и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областта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миграцията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убежището</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интеграцията</w:t>
            </w:r>
            <w:proofErr w:type="spellEnd"/>
            <w:r w:rsidRPr="003239F8">
              <w:rPr>
                <w:rFonts w:ascii="Times New Roman" w:hAnsi="Times New Roman" w:cs="Times New Roman"/>
                <w:sz w:val="24"/>
                <w:szCs w:val="24"/>
                <w:lang w:val="en-US"/>
              </w:rPr>
              <w:t xml:space="preserve"> (2011 – 2020). </w:t>
            </w: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proofErr w:type="gramStart"/>
            <w:r w:rsidRPr="003239F8">
              <w:rPr>
                <w:rFonts w:ascii="Times New Roman" w:hAnsi="Times New Roman" w:cs="Times New Roman"/>
                <w:sz w:val="24"/>
                <w:szCs w:val="24"/>
                <w:lang w:val="en-US"/>
              </w:rPr>
              <w:t>по</w:t>
            </w:r>
            <w:proofErr w:type="spellEnd"/>
            <w:r w:rsidR="0097065C">
              <w:rPr>
                <w:rFonts w:ascii="Times New Roman" w:hAnsi="Times New Roman" w:cs="Times New Roman"/>
                <w:sz w:val="24"/>
                <w:szCs w:val="24"/>
              </w:rPr>
              <w:t xml:space="preserve">  </w:t>
            </w:r>
            <w:r w:rsidRPr="003239F8">
              <w:rPr>
                <w:rFonts w:ascii="Times New Roman" w:hAnsi="Times New Roman" w:cs="Times New Roman"/>
                <w:sz w:val="24"/>
                <w:szCs w:val="24"/>
                <w:lang w:val="en-US"/>
              </w:rPr>
              <w:t>ОП</w:t>
            </w:r>
            <w:proofErr w:type="gramEnd"/>
            <w:r w:rsidRPr="003239F8">
              <w:rPr>
                <w:rFonts w:ascii="Times New Roman" w:hAnsi="Times New Roman" w:cs="Times New Roman"/>
                <w:sz w:val="24"/>
                <w:szCs w:val="24"/>
                <w:lang w:val="en-US"/>
              </w:rPr>
              <w:t xml:space="preserve"> НОИР, </w:t>
            </w:r>
            <w:proofErr w:type="spellStart"/>
            <w:r w:rsidRPr="003239F8">
              <w:rPr>
                <w:rFonts w:ascii="Times New Roman" w:hAnsi="Times New Roman" w:cs="Times New Roman"/>
                <w:sz w:val="24"/>
                <w:szCs w:val="24"/>
                <w:lang w:val="en-US"/>
              </w:rPr>
              <w:t>са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насочени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изключително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към</w:t>
            </w:r>
            <w:proofErr w:type="spellEnd"/>
            <w:r w:rsidRPr="003239F8">
              <w:rPr>
                <w:rFonts w:ascii="Times New Roman" w:hAnsi="Times New Roman" w:cs="Times New Roman"/>
                <w:sz w:val="24"/>
                <w:szCs w:val="24"/>
                <w:lang w:val="en-US"/>
              </w:rPr>
              <w:t xml:space="preserve"> </w:t>
            </w:r>
            <w:r>
              <w:rPr>
                <w:rFonts w:ascii="Times New Roman" w:hAnsi="Times New Roman" w:cs="Times New Roman"/>
                <w:sz w:val="24"/>
                <w:szCs w:val="24"/>
              </w:rPr>
              <w:t>осигуряване на достъп до качествено образование в малките населени места и в трудно достъпните райони.</w:t>
            </w:r>
          </w:p>
          <w:p w14:paraId="215E6DB9" w14:textId="4CDD16B0" w:rsidR="00FA546C" w:rsidRPr="00FA546C" w:rsidRDefault="00B01EDC" w:rsidP="001A70B1">
            <w:pPr>
              <w:jc w:val="both"/>
              <w:rPr>
                <w:rFonts w:ascii="Times New Roman" w:hAnsi="Times New Roman" w:cs="Times New Roman"/>
                <w:sz w:val="24"/>
                <w:szCs w:val="24"/>
              </w:rPr>
            </w:pPr>
            <w:r w:rsidRPr="00B01EDC">
              <w:rPr>
                <w:rFonts w:ascii="Times New Roman" w:hAnsi="Times New Roman" w:cs="Times New Roman"/>
                <w:sz w:val="24"/>
                <w:szCs w:val="24"/>
              </w:rPr>
              <w:t xml:space="preserve">МИГ </w:t>
            </w:r>
            <w:r>
              <w:rPr>
                <w:rFonts w:ascii="Times New Roman" w:hAnsi="Times New Roman" w:cs="Times New Roman"/>
                <w:sz w:val="24"/>
                <w:szCs w:val="24"/>
              </w:rPr>
              <w:t>Свиленград Ареал  поставя</w:t>
            </w:r>
            <w:r w:rsidRPr="00B01EDC">
              <w:rPr>
                <w:rFonts w:ascii="Times New Roman" w:hAnsi="Times New Roman" w:cs="Times New Roman"/>
                <w:sz w:val="24"/>
                <w:szCs w:val="24"/>
              </w:rPr>
              <w:t xml:space="preserve"> ясно раз</w:t>
            </w:r>
            <w:r w:rsidR="00B709C4">
              <w:rPr>
                <w:rFonts w:ascii="Times New Roman" w:hAnsi="Times New Roman" w:cs="Times New Roman"/>
                <w:sz w:val="24"/>
                <w:szCs w:val="24"/>
              </w:rPr>
              <w:t>граничение между двете програм</w:t>
            </w:r>
            <w:r w:rsidR="00E94C77">
              <w:rPr>
                <w:rFonts w:ascii="Times New Roman" w:hAnsi="Times New Roman" w:cs="Times New Roman"/>
                <w:sz w:val="24"/>
                <w:szCs w:val="24"/>
              </w:rPr>
              <w:t>и</w:t>
            </w:r>
            <w:r w:rsidRPr="00B01EDC">
              <w:rPr>
                <w:rFonts w:ascii="Times New Roman" w:hAnsi="Times New Roman" w:cs="Times New Roman"/>
                <w:sz w:val="24"/>
                <w:szCs w:val="24"/>
              </w:rPr>
              <w:t>. Разграничително условие при кандидатстване с проекти по стратегии за ВОМР е, че бенефициенти и партньори, изпълняващи проекти по националните покани по пр</w:t>
            </w:r>
            <w:r w:rsidR="001A70B1">
              <w:rPr>
                <w:rFonts w:ascii="Times New Roman" w:hAnsi="Times New Roman" w:cs="Times New Roman"/>
                <w:sz w:val="24"/>
                <w:szCs w:val="24"/>
              </w:rPr>
              <w:t xml:space="preserve">оцедури по </w:t>
            </w:r>
            <w:r w:rsidRPr="00B01EDC">
              <w:rPr>
                <w:rFonts w:ascii="Times New Roman" w:hAnsi="Times New Roman" w:cs="Times New Roman"/>
                <w:sz w:val="24"/>
                <w:szCs w:val="24"/>
              </w:rPr>
              <w:t xml:space="preserve">ОП НОИР </w:t>
            </w:r>
            <w:r w:rsidR="001A70B1" w:rsidRPr="00CF37F3">
              <w:rPr>
                <w:rFonts w:ascii="Times New Roman" w:hAnsi="Times New Roman" w:cs="Times New Roman"/>
                <w:sz w:val="24"/>
                <w:szCs w:val="24"/>
              </w:rPr>
              <w:t>със сходни дейности и целеви групи като</w:t>
            </w:r>
            <w:r w:rsidRPr="00CF37F3">
              <w:rPr>
                <w:rFonts w:ascii="Times New Roman" w:hAnsi="Times New Roman" w:cs="Times New Roman"/>
                <w:sz w:val="24"/>
                <w:szCs w:val="24"/>
              </w:rPr>
              <w:t xml:space="preserve"> „Подкрепа за предучилищното образование и подготовка на деца в неравностойно положение“,</w:t>
            </w:r>
            <w:r w:rsidR="001A70B1" w:rsidRPr="00CF37F3">
              <w:rPr>
                <w:rFonts w:ascii="Times New Roman" w:hAnsi="Times New Roman" w:cs="Times New Roman"/>
                <w:sz w:val="24"/>
                <w:szCs w:val="24"/>
              </w:rPr>
              <w:t xml:space="preserve"> </w:t>
            </w:r>
            <w:r w:rsidRPr="00CF37F3">
              <w:rPr>
                <w:rFonts w:ascii="Times New Roman" w:hAnsi="Times New Roman" w:cs="Times New Roman"/>
                <w:sz w:val="24"/>
                <w:szCs w:val="24"/>
              </w:rPr>
              <w:t>„Образователна интеграция на учениците от етническите малцинства и на учениците, търсещи или получили международна закрила“,</w:t>
            </w:r>
            <w:r w:rsidR="001A70B1" w:rsidRPr="00CF37F3">
              <w:rPr>
                <w:rFonts w:ascii="Times New Roman" w:hAnsi="Times New Roman" w:cs="Times New Roman"/>
                <w:sz w:val="24"/>
                <w:szCs w:val="24"/>
              </w:rPr>
              <w:t xml:space="preserve"> „Активно приобщаване в </w:t>
            </w:r>
            <w:r w:rsidR="001A70B1" w:rsidRPr="00CF37F3">
              <w:rPr>
                <w:rFonts w:ascii="Times New Roman" w:hAnsi="Times New Roman" w:cs="Times New Roman"/>
                <w:sz w:val="24"/>
                <w:szCs w:val="24"/>
              </w:rPr>
              <w:lastRenderedPageBreak/>
              <w:t>системата на предучилищното образование“, „Подкрепа за успех“,</w:t>
            </w:r>
            <w:r w:rsidRPr="001A70B1">
              <w:rPr>
                <w:rFonts w:ascii="Times New Roman" w:hAnsi="Times New Roman" w:cs="Times New Roman"/>
                <w:color w:val="FF0000"/>
                <w:sz w:val="24"/>
                <w:szCs w:val="24"/>
              </w:rPr>
              <w:t xml:space="preserve"> </w:t>
            </w:r>
            <w:r w:rsidRPr="00B01EDC">
              <w:rPr>
                <w:rFonts w:ascii="Times New Roman" w:hAnsi="Times New Roman" w:cs="Times New Roman"/>
                <w:sz w:val="24"/>
                <w:szCs w:val="24"/>
              </w:rPr>
              <w:t>както и бъ</w:t>
            </w:r>
            <w:r w:rsidR="00A75CCC">
              <w:rPr>
                <w:rFonts w:ascii="Times New Roman" w:hAnsi="Times New Roman" w:cs="Times New Roman"/>
                <w:sz w:val="24"/>
                <w:szCs w:val="24"/>
              </w:rPr>
              <w:t xml:space="preserve">дещи операции по </w:t>
            </w:r>
            <w:proofErr w:type="spellStart"/>
            <w:r w:rsidR="00A75CCC">
              <w:rPr>
                <w:rFonts w:ascii="Times New Roman" w:hAnsi="Times New Roman" w:cs="Times New Roman"/>
                <w:sz w:val="24"/>
                <w:szCs w:val="24"/>
              </w:rPr>
              <w:t>ПО</w:t>
            </w:r>
            <w:proofErr w:type="spellEnd"/>
            <w:r w:rsidR="00A75CCC">
              <w:rPr>
                <w:rFonts w:ascii="Times New Roman" w:hAnsi="Times New Roman" w:cs="Times New Roman"/>
                <w:sz w:val="24"/>
                <w:szCs w:val="24"/>
              </w:rPr>
              <w:t xml:space="preserve"> 3, ИП 9.ii . По настоящата процедура, следва предвидените дейности, да</w:t>
            </w:r>
            <w:r w:rsidRPr="00B01EDC">
              <w:rPr>
                <w:rFonts w:ascii="Times New Roman" w:hAnsi="Times New Roman" w:cs="Times New Roman"/>
                <w:sz w:val="24"/>
                <w:szCs w:val="24"/>
              </w:rPr>
              <w:t xml:space="preserve"> не съвпадат с дейностите по одобрените проекти по горецитираните процедури, </w:t>
            </w:r>
            <w:r w:rsidR="0097065C">
              <w:rPr>
                <w:rFonts w:ascii="Times New Roman" w:hAnsi="Times New Roman" w:cs="Times New Roman"/>
                <w:sz w:val="24"/>
                <w:szCs w:val="24"/>
              </w:rPr>
              <w:t xml:space="preserve"> </w:t>
            </w:r>
            <w:r w:rsidRPr="00B01EDC">
              <w:rPr>
                <w:rFonts w:ascii="Times New Roman" w:hAnsi="Times New Roman" w:cs="Times New Roman"/>
                <w:sz w:val="24"/>
                <w:szCs w:val="24"/>
              </w:rPr>
              <w:t>или да гарантират, че участниците от целевите групи в проектите са различни, ако проектите се застъпват в периода на изпълн</w:t>
            </w:r>
            <w:r w:rsidR="00A75CCC">
              <w:rPr>
                <w:rFonts w:ascii="Times New Roman" w:hAnsi="Times New Roman" w:cs="Times New Roman"/>
                <w:sz w:val="24"/>
                <w:szCs w:val="24"/>
              </w:rPr>
              <w:t>ение. Кандидатите следва да  посочат</w:t>
            </w:r>
            <w:r w:rsidRPr="00B01EDC">
              <w:rPr>
                <w:rFonts w:ascii="Times New Roman" w:hAnsi="Times New Roman" w:cs="Times New Roman"/>
                <w:sz w:val="24"/>
                <w:szCs w:val="24"/>
              </w:rPr>
              <w:t xml:space="preserve"> какви предходни проекти на бенефициентите/партньорите допълват и надграждат, спазвайки изискванията за </w:t>
            </w:r>
            <w:proofErr w:type="spellStart"/>
            <w:r w:rsidRPr="00B01EDC">
              <w:rPr>
                <w:rFonts w:ascii="Times New Roman" w:hAnsi="Times New Roman" w:cs="Times New Roman"/>
                <w:sz w:val="24"/>
                <w:szCs w:val="24"/>
              </w:rPr>
              <w:t>демаркация</w:t>
            </w:r>
            <w:proofErr w:type="spellEnd"/>
            <w:r w:rsidRPr="00B01EDC">
              <w:rPr>
                <w:rFonts w:ascii="Times New Roman" w:hAnsi="Times New Roman" w:cs="Times New Roman"/>
                <w:sz w:val="24"/>
                <w:szCs w:val="24"/>
              </w:rPr>
              <w:t xml:space="preserve"> и </w:t>
            </w:r>
            <w:proofErr w:type="spellStart"/>
            <w:r w:rsidRPr="00B01EDC">
              <w:rPr>
                <w:rFonts w:ascii="Times New Roman" w:hAnsi="Times New Roman" w:cs="Times New Roman"/>
                <w:sz w:val="24"/>
                <w:szCs w:val="24"/>
              </w:rPr>
              <w:t>допълняемост</w:t>
            </w:r>
            <w:proofErr w:type="spellEnd"/>
            <w:r w:rsidRPr="00B01EDC">
              <w:rPr>
                <w:rFonts w:ascii="Times New Roman" w:hAnsi="Times New Roman" w:cs="Times New Roman"/>
                <w:sz w:val="24"/>
                <w:szCs w:val="24"/>
              </w:rPr>
              <w:t xml:space="preserve">, независимо по какви национални или международни програми или инструменти са реализирани, вкл. по линия на националния бюджет чрез Центъра за образователна интеграция на децата и учениците от етническите малцинства (ЦОИДУЕМ). </w:t>
            </w:r>
            <w:proofErr w:type="spellStart"/>
            <w:r w:rsidRPr="00B01EDC">
              <w:rPr>
                <w:rFonts w:ascii="Times New Roman" w:hAnsi="Times New Roman" w:cs="Times New Roman"/>
                <w:sz w:val="24"/>
                <w:szCs w:val="24"/>
              </w:rPr>
              <w:t>Демаркацията</w:t>
            </w:r>
            <w:proofErr w:type="spellEnd"/>
            <w:r w:rsidRPr="00B01EDC">
              <w:rPr>
                <w:rFonts w:ascii="Times New Roman" w:hAnsi="Times New Roman" w:cs="Times New Roman"/>
                <w:sz w:val="24"/>
                <w:szCs w:val="24"/>
              </w:rPr>
              <w:t xml:space="preserve"> по дейностите е необходима за всеки бенефициент/партньор и всеки проект съгласно изискванията на двете програми. </w:t>
            </w:r>
            <w:r w:rsidR="00E94C77">
              <w:rPr>
                <w:rFonts w:ascii="Times New Roman" w:hAnsi="Times New Roman" w:cs="Times New Roman"/>
                <w:sz w:val="24"/>
                <w:szCs w:val="24"/>
              </w:rPr>
              <w:t>Допустимите целеви групи</w:t>
            </w:r>
            <w:r w:rsidRPr="00B01EDC">
              <w:rPr>
                <w:rFonts w:ascii="Times New Roman" w:hAnsi="Times New Roman" w:cs="Times New Roman"/>
                <w:sz w:val="24"/>
                <w:szCs w:val="24"/>
              </w:rPr>
              <w:t xml:space="preserve"> по ОП НОИР </w:t>
            </w:r>
            <w:r w:rsidR="00E94C77">
              <w:rPr>
                <w:rFonts w:ascii="Times New Roman" w:hAnsi="Times New Roman" w:cs="Times New Roman"/>
                <w:sz w:val="24"/>
                <w:szCs w:val="24"/>
              </w:rPr>
              <w:t>с</w:t>
            </w:r>
            <w:r w:rsidR="007D4749">
              <w:rPr>
                <w:rFonts w:ascii="Times New Roman" w:hAnsi="Times New Roman" w:cs="Times New Roman"/>
                <w:sz w:val="24"/>
                <w:szCs w:val="24"/>
              </w:rPr>
              <w:t xml:space="preserve">а деца и ученици от </w:t>
            </w:r>
            <w:proofErr w:type="spellStart"/>
            <w:r w:rsidR="007D4749">
              <w:rPr>
                <w:rFonts w:ascii="Times New Roman" w:hAnsi="Times New Roman" w:cs="Times New Roman"/>
                <w:sz w:val="24"/>
                <w:szCs w:val="24"/>
              </w:rPr>
              <w:t>маргинализир</w:t>
            </w:r>
            <w:r w:rsidR="0097065C">
              <w:rPr>
                <w:rFonts w:ascii="Times New Roman" w:hAnsi="Times New Roman" w:cs="Times New Roman"/>
                <w:sz w:val="24"/>
                <w:szCs w:val="24"/>
              </w:rPr>
              <w:t>ани</w:t>
            </w:r>
            <w:proofErr w:type="spellEnd"/>
            <w:r w:rsidR="0097065C">
              <w:rPr>
                <w:rFonts w:ascii="Times New Roman" w:hAnsi="Times New Roman" w:cs="Times New Roman"/>
                <w:sz w:val="24"/>
                <w:szCs w:val="24"/>
              </w:rPr>
              <w:t xml:space="preserve"> общности</w:t>
            </w:r>
            <w:r w:rsidR="00E94C77">
              <w:rPr>
                <w:rFonts w:ascii="Times New Roman" w:hAnsi="Times New Roman" w:cs="Times New Roman"/>
                <w:sz w:val="24"/>
                <w:szCs w:val="24"/>
              </w:rPr>
              <w:t>, включително роми</w:t>
            </w:r>
            <w:r w:rsidR="00934B9B">
              <w:rPr>
                <w:rFonts w:ascii="Times New Roman" w:hAnsi="Times New Roman" w:cs="Times New Roman"/>
                <w:sz w:val="24"/>
                <w:szCs w:val="24"/>
              </w:rPr>
              <w:t>,</w:t>
            </w:r>
            <w:r w:rsidR="00E94C77">
              <w:rPr>
                <w:rFonts w:ascii="Times New Roman" w:hAnsi="Times New Roman" w:cs="Times New Roman"/>
                <w:sz w:val="24"/>
                <w:szCs w:val="24"/>
              </w:rPr>
              <w:t xml:space="preserve"> а допустимите </w:t>
            </w:r>
            <w:r w:rsidR="007D4749">
              <w:rPr>
                <w:rFonts w:ascii="Times New Roman" w:hAnsi="Times New Roman" w:cs="Times New Roman"/>
                <w:sz w:val="24"/>
                <w:szCs w:val="24"/>
              </w:rPr>
              <w:t>целеви групи по ОП РЧР са икономически неактивни лица,</w:t>
            </w:r>
            <w:r w:rsidR="0097065C">
              <w:rPr>
                <w:rFonts w:ascii="Times New Roman" w:hAnsi="Times New Roman" w:cs="Times New Roman"/>
                <w:sz w:val="24"/>
                <w:szCs w:val="24"/>
              </w:rPr>
              <w:t xml:space="preserve"> извън образование и обучение</w:t>
            </w:r>
            <w:r w:rsidR="007D4749">
              <w:rPr>
                <w:rFonts w:ascii="Times New Roman" w:hAnsi="Times New Roman" w:cs="Times New Roman"/>
                <w:sz w:val="24"/>
                <w:szCs w:val="24"/>
              </w:rPr>
              <w:t>, търсещи работа безработни младежи от 15 до 29г. със завършено средно или висше образование и представители на ромската общност.</w:t>
            </w:r>
          </w:p>
        </w:tc>
      </w:tr>
    </w:tbl>
    <w:p w14:paraId="1BDDCF71" w14:textId="7BC63197" w:rsidR="00486F07" w:rsidRDefault="00486F07" w:rsidP="00332D38">
      <w:pPr>
        <w:spacing w:after="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67B1F74B" w14:textId="77777777" w:rsidTr="00CA777C">
        <w:tc>
          <w:tcPr>
            <w:tcW w:w="10207" w:type="dxa"/>
          </w:tcPr>
          <w:p w14:paraId="276BD022" w14:textId="77777777" w:rsidR="00E85B98" w:rsidRPr="00B8569E" w:rsidRDefault="00E85B98" w:rsidP="00332D38">
            <w:pPr>
              <w:jc w:val="both"/>
              <w:rPr>
                <w:rFonts w:ascii="Times New Roman" w:hAnsi="Times New Roman" w:cs="Times New Roman"/>
                <w:sz w:val="24"/>
                <w:szCs w:val="24"/>
              </w:rPr>
            </w:pPr>
            <w:r>
              <w:rPr>
                <w:rFonts w:ascii="Times New Roman" w:hAnsi="Times New Roman" w:cs="Times New Roman"/>
                <w:b/>
                <w:sz w:val="24"/>
                <w:szCs w:val="24"/>
              </w:rPr>
              <w:t>7. Индикатори</w:t>
            </w:r>
            <w:r w:rsidRPr="00B8569E">
              <w:rPr>
                <w:rFonts w:ascii="Times New Roman" w:hAnsi="Times New Roman" w:cs="Times New Roman"/>
                <w:sz w:val="24"/>
                <w:szCs w:val="24"/>
              </w:rPr>
              <w:t>:</w:t>
            </w:r>
          </w:p>
          <w:p w14:paraId="257150F2" w14:textId="677C24AA" w:rsidR="007D4749" w:rsidRPr="007D4749" w:rsidRDefault="007D4749" w:rsidP="00332D38">
            <w:pPr>
              <w:jc w:val="both"/>
              <w:rPr>
                <w:rFonts w:ascii="Times New Roman" w:hAnsi="Times New Roman" w:cs="Times New Roman"/>
                <w:sz w:val="24"/>
                <w:szCs w:val="24"/>
              </w:rPr>
            </w:pPr>
            <w:r w:rsidRPr="007D4749">
              <w:rPr>
                <w:rFonts w:ascii="Times New Roman" w:hAnsi="Times New Roman" w:cs="Times New Roman"/>
                <w:sz w:val="24"/>
                <w:szCs w:val="24"/>
              </w:rPr>
              <w:t xml:space="preserve">Всеки кандидат трябва да включи в секция  „Индикатори към ОП НОИР“ във Формуляра за кандидатстване всички или тези от индикаторите за изпълнение и резултат, които ще постигне с изпълнението на конкретния проект. </w:t>
            </w:r>
          </w:p>
          <w:p w14:paraId="550F16BE" w14:textId="260F1EA9" w:rsidR="00E85B98" w:rsidRPr="00E97E61" w:rsidRDefault="007D4749" w:rsidP="00332D38">
            <w:pPr>
              <w:jc w:val="both"/>
              <w:rPr>
                <w:rFonts w:ascii="Times New Roman" w:hAnsi="Times New Roman" w:cs="Times New Roman"/>
                <w:sz w:val="24"/>
                <w:szCs w:val="24"/>
              </w:rPr>
            </w:pPr>
            <w:r w:rsidRPr="007D4749">
              <w:rPr>
                <w:rFonts w:ascii="Times New Roman" w:hAnsi="Times New Roman" w:cs="Times New Roman"/>
                <w:i/>
                <w:sz w:val="24"/>
                <w:szCs w:val="24"/>
              </w:rPr>
              <w:t xml:space="preserve"> </w:t>
            </w:r>
            <w:r w:rsidR="00DF6B3E" w:rsidRPr="00DF6B3E">
              <w:rPr>
                <w:rFonts w:ascii="Times New Roman" w:hAnsi="Times New Roman" w:cs="Times New Roman"/>
                <w:b/>
                <w:sz w:val="24"/>
                <w:szCs w:val="24"/>
              </w:rPr>
              <w:t>1.</w:t>
            </w:r>
            <w:r w:rsidR="00E85B98" w:rsidRPr="00DF6B3E">
              <w:rPr>
                <w:rFonts w:ascii="Times New Roman" w:hAnsi="Times New Roman" w:cs="Times New Roman"/>
                <w:b/>
                <w:sz w:val="24"/>
                <w:szCs w:val="24"/>
              </w:rPr>
              <w:t>Задължителен</w:t>
            </w:r>
            <w:r w:rsidR="00E85B98" w:rsidRPr="00E97E61">
              <w:rPr>
                <w:rFonts w:ascii="Times New Roman" w:hAnsi="Times New Roman" w:cs="Times New Roman"/>
                <w:sz w:val="24"/>
                <w:szCs w:val="24"/>
              </w:rPr>
              <w:t xml:space="preserve"> </w:t>
            </w:r>
            <w:r w:rsidR="00E85B98" w:rsidRPr="00E97E61">
              <w:rPr>
                <w:rFonts w:ascii="Times New Roman" w:hAnsi="Times New Roman" w:cs="Times New Roman"/>
                <w:b/>
                <w:sz w:val="24"/>
                <w:szCs w:val="24"/>
              </w:rPr>
              <w:t>индикатор за изпълнение</w:t>
            </w:r>
            <w:r w:rsidR="00E85B98" w:rsidRPr="00E97E61">
              <w:rPr>
                <w:rFonts w:ascii="Times New Roman" w:hAnsi="Times New Roman" w:cs="Times New Roman"/>
                <w:sz w:val="24"/>
                <w:szCs w:val="24"/>
              </w:rPr>
              <w:t>:</w:t>
            </w:r>
          </w:p>
          <w:p w14:paraId="3EE850B7" w14:textId="4A7F7DDB" w:rsidR="00E85B98" w:rsidRPr="006421AE" w:rsidRDefault="00E85B98" w:rsidP="00C37CE9">
            <w:pPr>
              <w:pStyle w:val="a3"/>
              <w:numPr>
                <w:ilvl w:val="0"/>
                <w:numId w:val="1"/>
              </w:numPr>
              <w:contextualSpacing w:val="0"/>
              <w:jc w:val="both"/>
              <w:rPr>
                <w:rFonts w:ascii="Times New Roman" w:hAnsi="Times New Roman" w:cs="Times New Roman"/>
                <w:b/>
                <w:sz w:val="24"/>
                <w:szCs w:val="24"/>
              </w:rPr>
            </w:pPr>
            <w:r w:rsidRPr="006421AE">
              <w:rPr>
                <w:rFonts w:ascii="Times New Roman" w:hAnsi="Times New Roman" w:cs="Times New Roman"/>
                <w:b/>
                <w:sz w:val="24"/>
                <w:szCs w:val="24"/>
              </w:rPr>
              <w:t xml:space="preserve">Брой деца, ученици и младежи от </w:t>
            </w:r>
            <w:proofErr w:type="spellStart"/>
            <w:r w:rsidRPr="006421AE">
              <w:rPr>
                <w:rFonts w:ascii="Times New Roman" w:hAnsi="Times New Roman" w:cs="Times New Roman"/>
                <w:b/>
                <w:sz w:val="24"/>
                <w:szCs w:val="24"/>
              </w:rPr>
              <w:t>маргинализирани</w:t>
            </w:r>
            <w:proofErr w:type="spellEnd"/>
            <w:r w:rsidRPr="006421AE">
              <w:rPr>
                <w:rFonts w:ascii="Times New Roman" w:hAnsi="Times New Roman" w:cs="Times New Roman"/>
                <w:b/>
                <w:sz w:val="24"/>
                <w:szCs w:val="24"/>
              </w:rPr>
              <w:t xml:space="preserve"> общности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участващи в мерки за образова</w:t>
            </w:r>
            <w:r w:rsidR="006421AE">
              <w:rPr>
                <w:rFonts w:ascii="Times New Roman" w:hAnsi="Times New Roman" w:cs="Times New Roman"/>
                <w:b/>
                <w:sz w:val="24"/>
                <w:szCs w:val="24"/>
              </w:rPr>
              <w:t>телна интеграция и реинтеграция.</w:t>
            </w:r>
          </w:p>
          <w:p w14:paraId="07455F9E" w14:textId="3E9B8356" w:rsidR="00E85B98" w:rsidRPr="00DF6B3E" w:rsidRDefault="00DF6B3E" w:rsidP="00E12909">
            <w:pPr>
              <w:jc w:val="both"/>
              <w:rPr>
                <w:rFonts w:ascii="Times New Roman" w:hAnsi="Times New Roman" w:cs="Times New Roman"/>
                <w:sz w:val="24"/>
                <w:szCs w:val="24"/>
              </w:rPr>
            </w:pPr>
            <w:r>
              <w:rPr>
                <w:rFonts w:ascii="Times New Roman" w:hAnsi="Times New Roman" w:cs="Times New Roman"/>
                <w:b/>
                <w:sz w:val="24"/>
                <w:szCs w:val="24"/>
              </w:rPr>
              <w:t>2.</w:t>
            </w:r>
            <w:r w:rsidR="00E85B98" w:rsidRPr="00DF6B3E">
              <w:rPr>
                <w:rFonts w:ascii="Times New Roman" w:hAnsi="Times New Roman" w:cs="Times New Roman"/>
                <w:b/>
                <w:sz w:val="24"/>
                <w:szCs w:val="24"/>
              </w:rPr>
              <w:t>Задължителен индикатор за резултат</w:t>
            </w:r>
            <w:r w:rsidR="00E85B98" w:rsidRPr="00DF6B3E">
              <w:rPr>
                <w:rFonts w:ascii="Times New Roman" w:hAnsi="Times New Roman" w:cs="Times New Roman"/>
                <w:sz w:val="24"/>
                <w:szCs w:val="24"/>
              </w:rPr>
              <w:t xml:space="preserve">: </w:t>
            </w:r>
          </w:p>
          <w:p w14:paraId="0B71D797" w14:textId="2FAFA7D5" w:rsidR="00E85B98" w:rsidRDefault="00E85B98" w:rsidP="00C37CE9">
            <w:pPr>
              <w:pStyle w:val="a3"/>
              <w:numPr>
                <w:ilvl w:val="0"/>
                <w:numId w:val="1"/>
              </w:numPr>
              <w:contextualSpacing w:val="0"/>
              <w:jc w:val="both"/>
              <w:rPr>
                <w:rFonts w:ascii="Times New Roman" w:hAnsi="Times New Roman" w:cs="Times New Roman"/>
                <w:sz w:val="24"/>
                <w:szCs w:val="24"/>
              </w:rPr>
            </w:pPr>
            <w:r w:rsidRPr="006421AE">
              <w:rPr>
                <w:rFonts w:ascii="Times New Roman" w:hAnsi="Times New Roman" w:cs="Times New Roman"/>
                <w:b/>
                <w:sz w:val="24"/>
                <w:szCs w:val="24"/>
              </w:rPr>
              <w:t>Брой деца, ученици и младежи от етнически малцинства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интегрирани в образователната система</w:t>
            </w:r>
            <w:r w:rsidRPr="00E97E61">
              <w:rPr>
                <w:rFonts w:ascii="Times New Roman" w:hAnsi="Times New Roman" w:cs="Times New Roman"/>
                <w:sz w:val="24"/>
                <w:szCs w:val="24"/>
              </w:rPr>
              <w:t>.</w:t>
            </w:r>
          </w:p>
          <w:p w14:paraId="43F534C6" w14:textId="0EB673AD" w:rsidR="004357A7" w:rsidRPr="004357A7" w:rsidRDefault="004357A7" w:rsidP="00FC6413">
            <w:pPr>
              <w:jc w:val="both"/>
              <w:rPr>
                <w:rFonts w:ascii="Times New Roman" w:hAnsi="Times New Roman" w:cs="Times New Roman"/>
                <w:sz w:val="24"/>
                <w:szCs w:val="24"/>
              </w:rPr>
            </w:pPr>
            <w:r w:rsidRPr="004357A7">
              <w:rPr>
                <w:rFonts w:ascii="Times New Roman" w:hAnsi="Times New Roman" w:cs="Times New Roman"/>
                <w:sz w:val="24"/>
                <w:szCs w:val="24"/>
              </w:rPr>
              <w:t>Индикаторите за резултат следва да отразяват цялото очаквано въздействие върху целевите групи (по съответната специфична цел, съобразно планираното въздействие върху целевите групи чрез избраните дейности)</w:t>
            </w:r>
          </w:p>
          <w:p w14:paraId="16DF00BF" w14:textId="40D6BE95" w:rsidR="00D173ED" w:rsidRDefault="00E85B98" w:rsidP="00332D38">
            <w:pPr>
              <w:jc w:val="both"/>
              <w:rPr>
                <w:rFonts w:ascii="Times New Roman" w:hAnsi="Times New Roman" w:cs="Times New Roman"/>
                <w:i/>
                <w:sz w:val="24"/>
                <w:szCs w:val="24"/>
              </w:rPr>
            </w:pPr>
            <w:r w:rsidRPr="00934B9B">
              <w:rPr>
                <w:rFonts w:ascii="Times New Roman" w:hAnsi="Times New Roman" w:cs="Times New Roman"/>
                <w:sz w:val="24"/>
                <w:szCs w:val="24"/>
              </w:rPr>
              <w:t xml:space="preserve">Проектните предложения задължително трябва да имат принос към постигането на горепосочените задължителни индикатори за изпълнение и </w:t>
            </w:r>
            <w:r w:rsidR="00A75CCC">
              <w:rPr>
                <w:rFonts w:ascii="Times New Roman" w:hAnsi="Times New Roman" w:cs="Times New Roman"/>
                <w:sz w:val="24"/>
                <w:szCs w:val="24"/>
              </w:rPr>
              <w:t>за резултат.</w:t>
            </w:r>
          </w:p>
          <w:p w14:paraId="2E27C32C" w14:textId="2962AD77" w:rsidR="00D3393D" w:rsidRDefault="00D173ED" w:rsidP="00332D38">
            <w:pPr>
              <w:jc w:val="both"/>
              <w:rPr>
                <w:rFonts w:ascii="Times New Roman" w:hAnsi="Times New Roman" w:cs="Times New Roman"/>
                <w:b/>
                <w:sz w:val="24"/>
                <w:szCs w:val="24"/>
              </w:rPr>
            </w:pPr>
            <w:r>
              <w:rPr>
                <w:rFonts w:ascii="Times New Roman" w:hAnsi="Times New Roman" w:cs="Times New Roman"/>
                <w:sz w:val="24"/>
                <w:szCs w:val="24"/>
              </w:rPr>
              <w:t>Индикаторите трябва д</w:t>
            </w:r>
            <w:r w:rsidRPr="00D173ED">
              <w:rPr>
                <w:rFonts w:ascii="Times New Roman" w:hAnsi="Times New Roman" w:cs="Times New Roman"/>
                <w:sz w:val="24"/>
                <w:szCs w:val="24"/>
              </w:rPr>
              <w:t>а</w:t>
            </w:r>
            <w:r>
              <w:rPr>
                <w:rFonts w:ascii="Times New Roman" w:hAnsi="Times New Roman" w:cs="Times New Roman"/>
                <w:sz w:val="24"/>
                <w:szCs w:val="24"/>
              </w:rPr>
              <w:t xml:space="preserve"> бъдат количе</w:t>
            </w:r>
            <w:r w:rsidRPr="00D173ED">
              <w:rPr>
                <w:rFonts w:ascii="Times New Roman" w:hAnsi="Times New Roman" w:cs="Times New Roman"/>
                <w:sz w:val="24"/>
                <w:szCs w:val="24"/>
              </w:rPr>
              <w:t>с</w:t>
            </w:r>
            <w:r>
              <w:rPr>
                <w:rFonts w:ascii="Times New Roman" w:hAnsi="Times New Roman" w:cs="Times New Roman"/>
                <w:sz w:val="24"/>
                <w:szCs w:val="24"/>
              </w:rPr>
              <w:t>т</w:t>
            </w:r>
            <w:r w:rsidRPr="00D173ED">
              <w:rPr>
                <w:rFonts w:ascii="Times New Roman" w:hAnsi="Times New Roman" w:cs="Times New Roman"/>
                <w:sz w:val="24"/>
                <w:szCs w:val="24"/>
              </w:rPr>
              <w:t>вено определени</w:t>
            </w:r>
            <w:r>
              <w:rPr>
                <w:rFonts w:ascii="Times New Roman" w:hAnsi="Times New Roman" w:cs="Times New Roman"/>
                <w:sz w:val="24"/>
                <w:szCs w:val="24"/>
              </w:rPr>
              <w:t xml:space="preserve"> с </w:t>
            </w:r>
            <w:r w:rsidRPr="00D173ED">
              <w:rPr>
                <w:rFonts w:ascii="Times New Roman" w:hAnsi="Times New Roman" w:cs="Times New Roman"/>
                <w:b/>
                <w:sz w:val="24"/>
                <w:szCs w:val="24"/>
              </w:rPr>
              <w:t>базова стойност</w:t>
            </w:r>
            <w:r>
              <w:rPr>
                <w:rFonts w:ascii="Times New Roman" w:hAnsi="Times New Roman" w:cs="Times New Roman"/>
                <w:sz w:val="24"/>
                <w:szCs w:val="24"/>
              </w:rPr>
              <w:t xml:space="preserve"> и </w:t>
            </w:r>
            <w:r w:rsidRPr="00D173ED">
              <w:rPr>
                <w:rFonts w:ascii="Times New Roman" w:hAnsi="Times New Roman" w:cs="Times New Roman"/>
                <w:b/>
                <w:sz w:val="24"/>
                <w:szCs w:val="24"/>
              </w:rPr>
              <w:t>целева стойност</w:t>
            </w:r>
            <w:r>
              <w:rPr>
                <w:rFonts w:ascii="Times New Roman" w:hAnsi="Times New Roman" w:cs="Times New Roman"/>
                <w:sz w:val="24"/>
                <w:szCs w:val="24"/>
              </w:rPr>
              <w:t xml:space="preserve"> в секция 8. Индикатори от Формуляра за кандидатстване като целевата стойност на индикаторите трябва да бъде положителна величина различна от „0“.</w:t>
            </w:r>
            <w:r w:rsidRPr="00D173ED">
              <w:rPr>
                <w:rFonts w:ascii="Times New Roman" w:hAnsi="Times New Roman" w:cs="Times New Roman"/>
                <w:b/>
                <w:sz w:val="24"/>
                <w:szCs w:val="24"/>
              </w:rPr>
              <w:t xml:space="preserve"> </w:t>
            </w:r>
          </w:p>
          <w:p w14:paraId="7B716097" w14:textId="77777777" w:rsidR="00097C30" w:rsidRDefault="00097C30" w:rsidP="00332D38">
            <w:pPr>
              <w:jc w:val="both"/>
              <w:rPr>
                <w:rFonts w:ascii="Times New Roman" w:hAnsi="Times New Roman" w:cs="Times New Roman"/>
                <w:b/>
                <w:sz w:val="24"/>
                <w:szCs w:val="24"/>
              </w:rPr>
            </w:pPr>
          </w:p>
          <w:p w14:paraId="047163C7" w14:textId="7A4B0D9B" w:rsidR="00097C30" w:rsidRDefault="00097C30" w:rsidP="00332D38">
            <w:pPr>
              <w:jc w:val="both"/>
              <w:rPr>
                <w:rFonts w:ascii="Times New Roman" w:hAnsi="Times New Roman" w:cs="Times New Roman"/>
                <w:b/>
                <w:sz w:val="24"/>
                <w:szCs w:val="24"/>
              </w:rPr>
            </w:pPr>
            <w:r w:rsidRPr="00097C30">
              <w:rPr>
                <w:rFonts w:ascii="Times New Roman" w:hAnsi="Times New Roman" w:cs="Times New Roman"/>
                <w:b/>
                <w:sz w:val="24"/>
                <w:szCs w:val="24"/>
              </w:rPr>
              <w:t>В случай че във Формуляра за кандидатстване не са включени задължителните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 Това изискване е условие за допустимост на проектното предложение и неспазването му ще доведе до отхвърляне на проекта.</w:t>
            </w:r>
          </w:p>
          <w:p w14:paraId="2802449E" w14:textId="2240CE9F" w:rsidR="00447299" w:rsidRDefault="00447299" w:rsidP="00332D38">
            <w:pPr>
              <w:jc w:val="both"/>
              <w:rPr>
                <w:rFonts w:ascii="Times New Roman" w:hAnsi="Times New Roman" w:cs="Times New Roman"/>
                <w:b/>
                <w:sz w:val="24"/>
                <w:szCs w:val="24"/>
              </w:rPr>
            </w:pPr>
          </w:p>
          <w:p w14:paraId="5367140D" w14:textId="77777777" w:rsidR="00D47281" w:rsidRDefault="00D47281" w:rsidP="00332D38">
            <w:pPr>
              <w:jc w:val="both"/>
              <w:rPr>
                <w:rFonts w:ascii="Times New Roman" w:hAnsi="Times New Roman"/>
                <w:b/>
                <w:sz w:val="24"/>
                <w:szCs w:val="24"/>
              </w:rPr>
            </w:pPr>
            <w:r>
              <w:rPr>
                <w:rFonts w:ascii="Times New Roman" w:hAnsi="Times New Roman"/>
                <w:b/>
                <w:sz w:val="24"/>
                <w:szCs w:val="24"/>
              </w:rPr>
              <w:t>3.Специфични за територията индикатори</w:t>
            </w:r>
          </w:p>
          <w:p w14:paraId="2873BEF4" w14:textId="75A844DF" w:rsidR="00097C30" w:rsidRDefault="00447299" w:rsidP="00332D38">
            <w:pPr>
              <w:jc w:val="both"/>
              <w:rPr>
                <w:rFonts w:ascii="Times New Roman" w:hAnsi="Times New Roman"/>
                <w:b/>
                <w:sz w:val="24"/>
                <w:szCs w:val="24"/>
              </w:rPr>
            </w:pPr>
            <w:r w:rsidRPr="00ED177F">
              <w:rPr>
                <w:rFonts w:ascii="Times New Roman" w:hAnsi="Times New Roman"/>
                <w:b/>
                <w:sz w:val="24"/>
                <w:szCs w:val="24"/>
              </w:rPr>
              <w:t xml:space="preserve">Специфичните индикатори по т. 9.4 за мярка 2.1 Социално-икономическа интеграция на </w:t>
            </w:r>
            <w:proofErr w:type="spellStart"/>
            <w:r w:rsidRPr="00ED177F">
              <w:rPr>
                <w:rFonts w:ascii="Times New Roman" w:hAnsi="Times New Roman"/>
                <w:b/>
                <w:sz w:val="24"/>
                <w:szCs w:val="24"/>
              </w:rPr>
              <w:t>маргинализирани</w:t>
            </w:r>
            <w:proofErr w:type="spellEnd"/>
            <w:r w:rsidRPr="00ED177F">
              <w:rPr>
                <w:rFonts w:ascii="Times New Roman" w:hAnsi="Times New Roman"/>
                <w:b/>
                <w:sz w:val="24"/>
                <w:szCs w:val="24"/>
              </w:rPr>
              <w:t xml:space="preserve"> общности като ромите по ОПНОИР (изходен) от СВОМР на МИГ Свиленград Ареал, различни от задължителните индикатори по ОП НОИР, не се вписват в </w:t>
            </w:r>
            <w:r w:rsidRPr="00ED177F">
              <w:rPr>
                <w:rFonts w:ascii="Times New Roman" w:hAnsi="Times New Roman"/>
                <w:b/>
                <w:sz w:val="24"/>
                <w:szCs w:val="24"/>
              </w:rPr>
              <w:lastRenderedPageBreak/>
              <w:t>секция 8 от Формуляра за кандидатстване. МИГ Свиленград Ареал ще отчита изпълнението на специфичните за СВОМР индикатори по тази мярка на ниво стратегия.</w:t>
            </w:r>
          </w:p>
          <w:p w14:paraId="32C582D6" w14:textId="77777777" w:rsidR="00447299" w:rsidRDefault="00447299" w:rsidP="00332D38">
            <w:pPr>
              <w:jc w:val="both"/>
              <w:rPr>
                <w:rFonts w:ascii="Times New Roman" w:hAnsi="Times New Roman" w:cs="Times New Roman"/>
                <w:b/>
                <w:sz w:val="24"/>
                <w:szCs w:val="24"/>
              </w:rPr>
            </w:pPr>
          </w:p>
          <w:p w14:paraId="54106647" w14:textId="62B0A0DF" w:rsidR="00D3393D" w:rsidRPr="004578C9" w:rsidRDefault="00071373" w:rsidP="00332D38">
            <w:pPr>
              <w:jc w:val="both"/>
              <w:rPr>
                <w:rFonts w:ascii="Times New Roman" w:hAnsi="Times New Roman" w:cs="Times New Roman"/>
                <w:b/>
                <w:sz w:val="24"/>
                <w:szCs w:val="24"/>
              </w:rPr>
            </w:pPr>
            <w:r>
              <w:rPr>
                <w:rFonts w:ascii="Times New Roman" w:hAnsi="Times New Roman" w:cs="Times New Roman"/>
                <w:b/>
                <w:sz w:val="24"/>
                <w:szCs w:val="24"/>
              </w:rPr>
              <w:t>ВАЖНО!</w:t>
            </w:r>
            <w:r w:rsidR="00D3393D" w:rsidRPr="004578C9">
              <w:rPr>
                <w:rFonts w:ascii="Times New Roman" w:hAnsi="Times New Roman" w:cs="Times New Roman"/>
                <w:b/>
                <w:sz w:val="24"/>
                <w:szCs w:val="24"/>
              </w:rPr>
              <w:t xml:space="preserve"> </w:t>
            </w:r>
          </w:p>
          <w:p w14:paraId="231343EB" w14:textId="037FA7F7" w:rsidR="00D173ED" w:rsidRPr="00D3393D" w:rsidRDefault="00D3393D" w:rsidP="00332D38">
            <w:pPr>
              <w:jc w:val="both"/>
              <w:rPr>
                <w:rFonts w:ascii="Times New Roman" w:hAnsi="Times New Roman" w:cs="Times New Roman"/>
                <w:sz w:val="24"/>
                <w:szCs w:val="24"/>
              </w:rPr>
            </w:pPr>
            <w:r w:rsidRPr="004578C9">
              <w:rPr>
                <w:rFonts w:ascii="Times New Roman" w:hAnsi="Times New Roman" w:cs="Times New Roman"/>
                <w:sz w:val="24"/>
                <w:szCs w:val="24"/>
              </w:rPr>
              <w:t>В случай на неизпълнение на прогнозните целеви стойности на индикаторите на кандидата ще бъдат наложени финансови корекции съгласно ПМС № 57 от 28 март 2017 г. за приемане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14:paraId="4677430E" w14:textId="68544248" w:rsidR="00D3393D" w:rsidRPr="00E2779E" w:rsidRDefault="00DF3048" w:rsidP="00332D38">
            <w:pPr>
              <w:jc w:val="both"/>
              <w:rPr>
                <w:rFonts w:ascii="Times New Roman" w:hAnsi="Times New Roman" w:cs="Times New Roman"/>
                <w:b/>
                <w:sz w:val="24"/>
                <w:szCs w:val="24"/>
              </w:rPr>
            </w:pPr>
            <w:r w:rsidRPr="00E2779E">
              <w:rPr>
                <w:rFonts w:ascii="Times New Roman" w:hAnsi="Times New Roman" w:cs="Times New Roman"/>
                <w:b/>
                <w:sz w:val="24"/>
                <w:szCs w:val="24"/>
              </w:rPr>
              <w:t>Заложеното количество трябва да съответства на описанието на включените в проекта дейности и кореспондиращите им разходи.</w:t>
            </w:r>
          </w:p>
          <w:p w14:paraId="38F42438" w14:textId="0CEDEACF" w:rsidR="00E142CF" w:rsidRPr="0067595B" w:rsidRDefault="00E142CF" w:rsidP="00332D38">
            <w:pPr>
              <w:jc w:val="both"/>
              <w:rPr>
                <w:rFonts w:ascii="Times New Roman" w:hAnsi="Times New Roman" w:cs="Times New Roman"/>
                <w:sz w:val="24"/>
                <w:szCs w:val="24"/>
              </w:rPr>
            </w:pPr>
            <w:r w:rsidRPr="00F96F43">
              <w:rPr>
                <w:rFonts w:ascii="Times New Roman" w:hAnsi="Times New Roman" w:cs="Times New Roman"/>
                <w:sz w:val="24"/>
                <w:szCs w:val="24"/>
              </w:rPr>
              <w:t xml:space="preserve">При </w:t>
            </w:r>
            <w:r w:rsidR="00D3393D">
              <w:rPr>
                <w:rFonts w:ascii="Times New Roman" w:hAnsi="Times New Roman" w:cs="Times New Roman"/>
                <w:sz w:val="24"/>
                <w:szCs w:val="24"/>
              </w:rPr>
              <w:t xml:space="preserve">кандидатстване и </w:t>
            </w:r>
            <w:r w:rsidRPr="00D22561">
              <w:rPr>
                <w:rFonts w:ascii="Times New Roman" w:hAnsi="Times New Roman" w:cs="Times New Roman"/>
                <w:sz w:val="24"/>
                <w:szCs w:val="24"/>
              </w:rPr>
              <w:t>сключване на договор</w:t>
            </w:r>
            <w:r w:rsidRPr="00F96F43">
              <w:rPr>
                <w:rFonts w:ascii="Times New Roman" w:hAnsi="Times New Roman" w:cs="Times New Roman"/>
                <w:sz w:val="24"/>
                <w:szCs w:val="24"/>
              </w:rPr>
              <w:t xml:space="preserve"> </w:t>
            </w:r>
            <w:r w:rsidR="00D22561" w:rsidRPr="00E542A9">
              <w:rPr>
                <w:rFonts w:ascii="Times New Roman" w:hAnsi="Times New Roman" w:cs="Times New Roman"/>
                <w:sz w:val="24"/>
                <w:szCs w:val="24"/>
              </w:rPr>
              <w:t>(</w:t>
            </w:r>
            <w:r w:rsidR="00E4186B">
              <w:rPr>
                <w:rFonts w:ascii="Times New Roman" w:hAnsi="Times New Roman" w:cs="Times New Roman"/>
                <w:sz w:val="24"/>
                <w:szCs w:val="24"/>
              </w:rPr>
              <w:t>и при настъпили промени, включително и при лицето представляващо кандидата</w:t>
            </w:r>
            <w:r w:rsidR="00D22561" w:rsidRPr="00E542A9">
              <w:rPr>
                <w:rFonts w:ascii="Times New Roman" w:hAnsi="Times New Roman" w:cs="Times New Roman"/>
                <w:sz w:val="24"/>
                <w:szCs w:val="24"/>
              </w:rPr>
              <w:t>)</w:t>
            </w:r>
            <w:r w:rsidR="00E4186B">
              <w:rPr>
                <w:rFonts w:ascii="Times New Roman" w:hAnsi="Times New Roman" w:cs="Times New Roman"/>
                <w:sz w:val="24"/>
                <w:szCs w:val="24"/>
              </w:rPr>
              <w:t xml:space="preserve"> </w:t>
            </w:r>
            <w:r w:rsidRPr="00F96F43">
              <w:rPr>
                <w:rFonts w:ascii="Times New Roman" w:hAnsi="Times New Roman" w:cs="Times New Roman"/>
                <w:sz w:val="24"/>
                <w:szCs w:val="24"/>
              </w:rPr>
              <w:t>за предоставяне на безвъзмездна финансова помощ</w:t>
            </w:r>
            <w:r w:rsidR="00E4186B">
              <w:t xml:space="preserve"> </w:t>
            </w:r>
            <w:r w:rsidRPr="00F96F43">
              <w:rPr>
                <w:rFonts w:ascii="Times New Roman" w:hAnsi="Times New Roman" w:cs="Times New Roman"/>
                <w:sz w:val="24"/>
                <w:szCs w:val="24"/>
              </w:rPr>
              <w:t xml:space="preserve">бенефициентът следва да попълни Декларация по образец за съгласие за ползване на данни на </w:t>
            </w:r>
            <w:r w:rsidRPr="0067595B">
              <w:rPr>
                <w:rFonts w:ascii="Times New Roman" w:hAnsi="Times New Roman" w:cs="Times New Roman"/>
                <w:sz w:val="24"/>
                <w:szCs w:val="24"/>
              </w:rPr>
              <w:t>кандидата</w:t>
            </w:r>
            <w:r w:rsidR="00D3393D" w:rsidRPr="0067595B">
              <w:rPr>
                <w:rFonts w:ascii="Times New Roman" w:hAnsi="Times New Roman" w:cs="Times New Roman"/>
                <w:sz w:val="24"/>
                <w:szCs w:val="24"/>
              </w:rPr>
              <w:t xml:space="preserve"> (При</w:t>
            </w:r>
            <w:r w:rsidR="00087AA5" w:rsidRPr="0067595B">
              <w:rPr>
                <w:rFonts w:ascii="Times New Roman" w:hAnsi="Times New Roman" w:cs="Times New Roman"/>
                <w:sz w:val="24"/>
                <w:szCs w:val="24"/>
              </w:rPr>
              <w:t>ложение</w:t>
            </w:r>
            <w:r w:rsidR="00087AA5" w:rsidRPr="0067595B">
              <w:rPr>
                <w:rFonts w:ascii="Times New Roman" w:hAnsi="Times New Roman" w:cs="Times New Roman"/>
                <w:sz w:val="24"/>
                <w:szCs w:val="24"/>
                <w:lang w:val="en-US"/>
              </w:rPr>
              <w:t xml:space="preserve"> III</w:t>
            </w:r>
            <w:r w:rsidR="00D3393D" w:rsidRPr="0067595B">
              <w:rPr>
                <w:rFonts w:ascii="Times New Roman" w:hAnsi="Times New Roman" w:cs="Times New Roman"/>
                <w:sz w:val="24"/>
                <w:szCs w:val="24"/>
              </w:rPr>
              <w:t>)</w:t>
            </w:r>
            <w:r w:rsidRPr="0067595B">
              <w:rPr>
                <w:rFonts w:ascii="Times New Roman" w:hAnsi="Times New Roman" w:cs="Times New Roman"/>
                <w:sz w:val="24"/>
                <w:szCs w:val="24"/>
              </w:rPr>
              <w:t xml:space="preserve"> за целите на отчитането по ОП НОИР.</w:t>
            </w:r>
          </w:p>
          <w:p w14:paraId="55062478" w14:textId="1420E7F0" w:rsidR="00E142CF" w:rsidRPr="00D15720" w:rsidRDefault="00E142CF" w:rsidP="009719E4">
            <w:pPr>
              <w:spacing w:after="120"/>
              <w:jc w:val="both"/>
              <w:rPr>
                <w:rFonts w:ascii="Times New Roman" w:hAnsi="Times New Roman" w:cs="Times New Roman"/>
                <w:i/>
                <w:sz w:val="24"/>
                <w:szCs w:val="24"/>
              </w:rPr>
            </w:pPr>
          </w:p>
        </w:tc>
      </w:tr>
    </w:tbl>
    <w:p w14:paraId="3168E112" w14:textId="77777777" w:rsidR="00E85B98" w:rsidRDefault="00E85B98" w:rsidP="009719E4">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E85B98" w14:paraId="2ED6EE76" w14:textId="77777777" w:rsidTr="00CA777C">
        <w:tc>
          <w:tcPr>
            <w:tcW w:w="10207" w:type="dxa"/>
          </w:tcPr>
          <w:p w14:paraId="1F8F4DCD" w14:textId="77777777" w:rsidR="00E85B98" w:rsidRPr="00EF5E4F" w:rsidRDefault="00E85B98" w:rsidP="009719E4">
            <w:pPr>
              <w:spacing w:after="120"/>
              <w:jc w:val="both"/>
              <w:rPr>
                <w:rFonts w:ascii="Times New Roman" w:hAnsi="Times New Roman" w:cs="Times New Roman"/>
                <w:b/>
                <w:sz w:val="24"/>
                <w:szCs w:val="24"/>
              </w:rPr>
            </w:pPr>
            <w:r w:rsidRPr="00EF5E4F">
              <w:rPr>
                <w:rFonts w:ascii="Times New Roman" w:hAnsi="Times New Roman" w:cs="Times New Roman"/>
                <w:b/>
                <w:sz w:val="24"/>
                <w:szCs w:val="24"/>
              </w:rPr>
              <w:t>8. Общ размер на безвъзмездната финансова помощ (БФП) по процедурата:</w:t>
            </w:r>
          </w:p>
          <w:tbl>
            <w:tblPr>
              <w:tblStyle w:val="ad"/>
              <w:tblW w:w="0" w:type="auto"/>
              <w:tblLook w:val="04A0" w:firstRow="1" w:lastRow="0" w:firstColumn="1" w:lastColumn="0" w:noHBand="0" w:noVBand="1"/>
            </w:tblPr>
            <w:tblGrid>
              <w:gridCol w:w="3325"/>
              <w:gridCol w:w="3325"/>
              <w:gridCol w:w="3326"/>
            </w:tblGrid>
            <w:tr w:rsidR="00A46B46" w14:paraId="4D4B2FB2" w14:textId="77777777" w:rsidTr="00A46B46">
              <w:tc>
                <w:tcPr>
                  <w:tcW w:w="3325" w:type="dxa"/>
                </w:tcPr>
                <w:p w14:paraId="2DA450B0" w14:textId="30F19294"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Общ размер на безвъзмезд</w:t>
                  </w:r>
                  <w:r>
                    <w:rPr>
                      <w:rFonts w:ascii="Times New Roman" w:hAnsi="Times New Roman" w:cs="Times New Roman"/>
                      <w:sz w:val="24"/>
                      <w:szCs w:val="24"/>
                    </w:rPr>
                    <w:t>ната финансова помощ – ОП НОИР</w:t>
                  </w:r>
                </w:p>
              </w:tc>
              <w:tc>
                <w:tcPr>
                  <w:tcW w:w="3325" w:type="dxa"/>
                </w:tcPr>
                <w:p w14:paraId="13B829DC" w14:textId="0070520B"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Средства</w:t>
                  </w:r>
                  <w:r>
                    <w:rPr>
                      <w:rFonts w:ascii="Times New Roman" w:hAnsi="Times New Roman" w:cs="Times New Roman"/>
                      <w:sz w:val="24"/>
                      <w:szCs w:val="24"/>
                    </w:rPr>
                    <w:t xml:space="preserve"> от ЕСФ</w:t>
                  </w:r>
                </w:p>
              </w:tc>
              <w:tc>
                <w:tcPr>
                  <w:tcW w:w="3326" w:type="dxa"/>
                </w:tcPr>
                <w:p w14:paraId="1B2AA00F" w14:textId="5100B5E7"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Национално съфинансиране</w:t>
                  </w:r>
                </w:p>
              </w:tc>
            </w:tr>
            <w:tr w:rsidR="00A46B46" w14:paraId="6C9F2AE1" w14:textId="77777777" w:rsidTr="00A46B46">
              <w:tc>
                <w:tcPr>
                  <w:tcW w:w="3325" w:type="dxa"/>
                </w:tcPr>
                <w:p w14:paraId="5871AE1B" w14:textId="06374C8D" w:rsidR="00A46B46" w:rsidRDefault="00A46B46" w:rsidP="00A46B46">
                  <w:pPr>
                    <w:spacing w:after="120"/>
                    <w:jc w:val="center"/>
                    <w:rPr>
                      <w:rFonts w:ascii="Times New Roman" w:hAnsi="Times New Roman" w:cs="Times New Roman"/>
                      <w:sz w:val="24"/>
                      <w:szCs w:val="24"/>
                    </w:rPr>
                  </w:pPr>
                  <w:r>
                    <w:rPr>
                      <w:rFonts w:ascii="Times New Roman" w:hAnsi="Times New Roman" w:cs="Times New Roman"/>
                      <w:sz w:val="24"/>
                      <w:szCs w:val="24"/>
                    </w:rPr>
                    <w:t>704 098,80лв.</w:t>
                  </w:r>
                </w:p>
              </w:tc>
              <w:tc>
                <w:tcPr>
                  <w:tcW w:w="3325" w:type="dxa"/>
                </w:tcPr>
                <w:p w14:paraId="1C3137F9" w14:textId="4ECC6127"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598 483,98</w:t>
                  </w:r>
                  <w:r w:rsidR="00A46B46">
                    <w:rPr>
                      <w:rFonts w:ascii="Times New Roman" w:hAnsi="Times New Roman" w:cs="Times New Roman"/>
                      <w:sz w:val="24"/>
                      <w:szCs w:val="24"/>
                    </w:rPr>
                    <w:t>лв.</w:t>
                  </w:r>
                </w:p>
              </w:tc>
              <w:tc>
                <w:tcPr>
                  <w:tcW w:w="3326" w:type="dxa"/>
                </w:tcPr>
                <w:p w14:paraId="273D1018" w14:textId="4C2F5493"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105 614,82</w:t>
                  </w:r>
                  <w:r w:rsidR="00A46B46">
                    <w:rPr>
                      <w:rFonts w:ascii="Times New Roman" w:hAnsi="Times New Roman" w:cs="Times New Roman"/>
                      <w:sz w:val="24"/>
                      <w:szCs w:val="24"/>
                    </w:rPr>
                    <w:t>лв</w:t>
                  </w:r>
                </w:p>
              </w:tc>
            </w:tr>
          </w:tbl>
          <w:p w14:paraId="751B2E95" w14:textId="134D706F" w:rsidR="00164AB1" w:rsidRPr="00164AB1" w:rsidRDefault="00164AB1" w:rsidP="009719E4">
            <w:pPr>
              <w:spacing w:after="120"/>
              <w:jc w:val="both"/>
              <w:rPr>
                <w:rFonts w:ascii="Times New Roman" w:hAnsi="Times New Roman" w:cs="Times New Roman"/>
                <w:sz w:val="24"/>
                <w:szCs w:val="24"/>
              </w:rPr>
            </w:pPr>
          </w:p>
        </w:tc>
      </w:tr>
    </w:tbl>
    <w:p w14:paraId="0686E0BD" w14:textId="77777777" w:rsidR="00EF5E4F" w:rsidRDefault="00EF5E4F"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13F9389" w14:textId="77777777" w:rsidTr="00CA777C">
        <w:tc>
          <w:tcPr>
            <w:tcW w:w="10207" w:type="dxa"/>
          </w:tcPr>
          <w:p w14:paraId="7F686B27" w14:textId="693FC2F6" w:rsidR="00E85B98" w:rsidRPr="00A063C0" w:rsidRDefault="00097C30" w:rsidP="009719E4">
            <w:pPr>
              <w:spacing w:after="120"/>
              <w:jc w:val="both"/>
              <w:rPr>
                <w:rFonts w:ascii="Times New Roman" w:hAnsi="Times New Roman" w:cs="Times New Roman"/>
                <w:b/>
                <w:sz w:val="24"/>
                <w:szCs w:val="24"/>
              </w:rPr>
            </w:pPr>
            <w:r>
              <w:rPr>
                <w:rFonts w:ascii="Times New Roman" w:hAnsi="Times New Roman" w:cs="Times New Roman"/>
                <w:b/>
                <w:sz w:val="24"/>
                <w:szCs w:val="24"/>
              </w:rPr>
              <w:t>9. Минимален</w:t>
            </w:r>
            <w:r w:rsidR="00E85B98" w:rsidRPr="00A063C0">
              <w:rPr>
                <w:rFonts w:ascii="Times New Roman" w:hAnsi="Times New Roman" w:cs="Times New Roman"/>
                <w:b/>
                <w:sz w:val="24"/>
                <w:szCs w:val="24"/>
              </w:rPr>
              <w:t xml:space="preserve"> и максимален размер на безвъзмездната финансова помощ (БФП) за конкретен проект:</w:t>
            </w:r>
          </w:p>
          <w:p w14:paraId="31BF4C1B" w14:textId="721351A2"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 xml:space="preserve">Минималният размер на БФП за проект е </w:t>
            </w:r>
            <w:r w:rsidR="009F6F5D">
              <w:rPr>
                <w:rFonts w:ascii="Times New Roman" w:hAnsi="Times New Roman" w:cs="Times New Roman"/>
                <w:sz w:val="24"/>
                <w:szCs w:val="24"/>
              </w:rPr>
              <w:t xml:space="preserve"> 50 000 </w:t>
            </w:r>
            <w:r w:rsidRPr="009A06EB">
              <w:rPr>
                <w:rFonts w:ascii="Times New Roman" w:hAnsi="Times New Roman" w:cs="Times New Roman"/>
                <w:sz w:val="24"/>
                <w:szCs w:val="24"/>
              </w:rPr>
              <w:t>лв.</w:t>
            </w:r>
          </w:p>
          <w:p w14:paraId="12D76FBE" w14:textId="40289583"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Максима</w:t>
            </w:r>
            <w:r w:rsidR="009F6F5D">
              <w:rPr>
                <w:rFonts w:ascii="Times New Roman" w:hAnsi="Times New Roman" w:cs="Times New Roman"/>
                <w:sz w:val="24"/>
                <w:szCs w:val="24"/>
              </w:rPr>
              <w:t xml:space="preserve">лният размер на БФП за проект 293 370 </w:t>
            </w:r>
            <w:r w:rsidRPr="009A06EB">
              <w:rPr>
                <w:rFonts w:ascii="Times New Roman" w:hAnsi="Times New Roman" w:cs="Times New Roman"/>
                <w:sz w:val="24"/>
                <w:szCs w:val="24"/>
              </w:rPr>
              <w:t>лв.</w:t>
            </w:r>
          </w:p>
          <w:p w14:paraId="40DE0A57" w14:textId="54EE1B31" w:rsidR="00E85B98" w:rsidRPr="00237778" w:rsidRDefault="00EB199F" w:rsidP="009719E4">
            <w:pPr>
              <w:spacing w:after="120"/>
              <w:jc w:val="both"/>
              <w:rPr>
                <w:rFonts w:ascii="Times New Roman" w:hAnsi="Times New Roman" w:cs="Times New Roman"/>
                <w:sz w:val="24"/>
                <w:szCs w:val="24"/>
              </w:rPr>
            </w:pPr>
            <w:r w:rsidRPr="00237778">
              <w:rPr>
                <w:rFonts w:ascii="Times New Roman" w:hAnsi="Times New Roman" w:cs="Times New Roman"/>
                <w:sz w:val="24"/>
                <w:szCs w:val="24"/>
              </w:rPr>
              <w:t>Минималният и максималният размер на безвъзмездна финансова помощ включва планираните преки и непреки разходи в бюджета на в</w:t>
            </w:r>
            <w:r w:rsidR="00237778">
              <w:rPr>
                <w:rFonts w:ascii="Times New Roman" w:hAnsi="Times New Roman" w:cs="Times New Roman"/>
                <w:sz w:val="24"/>
                <w:szCs w:val="24"/>
              </w:rPr>
              <w:t>сяко едно проектно предложение.</w:t>
            </w:r>
          </w:p>
        </w:tc>
      </w:tr>
    </w:tbl>
    <w:p w14:paraId="1F0B9FC6"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1BBF59F5" w14:textId="77777777" w:rsidTr="00CA777C">
        <w:tc>
          <w:tcPr>
            <w:tcW w:w="10207" w:type="dxa"/>
          </w:tcPr>
          <w:p w14:paraId="1BFD40D4" w14:textId="125959C8" w:rsidR="00C81D59" w:rsidRDefault="00C81D59" w:rsidP="009719E4">
            <w:pPr>
              <w:spacing w:after="120"/>
              <w:jc w:val="both"/>
              <w:rPr>
                <w:rFonts w:ascii="Times New Roman" w:hAnsi="Times New Roman" w:cs="Times New Roman"/>
                <w:b/>
                <w:sz w:val="24"/>
                <w:szCs w:val="24"/>
              </w:rPr>
            </w:pPr>
            <w:r w:rsidRPr="00C81D59">
              <w:rPr>
                <w:rFonts w:ascii="Times New Roman" w:hAnsi="Times New Roman" w:cs="Times New Roman"/>
                <w:b/>
                <w:sz w:val="24"/>
                <w:szCs w:val="24"/>
              </w:rPr>
              <w:t>10. Процент на съфинансиране:</w:t>
            </w:r>
          </w:p>
          <w:p w14:paraId="493F4824" w14:textId="76CC0384" w:rsidR="00C81D59" w:rsidRPr="00D15720" w:rsidRDefault="00237778" w:rsidP="00237778">
            <w:pPr>
              <w:spacing w:after="120"/>
              <w:jc w:val="both"/>
              <w:rPr>
                <w:rFonts w:ascii="Times New Roman" w:hAnsi="Times New Roman" w:cs="Times New Roman"/>
                <w:sz w:val="24"/>
                <w:szCs w:val="24"/>
              </w:rPr>
            </w:pPr>
            <w:r w:rsidRPr="00237778">
              <w:rPr>
                <w:rFonts w:ascii="Times New Roman" w:hAnsi="Times New Roman" w:cs="Times New Roman"/>
                <w:sz w:val="24"/>
                <w:szCs w:val="24"/>
              </w:rPr>
              <w:t>По процедурата не се изисква съфинансиране от кандидатите/партньорите.</w:t>
            </w:r>
          </w:p>
        </w:tc>
      </w:tr>
    </w:tbl>
    <w:p w14:paraId="16EACD6B" w14:textId="77777777" w:rsidR="00C81D59" w:rsidRDefault="00C81D59"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5DA897F0" w14:textId="77777777" w:rsidTr="00CA777C">
        <w:tc>
          <w:tcPr>
            <w:tcW w:w="10207" w:type="dxa"/>
          </w:tcPr>
          <w:p w14:paraId="718D83FA" w14:textId="573ECBEB" w:rsidR="000B7DAB"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 Допустимост на кандидатите</w:t>
            </w:r>
            <w:r w:rsidR="002F55DB">
              <w:rPr>
                <w:rFonts w:ascii="Times New Roman" w:hAnsi="Times New Roman" w:cs="Times New Roman"/>
                <w:b/>
                <w:sz w:val="24"/>
                <w:szCs w:val="24"/>
              </w:rPr>
              <w:t xml:space="preserve"> </w:t>
            </w:r>
          </w:p>
          <w:p w14:paraId="0670A31D" w14:textId="2E6A7041" w:rsidR="00C81D59" w:rsidRPr="00583DEE"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.1. Критерии за допустимост на кандидатите</w:t>
            </w:r>
            <w:r>
              <w:rPr>
                <w:rFonts w:ascii="Times New Roman" w:hAnsi="Times New Roman" w:cs="Times New Roman"/>
                <w:b/>
                <w:sz w:val="24"/>
                <w:szCs w:val="24"/>
              </w:rPr>
              <w:t xml:space="preserve"> </w:t>
            </w:r>
          </w:p>
          <w:p w14:paraId="104E47FD" w14:textId="18D95B2A" w:rsidR="00C81D59" w:rsidRPr="00164AB1" w:rsidRDefault="00164AB1" w:rsidP="009719E4">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кандидати по </w:t>
            </w:r>
            <w:r w:rsidR="00237778">
              <w:rPr>
                <w:rFonts w:ascii="Times New Roman" w:hAnsi="Times New Roman" w:cs="Times New Roman"/>
                <w:sz w:val="24"/>
                <w:szCs w:val="24"/>
              </w:rPr>
              <w:t xml:space="preserve">настоящата процедура </w:t>
            </w:r>
            <w:r w:rsidR="00892BF8">
              <w:rPr>
                <w:rFonts w:ascii="Times New Roman" w:hAnsi="Times New Roman" w:cs="Times New Roman"/>
                <w:sz w:val="24"/>
                <w:szCs w:val="24"/>
              </w:rPr>
              <w:t xml:space="preserve"> </w:t>
            </w:r>
            <w:r>
              <w:rPr>
                <w:rFonts w:ascii="Times New Roman" w:hAnsi="Times New Roman" w:cs="Times New Roman"/>
                <w:sz w:val="24"/>
                <w:szCs w:val="24"/>
              </w:rPr>
              <w:t>са:</w:t>
            </w:r>
          </w:p>
          <w:p w14:paraId="262C7B45" w14:textId="694C0ADF" w:rsidR="00C81D59" w:rsidRPr="00164AB1" w:rsidRDefault="00097C30"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p>
          <w:p w14:paraId="1381CF0D" w14:textId="77777777" w:rsidR="00C81D59" w:rsidRPr="00164AB1" w:rsidRDefault="00C81D59"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lastRenderedPageBreak/>
              <w:t>Детски градини;</w:t>
            </w:r>
          </w:p>
          <w:p w14:paraId="5D0D0900" w14:textId="382DFC8F" w:rsidR="000B7DAB" w:rsidRPr="000B7DAB" w:rsidRDefault="007F446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08C38BE7" w14:textId="77777777" w:rsidR="00AD731B" w:rsidRDefault="007F4463" w:rsidP="009719E4">
            <w:pPr>
              <w:spacing w:after="120"/>
              <w:jc w:val="both"/>
              <w:rPr>
                <w:rFonts w:ascii="Times New Roman" w:hAnsi="Times New Roman" w:cs="Times New Roman"/>
                <w:sz w:val="24"/>
                <w:szCs w:val="24"/>
              </w:rPr>
            </w:pPr>
            <w:r w:rsidRPr="00164AB1">
              <w:rPr>
                <w:rFonts w:ascii="Times New Roman" w:hAnsi="Times New Roman" w:cs="Times New Roman"/>
                <w:b/>
                <w:sz w:val="24"/>
                <w:szCs w:val="24"/>
              </w:rPr>
              <w:t>ВАЖНО!</w:t>
            </w:r>
            <w:r w:rsidRPr="00164AB1">
              <w:rPr>
                <w:rFonts w:ascii="Times New Roman" w:hAnsi="Times New Roman" w:cs="Times New Roman"/>
                <w:sz w:val="24"/>
                <w:szCs w:val="24"/>
              </w:rPr>
              <w:t xml:space="preserve"> </w:t>
            </w:r>
          </w:p>
          <w:p w14:paraId="03E9BF6C" w14:textId="32AE7865" w:rsidR="00AD731B" w:rsidRPr="000B7DAB"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b/>
                <w:sz w:val="24"/>
                <w:szCs w:val="24"/>
              </w:rPr>
              <w:t>Допустимите кандидати</w:t>
            </w:r>
            <w:r>
              <w:rPr>
                <w:rFonts w:ascii="Times New Roman" w:hAnsi="Times New Roman" w:cs="Times New Roman"/>
                <w:sz w:val="24"/>
                <w:szCs w:val="24"/>
              </w:rPr>
              <w:t xml:space="preserve"> и </w:t>
            </w:r>
            <w:r w:rsidRPr="00164AB1">
              <w:rPr>
                <w:rFonts w:ascii="Times New Roman" w:hAnsi="Times New Roman" w:cs="Times New Roman"/>
                <w:sz w:val="24"/>
                <w:szCs w:val="24"/>
              </w:rPr>
              <w:t>партньори следва да имат седалище и адрес на упра</w:t>
            </w:r>
            <w:r w:rsidR="00237778">
              <w:rPr>
                <w:rFonts w:ascii="Times New Roman" w:hAnsi="Times New Roman" w:cs="Times New Roman"/>
                <w:sz w:val="24"/>
                <w:szCs w:val="24"/>
              </w:rPr>
              <w:t>вление на т</w:t>
            </w:r>
            <w:r w:rsidR="00A75CCC">
              <w:rPr>
                <w:rFonts w:ascii="Times New Roman" w:hAnsi="Times New Roman" w:cs="Times New Roman"/>
                <w:sz w:val="24"/>
                <w:szCs w:val="24"/>
              </w:rPr>
              <w:t>ериторията на община Свиленград</w:t>
            </w:r>
          </w:p>
          <w:p w14:paraId="34F2A704" w14:textId="77777777" w:rsidR="00071373" w:rsidRDefault="007F4463" w:rsidP="009719E4">
            <w:pPr>
              <w:spacing w:after="120"/>
              <w:jc w:val="both"/>
              <w:rPr>
                <w:rFonts w:ascii="Times New Roman" w:hAnsi="Times New Roman" w:cs="Times New Roman"/>
                <w:sz w:val="24"/>
                <w:szCs w:val="24"/>
              </w:rPr>
            </w:pPr>
            <w:r w:rsidRPr="00892BF8">
              <w:rPr>
                <w:rFonts w:ascii="Times New Roman" w:hAnsi="Times New Roman" w:cs="Times New Roman"/>
                <w:b/>
                <w:sz w:val="24"/>
                <w:szCs w:val="24"/>
              </w:rPr>
              <w:t>ВАЖНО!</w:t>
            </w:r>
            <w:r w:rsidRPr="007F4463">
              <w:rPr>
                <w:rFonts w:ascii="Times New Roman" w:hAnsi="Times New Roman" w:cs="Times New Roman"/>
                <w:sz w:val="24"/>
                <w:szCs w:val="24"/>
              </w:rPr>
              <w:t xml:space="preserve"> </w:t>
            </w:r>
          </w:p>
          <w:p w14:paraId="53D92A18" w14:textId="0C90C30B" w:rsidR="007F4463" w:rsidRPr="007F4463"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sz w:val="24"/>
                <w:szCs w:val="24"/>
              </w:rPr>
              <w:t xml:space="preserve">Допустимите </w:t>
            </w:r>
            <w:r>
              <w:rPr>
                <w:rFonts w:ascii="Times New Roman" w:hAnsi="Times New Roman" w:cs="Times New Roman"/>
                <w:sz w:val="24"/>
                <w:szCs w:val="24"/>
              </w:rPr>
              <w:t>кандидати</w:t>
            </w:r>
            <w:r w:rsidRPr="007F4463">
              <w:rPr>
                <w:rFonts w:ascii="Times New Roman" w:hAnsi="Times New Roman" w:cs="Times New Roman"/>
                <w:sz w:val="24"/>
                <w:szCs w:val="24"/>
              </w:rPr>
              <w:t xml:space="preserve"> по ОП НОИР кандидатстват само с едно проектно предложение по</w:t>
            </w:r>
            <w:r w:rsidR="003B553B">
              <w:rPr>
                <w:rFonts w:ascii="Times New Roman" w:hAnsi="Times New Roman" w:cs="Times New Roman"/>
                <w:sz w:val="24"/>
                <w:szCs w:val="24"/>
              </w:rPr>
              <w:t xml:space="preserve"> процедура „</w:t>
            </w:r>
            <w:r w:rsidR="00CF37F3">
              <w:rPr>
                <w:rFonts w:ascii="Times New Roman" w:hAnsi="Times New Roman" w:cs="Times New Roman"/>
                <w:sz w:val="24"/>
                <w:szCs w:val="24"/>
              </w:rPr>
              <w:t xml:space="preserve">МИГ Свиленград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A0258C" w:rsidRPr="00A0258C">
              <w:rPr>
                <w:rFonts w:ascii="Times New Roman" w:hAnsi="Times New Roman" w:cs="Times New Roman"/>
                <w:sz w:val="24"/>
                <w:szCs w:val="24"/>
              </w:rPr>
              <w:t>трудно достъпните райони</w:t>
            </w:r>
            <w:r w:rsidR="00A0258C">
              <w:rPr>
                <w:rFonts w:ascii="Times New Roman" w:hAnsi="Times New Roman" w:cs="Times New Roman"/>
                <w:sz w:val="24"/>
                <w:szCs w:val="24"/>
              </w:rPr>
              <w:t xml:space="preserve">“ </w:t>
            </w:r>
            <w:r w:rsidRPr="007F4463">
              <w:rPr>
                <w:rFonts w:ascii="Times New Roman" w:hAnsi="Times New Roman" w:cs="Times New Roman"/>
                <w:sz w:val="24"/>
                <w:szCs w:val="24"/>
              </w:rPr>
              <w:t>към стратегия за ВОМР.</w:t>
            </w:r>
          </w:p>
          <w:p w14:paraId="2AE927BE" w14:textId="4FF65B97" w:rsidR="00C81D59" w:rsidRPr="00164AB1"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w:t>
            </w:r>
            <w:r w:rsidR="00C81D59" w:rsidRPr="00164AB1">
              <w:rPr>
                <w:rFonts w:ascii="Times New Roman" w:hAnsi="Times New Roman" w:cs="Times New Roman"/>
                <w:b/>
                <w:sz w:val="24"/>
                <w:szCs w:val="24"/>
              </w:rPr>
              <w:t xml:space="preserve">е задължително </w:t>
            </w:r>
            <w:r w:rsidR="0054689D">
              <w:rPr>
                <w:rFonts w:ascii="Times New Roman" w:hAnsi="Times New Roman" w:cs="Times New Roman"/>
                <w:b/>
                <w:sz w:val="24"/>
                <w:szCs w:val="24"/>
              </w:rPr>
              <w:t xml:space="preserve">условие </w:t>
            </w:r>
            <w:r w:rsidR="006E42C6">
              <w:rPr>
                <w:rFonts w:ascii="Times New Roman" w:hAnsi="Times New Roman" w:cs="Times New Roman"/>
                <w:b/>
                <w:sz w:val="24"/>
                <w:szCs w:val="24"/>
              </w:rPr>
              <w:t>за допустимост на проекта</w:t>
            </w:r>
            <w:r w:rsidR="00C81D59" w:rsidRPr="00164AB1">
              <w:rPr>
                <w:rFonts w:ascii="Times New Roman" w:hAnsi="Times New Roman" w:cs="Times New Roman"/>
                <w:b/>
                <w:sz w:val="24"/>
                <w:szCs w:val="24"/>
              </w:rPr>
              <w:t>!</w:t>
            </w:r>
          </w:p>
          <w:p w14:paraId="6313F88D" w14:textId="166B5C88" w:rsidR="00D23050" w:rsidRPr="00D23050"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Кандидатите</w:t>
            </w:r>
            <w:r w:rsidR="00C81D59" w:rsidRPr="00164AB1">
              <w:rPr>
                <w:rFonts w:ascii="Times New Roman" w:hAnsi="Times New Roman" w:cs="Times New Roman"/>
                <w:b/>
                <w:sz w:val="24"/>
                <w:szCs w:val="24"/>
              </w:rPr>
              <w:t xml:space="preserve"> задължително подписват Споразумение за партньорство</w:t>
            </w:r>
            <w:r w:rsidR="00D23050">
              <w:rPr>
                <w:rFonts w:ascii="Times New Roman" w:hAnsi="Times New Roman" w:cs="Times New Roman"/>
                <w:b/>
                <w:sz w:val="24"/>
                <w:szCs w:val="24"/>
              </w:rPr>
              <w:t xml:space="preserve"> с избраните партньори</w:t>
            </w:r>
            <w:r w:rsidR="00C81D59" w:rsidRPr="00164AB1">
              <w:rPr>
                <w:rFonts w:ascii="Times New Roman" w:hAnsi="Times New Roman" w:cs="Times New Roman"/>
                <w:b/>
                <w:sz w:val="24"/>
                <w:szCs w:val="24"/>
              </w:rPr>
              <w:t xml:space="preserve">, в което детайлно описват ролята и задълженията </w:t>
            </w:r>
            <w:r w:rsidRPr="00164AB1">
              <w:rPr>
                <w:rFonts w:ascii="Times New Roman" w:hAnsi="Times New Roman" w:cs="Times New Roman"/>
                <w:b/>
                <w:sz w:val="24"/>
                <w:szCs w:val="24"/>
              </w:rPr>
              <w:t>на всеки участник в партньорството</w:t>
            </w:r>
            <w:r w:rsidR="00C81D59" w:rsidRPr="00164AB1">
              <w:rPr>
                <w:rFonts w:ascii="Times New Roman" w:hAnsi="Times New Roman" w:cs="Times New Roman"/>
                <w:b/>
                <w:sz w:val="24"/>
                <w:szCs w:val="24"/>
              </w:rPr>
              <w:t>, както и начина на избор на всеки партньор по проекта.</w:t>
            </w:r>
            <w:r w:rsidR="00FC6413">
              <w:rPr>
                <w:rFonts w:ascii="Times New Roman" w:hAnsi="Times New Roman" w:cs="Times New Roman"/>
                <w:b/>
                <w:sz w:val="24"/>
                <w:szCs w:val="24"/>
              </w:rPr>
              <w:t xml:space="preserve"> Избора</w:t>
            </w:r>
            <w:r w:rsidR="0054689D">
              <w:rPr>
                <w:rFonts w:ascii="Times New Roman" w:hAnsi="Times New Roman" w:cs="Times New Roman"/>
                <w:b/>
                <w:sz w:val="24"/>
                <w:szCs w:val="24"/>
              </w:rPr>
              <w:t xml:space="preserve"> на партньори от страна на кандидата следва да бъде </w:t>
            </w:r>
            <w:r w:rsidR="00D23050">
              <w:rPr>
                <w:rFonts w:ascii="Times New Roman" w:hAnsi="Times New Roman" w:cs="Times New Roman"/>
                <w:b/>
                <w:sz w:val="24"/>
                <w:szCs w:val="24"/>
              </w:rPr>
              <w:t xml:space="preserve">на </w:t>
            </w:r>
            <w:r w:rsidR="00D23050" w:rsidRPr="00D23050">
              <w:rPr>
                <w:rFonts w:ascii="Times New Roman" w:hAnsi="Times New Roman" w:cs="Times New Roman"/>
                <w:b/>
                <w:sz w:val="24"/>
                <w:szCs w:val="24"/>
              </w:rPr>
              <w:t>база публичн</w:t>
            </w:r>
            <w:r w:rsidR="00D23050">
              <w:rPr>
                <w:rFonts w:ascii="Times New Roman" w:hAnsi="Times New Roman" w:cs="Times New Roman"/>
                <w:b/>
                <w:sz w:val="24"/>
                <w:szCs w:val="24"/>
              </w:rPr>
              <w:t>а и прозрачна процедура - например</w:t>
            </w:r>
            <w:r w:rsidR="00D23050" w:rsidRPr="00D23050">
              <w:rPr>
                <w:rFonts w:ascii="Times New Roman" w:hAnsi="Times New Roman" w:cs="Times New Roman"/>
                <w:b/>
                <w:sz w:val="24"/>
                <w:szCs w:val="24"/>
              </w:rPr>
              <w:t xml:space="preserve"> обява във вестник, на интернет страницата на кандидата</w:t>
            </w:r>
            <w:r w:rsidR="00D23050">
              <w:rPr>
                <w:rFonts w:ascii="Times New Roman" w:hAnsi="Times New Roman" w:cs="Times New Roman"/>
                <w:b/>
                <w:sz w:val="24"/>
                <w:szCs w:val="24"/>
              </w:rPr>
              <w:t xml:space="preserve">, </w:t>
            </w:r>
            <w:r w:rsidR="00D23050" w:rsidRPr="00D23050">
              <w:rPr>
                <w:rFonts w:ascii="Times New Roman" w:hAnsi="Times New Roman" w:cs="Times New Roman"/>
                <w:b/>
                <w:sz w:val="24"/>
                <w:szCs w:val="24"/>
              </w:rPr>
              <w:t xml:space="preserve">и др. по преценка на кандидата. </w:t>
            </w:r>
            <w:r w:rsidR="00D23050">
              <w:rPr>
                <w:rFonts w:ascii="Times New Roman" w:hAnsi="Times New Roman" w:cs="Times New Roman"/>
                <w:b/>
                <w:sz w:val="24"/>
                <w:szCs w:val="24"/>
              </w:rPr>
              <w:t xml:space="preserve">Кандидатите – общини съгласно чл. 59 и следващи от ЗМСМА задължително представят </w:t>
            </w:r>
            <w:r w:rsidR="00D23050" w:rsidRPr="00D23050">
              <w:rPr>
                <w:rFonts w:ascii="Times New Roman" w:hAnsi="Times New Roman" w:cs="Times New Roman"/>
                <w:b/>
                <w:sz w:val="24"/>
                <w:szCs w:val="24"/>
              </w:rPr>
              <w:t xml:space="preserve">Решение на Общинския съвет за: </w:t>
            </w:r>
          </w:p>
          <w:p w14:paraId="1033262C" w14:textId="11027463" w:rsidR="00D23050"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подаване на проектно предложение по конкретната процедура;</w:t>
            </w:r>
          </w:p>
          <w:p w14:paraId="4DA65CD2" w14:textId="42C8E56B" w:rsidR="00C81D59"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 xml:space="preserve">одобряване на споразумение за </w:t>
            </w:r>
            <w:r w:rsidR="00BF7AF7" w:rsidRPr="00D15720">
              <w:rPr>
                <w:rFonts w:ascii="Times New Roman" w:hAnsi="Times New Roman" w:cs="Times New Roman"/>
                <w:b/>
                <w:sz w:val="24"/>
                <w:szCs w:val="24"/>
              </w:rPr>
              <w:t xml:space="preserve">партньорство </w:t>
            </w:r>
            <w:r w:rsidRPr="00D15720">
              <w:rPr>
                <w:rFonts w:ascii="Times New Roman" w:hAnsi="Times New Roman" w:cs="Times New Roman"/>
                <w:b/>
                <w:sz w:val="24"/>
                <w:szCs w:val="24"/>
              </w:rPr>
              <w:t>с конкретния/те партньор/и по проекта.</w:t>
            </w:r>
          </w:p>
          <w:p w14:paraId="25EF57C7" w14:textId="101F72A2" w:rsidR="00AC4733" w:rsidRPr="00486F07" w:rsidRDefault="00AC4733" w:rsidP="009719E4">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t>Кандидатът е пряко отговорен за подготовката, управлението и изпълнението на дейностите по проекта, а не да изпълнява ролята на посредник.</w:t>
            </w:r>
          </w:p>
          <w:p w14:paraId="7A63DFC2" w14:textId="716CC0AB" w:rsidR="00F70CDF" w:rsidRPr="0067595B" w:rsidRDefault="00C81D59" w:rsidP="009719E4">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 xml:space="preserve">и </w:t>
            </w:r>
            <w:r w:rsidR="007A7FC0" w:rsidRPr="00164AB1">
              <w:rPr>
                <w:rFonts w:ascii="Times New Roman" w:hAnsi="Times New Roman" w:cs="Times New Roman"/>
                <w:sz w:val="24"/>
                <w:szCs w:val="24"/>
              </w:rPr>
              <w:t>Оперативна програма „Развитие на човешките ресурси“</w:t>
            </w:r>
            <w:r w:rsidR="00F70CDF">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sidR="00F70CDF">
              <w:rPr>
                <w:rFonts w:ascii="Times New Roman" w:hAnsi="Times New Roman" w:cs="Times New Roman"/>
                <w:sz w:val="24"/>
                <w:szCs w:val="24"/>
              </w:rPr>
              <w:t>и в рамките на самата ОП НОИР  кандидати</w:t>
            </w:r>
            <w:r w:rsidR="00F70CDF" w:rsidRPr="00F70CDF">
              <w:rPr>
                <w:rFonts w:ascii="Times New Roman" w:hAnsi="Times New Roman" w:cs="Times New Roman"/>
                <w:sz w:val="24"/>
                <w:szCs w:val="24"/>
              </w:rPr>
              <w:t xml:space="preserve">, които изпълняват проекти по </w:t>
            </w:r>
            <w:r w:rsidR="00F70CDF" w:rsidRPr="002B1899">
              <w:rPr>
                <w:rFonts w:ascii="Times New Roman" w:hAnsi="Times New Roman" w:cs="Times New Roman"/>
                <w:sz w:val="24"/>
                <w:szCs w:val="24"/>
              </w:rPr>
              <w:t xml:space="preserve">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00F70CDF" w:rsidRPr="002B1899">
              <w:rPr>
                <w:rFonts w:ascii="Times New Roman" w:hAnsi="Times New Roman" w:cs="Times New Roman"/>
                <w:sz w:val="24"/>
                <w:szCs w:val="24"/>
              </w:rPr>
              <w:t>на ОП НОИР и интегрирана процедура „Социалн</w:t>
            </w:r>
            <w:r w:rsidR="00533C98" w:rsidRPr="002B1899">
              <w:rPr>
                <w:rFonts w:ascii="Times New Roman" w:hAnsi="Times New Roman" w:cs="Times New Roman"/>
                <w:sz w:val="24"/>
                <w:szCs w:val="24"/>
              </w:rPr>
              <w:t>о</w:t>
            </w:r>
            <w:r w:rsidR="00F70CDF" w:rsidRPr="002B1899">
              <w:rPr>
                <w:rFonts w:ascii="Times New Roman" w:hAnsi="Times New Roman" w:cs="Times New Roman"/>
                <w:sz w:val="24"/>
                <w:szCs w:val="24"/>
              </w:rPr>
              <w:t xml:space="preserve">-икономическа интеграция </w:t>
            </w:r>
            <w:r w:rsidR="00F70CDF" w:rsidRPr="0067595B">
              <w:rPr>
                <w:rFonts w:ascii="Times New Roman" w:hAnsi="Times New Roman" w:cs="Times New Roman"/>
                <w:sz w:val="24"/>
                <w:szCs w:val="24"/>
              </w:rPr>
              <w:t>на уязвими групи. Интегрирани мерки за подобряване достъпа до образование“ при кандидатстване по настоящата процедура следва да опишат как ще се разграничават и надграждат проектите, с цел избягване на двойно финансиране, ако проектите се застъпват в периода на изпълнение.</w:t>
            </w:r>
            <w:r w:rsidR="00126006" w:rsidRPr="0067595B">
              <w:rPr>
                <w:rFonts w:ascii="Times New Roman" w:hAnsi="Times New Roman" w:cs="Times New Roman"/>
                <w:sz w:val="24"/>
                <w:szCs w:val="24"/>
              </w:rPr>
              <w:t xml:space="preserve"> </w:t>
            </w:r>
            <w:r w:rsidR="003D2BAE" w:rsidRPr="0067595B">
              <w:rPr>
                <w:rFonts w:ascii="Times New Roman" w:hAnsi="Times New Roman" w:cs="Times New Roman"/>
                <w:sz w:val="24"/>
                <w:szCs w:val="24"/>
              </w:rPr>
              <w:t xml:space="preserve">Кандидатите попълват и Декларация за липса на двойно финансиране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IV</w:t>
            </w:r>
            <w:r w:rsidR="003D2BAE" w:rsidRPr="0067595B">
              <w:rPr>
                <w:rFonts w:ascii="Times New Roman" w:hAnsi="Times New Roman" w:cs="Times New Roman"/>
                <w:sz w:val="24"/>
                <w:szCs w:val="24"/>
              </w:rPr>
              <w:t>).</w:t>
            </w:r>
          </w:p>
          <w:p w14:paraId="1A655BE7" w14:textId="4E0E7CF1" w:rsidR="0030056A" w:rsidRPr="0067595B" w:rsidRDefault="0030056A" w:rsidP="009719E4">
            <w:pPr>
              <w:spacing w:after="120"/>
              <w:jc w:val="both"/>
              <w:rPr>
                <w:rFonts w:ascii="Times New Roman" w:hAnsi="Times New Roman" w:cs="Times New Roman"/>
                <w:sz w:val="24"/>
                <w:szCs w:val="24"/>
                <w:highlight w:val="cyan"/>
              </w:rPr>
            </w:pPr>
            <w:r w:rsidRPr="0067595B">
              <w:rPr>
                <w:rFonts w:ascii="Times New Roman" w:hAnsi="Times New Roman" w:cs="Times New Roman"/>
                <w:sz w:val="24"/>
                <w:szCs w:val="24"/>
              </w:rPr>
              <w:t xml:space="preserve">Кандидатът отговаря на изискванията за административен, </w:t>
            </w:r>
            <w:r w:rsidR="0054689D" w:rsidRPr="0067595B">
              <w:rPr>
                <w:rFonts w:ascii="Times New Roman" w:hAnsi="Times New Roman" w:cs="Times New Roman"/>
                <w:sz w:val="24"/>
                <w:szCs w:val="24"/>
              </w:rPr>
              <w:t xml:space="preserve">технически и финансов капацитет съгласно методология за техническа и финансова оценка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XII</w:t>
            </w:r>
            <w:r w:rsidR="0054689D" w:rsidRPr="0067595B">
              <w:rPr>
                <w:rFonts w:ascii="Times New Roman" w:hAnsi="Times New Roman" w:cs="Times New Roman"/>
                <w:sz w:val="24"/>
                <w:szCs w:val="24"/>
              </w:rPr>
              <w:t>).</w:t>
            </w:r>
          </w:p>
          <w:p w14:paraId="2B311528" w14:textId="28AC5F14" w:rsidR="006169C3" w:rsidRPr="0067595B" w:rsidRDefault="006169C3"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в Секция  9 „Екип“ и </w:t>
            </w:r>
            <w:r w:rsidR="005B45FA"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оценка на проектното предложение“;  поле „Опит на кандидата и партньора/партньорите“ </w:t>
            </w:r>
            <w:r w:rsidR="005B45FA" w:rsidRPr="0067595B">
              <w:rPr>
                <w:rFonts w:ascii="Times New Roman" w:hAnsi="Times New Roman" w:cs="Times New Roman"/>
                <w:sz w:val="24"/>
                <w:szCs w:val="24"/>
              </w:rPr>
              <w:t xml:space="preserve"> от </w:t>
            </w:r>
            <w:r w:rsidRPr="0067595B">
              <w:rPr>
                <w:rFonts w:ascii="Times New Roman" w:hAnsi="Times New Roman" w:cs="Times New Roman"/>
                <w:sz w:val="24"/>
                <w:szCs w:val="24"/>
              </w:rPr>
              <w:t xml:space="preserve">Формуляр </w:t>
            </w:r>
            <w:r w:rsidRPr="0067595B">
              <w:rPr>
                <w:rFonts w:ascii="Times New Roman" w:hAnsi="Times New Roman" w:cs="Times New Roman"/>
                <w:sz w:val="24"/>
                <w:szCs w:val="24"/>
              </w:rPr>
              <w:lastRenderedPageBreak/>
              <w:t>за кандидатстване</w:t>
            </w:r>
            <w:r w:rsidR="000A3F37" w:rsidRPr="0067595B">
              <w:rPr>
                <w:rFonts w:ascii="Times New Roman" w:hAnsi="Times New Roman" w:cs="Times New Roman"/>
                <w:sz w:val="24"/>
                <w:szCs w:val="24"/>
              </w:rPr>
              <w:t xml:space="preserve">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000A3F37" w:rsidRPr="0067595B">
              <w:rPr>
                <w:rFonts w:ascii="Times New Roman" w:hAnsi="Times New Roman" w:cs="Times New Roman"/>
                <w:sz w:val="24"/>
                <w:szCs w:val="24"/>
              </w:rPr>
              <w:t>) на членовете на екипа за организация и управление на проекта.</w:t>
            </w:r>
            <w:r w:rsidR="005B45FA" w:rsidRPr="0067595B">
              <w:rPr>
                <w:rFonts w:ascii="Times New Roman" w:hAnsi="Times New Roman" w:cs="Times New Roman"/>
                <w:sz w:val="24"/>
                <w:szCs w:val="24"/>
              </w:rPr>
              <w:t xml:space="preserve"> </w:t>
            </w:r>
          </w:p>
          <w:p w14:paraId="58B970CE" w14:textId="735989F4" w:rsidR="00B07D89" w:rsidRPr="0067595B" w:rsidRDefault="005B45FA"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За доказване на финансов капацитет кандидатът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w:t>
            </w:r>
            <w:r w:rsidR="001E36C1" w:rsidRPr="0067595B">
              <w:rPr>
                <w:rFonts w:ascii="Times New Roman" w:hAnsi="Times New Roman" w:cs="Times New Roman"/>
                <w:sz w:val="24"/>
                <w:szCs w:val="24"/>
              </w:rPr>
              <w:t>,</w:t>
            </w:r>
            <w:r w:rsidRPr="0067595B">
              <w:rPr>
                <w:rFonts w:ascii="Times New Roman" w:hAnsi="Times New Roman" w:cs="Times New Roman"/>
                <w:sz w:val="24"/>
                <w:szCs w:val="24"/>
              </w:rPr>
              <w:t xml:space="preserve">  както и информация в</w:t>
            </w:r>
            <w:r w:rsidR="001E36C1" w:rsidRPr="0067595B">
              <w:rPr>
                <w:rFonts w:ascii="Times New Roman" w:hAnsi="Times New Roman" w:cs="Times New Roman"/>
                <w:sz w:val="24"/>
                <w:szCs w:val="24"/>
              </w:rPr>
              <w:t>ъв</w:t>
            </w:r>
            <w:r w:rsidRPr="0067595B">
              <w:rPr>
                <w:rFonts w:ascii="Times New Roman" w:hAnsi="Times New Roman" w:cs="Times New Roman"/>
                <w:sz w:val="24"/>
                <w:szCs w:val="24"/>
              </w:rPr>
              <w:t xml:space="preserve"> Формуляр за кандидатстване, </w:t>
            </w:r>
            <w:r w:rsidR="001E36C1"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w:t>
            </w:r>
            <w:r w:rsidR="00F14BC1" w:rsidRPr="0067595B">
              <w:rPr>
                <w:rFonts w:ascii="Times New Roman" w:hAnsi="Times New Roman" w:cs="Times New Roman"/>
                <w:sz w:val="24"/>
                <w:szCs w:val="24"/>
              </w:rPr>
              <w:t>нка на проектното предложение“.</w:t>
            </w:r>
            <w:r w:rsidRPr="0067595B">
              <w:rPr>
                <w:rFonts w:ascii="Times New Roman" w:hAnsi="Times New Roman" w:cs="Times New Roman"/>
                <w:sz w:val="24"/>
                <w:szCs w:val="24"/>
              </w:rPr>
              <w:t xml:space="preserve"> </w:t>
            </w:r>
            <w:r w:rsidR="00B07D89" w:rsidRPr="0067595B">
              <w:rPr>
                <w:rFonts w:ascii="Times New Roman" w:hAnsi="Times New Roman" w:cs="Times New Roman"/>
                <w:sz w:val="24"/>
                <w:szCs w:val="24"/>
              </w:rPr>
              <w:t xml:space="preserve">За кандидати </w:t>
            </w:r>
            <w:r w:rsidR="0077091B" w:rsidRPr="0067595B">
              <w:rPr>
                <w:rFonts w:ascii="Times New Roman" w:hAnsi="Times New Roman" w:cs="Times New Roman"/>
                <w:sz w:val="24"/>
                <w:szCs w:val="24"/>
              </w:rPr>
              <w:t>–</w:t>
            </w:r>
            <w:r w:rsidR="00B07D89" w:rsidRPr="0067595B">
              <w:rPr>
                <w:rFonts w:ascii="Times New Roman" w:hAnsi="Times New Roman" w:cs="Times New Roman"/>
                <w:sz w:val="24"/>
                <w:szCs w:val="24"/>
              </w:rPr>
              <w:t xml:space="preserve"> </w:t>
            </w:r>
            <w:r w:rsidR="0077091B" w:rsidRPr="0067595B">
              <w:rPr>
                <w:rFonts w:ascii="Times New Roman" w:hAnsi="Times New Roman" w:cs="Times New Roman"/>
                <w:sz w:val="24"/>
                <w:szCs w:val="24"/>
              </w:rPr>
              <w:t xml:space="preserve">общини проверките </w:t>
            </w:r>
            <w:r w:rsidR="00CE1E79" w:rsidRPr="0067595B">
              <w:rPr>
                <w:rFonts w:ascii="Times New Roman" w:hAnsi="Times New Roman" w:cs="Times New Roman"/>
                <w:sz w:val="24"/>
                <w:szCs w:val="24"/>
              </w:rPr>
              <w:t xml:space="preserve">за финансов капацитет </w:t>
            </w:r>
            <w:r w:rsidR="0077091B" w:rsidRPr="0067595B">
              <w:rPr>
                <w:rFonts w:ascii="Times New Roman" w:hAnsi="Times New Roman" w:cs="Times New Roman"/>
                <w:sz w:val="24"/>
                <w:szCs w:val="24"/>
              </w:rPr>
              <w:t xml:space="preserve">се правят </w:t>
            </w:r>
            <w:r w:rsidR="00CE1E79" w:rsidRPr="0067595B">
              <w:rPr>
                <w:rFonts w:ascii="Times New Roman" w:hAnsi="Times New Roman" w:cs="Times New Roman"/>
                <w:sz w:val="24"/>
                <w:szCs w:val="24"/>
              </w:rPr>
              <w:t>служебно от оценителната комисия към момента на кандидатстване в Закона за държавния бюджет.</w:t>
            </w:r>
          </w:p>
          <w:p w14:paraId="3EDBDB25" w14:textId="7CA95FA8" w:rsidR="005431DF" w:rsidRPr="0067595B" w:rsidRDefault="005431DF"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11.2. </w:t>
            </w:r>
            <w:r w:rsidR="008821B3" w:rsidRPr="0067595B">
              <w:rPr>
                <w:rFonts w:ascii="Times New Roman" w:hAnsi="Times New Roman" w:cs="Times New Roman"/>
                <w:b/>
                <w:sz w:val="24"/>
                <w:szCs w:val="24"/>
              </w:rPr>
              <w:t>Недопустими кандидати</w:t>
            </w:r>
            <w:r w:rsidRPr="0067595B">
              <w:rPr>
                <w:rFonts w:ascii="Times New Roman" w:hAnsi="Times New Roman" w:cs="Times New Roman"/>
                <w:b/>
                <w:sz w:val="24"/>
                <w:szCs w:val="24"/>
              </w:rPr>
              <w:t xml:space="preserve"> </w:t>
            </w:r>
          </w:p>
          <w:p w14:paraId="1372FEC6" w14:textId="25ABE434" w:rsidR="005431DF"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Недопустими са всички кандидати извън изброените в т.1</w:t>
            </w:r>
            <w:r w:rsidR="00164AB1" w:rsidRPr="0067595B">
              <w:rPr>
                <w:rFonts w:ascii="Times New Roman" w:hAnsi="Times New Roman" w:cs="Times New Roman"/>
                <w:sz w:val="24"/>
                <w:szCs w:val="24"/>
              </w:rPr>
              <w:t>1</w:t>
            </w:r>
            <w:r w:rsidRPr="0067595B">
              <w:rPr>
                <w:rFonts w:ascii="Times New Roman" w:hAnsi="Times New Roman" w:cs="Times New Roman"/>
                <w:sz w:val="24"/>
                <w:szCs w:val="24"/>
              </w:rPr>
              <w:t>.1.</w:t>
            </w:r>
          </w:p>
          <w:p w14:paraId="0F0CEC54" w14:textId="4250CD5C" w:rsidR="000A3F37" w:rsidRPr="000A3F37" w:rsidRDefault="000A3F37"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 процедурата не може да участват и безвъзмездна финансова помощ </w:t>
            </w:r>
            <w:r w:rsidRPr="000A3F37">
              <w:rPr>
                <w:rFonts w:ascii="Times New Roman" w:hAnsi="Times New Roman" w:cs="Times New Roman"/>
                <w:sz w:val="24"/>
                <w:szCs w:val="24"/>
              </w:rPr>
              <w:t>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DD3077D" w14:textId="37894D2E" w:rsidR="000A3F37" w:rsidRPr="0067595B" w:rsidRDefault="000A3F37" w:rsidP="009719E4">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Във връзка с тези изисквания, към момента на кандидатстване, кандидатите/партньорите </w:t>
            </w:r>
            <w:r w:rsidRPr="0067595B">
              <w:rPr>
                <w:rFonts w:ascii="Times New Roman" w:hAnsi="Times New Roman" w:cs="Times New Roman"/>
                <w:sz w:val="24"/>
                <w:szCs w:val="24"/>
              </w:rPr>
              <w:t>декларират посочените в Декларация на кандидата/партньора</w:t>
            </w:r>
            <w:r w:rsidR="003D2BAE" w:rsidRPr="0067595B">
              <w:rPr>
                <w:rFonts w:ascii="Times New Roman" w:hAnsi="Times New Roman" w:cs="Times New Roman"/>
                <w:sz w:val="24"/>
                <w:szCs w:val="24"/>
              </w:rPr>
              <w:t xml:space="preserve"> по чл.25 </w:t>
            </w:r>
            <w:r w:rsidR="000634C1" w:rsidRPr="0067595B">
              <w:rPr>
                <w:rFonts w:ascii="Times New Roman" w:hAnsi="Times New Roman" w:cs="Times New Roman"/>
                <w:sz w:val="24"/>
                <w:szCs w:val="24"/>
              </w:rPr>
              <w:t>от</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ЗУСЕСИФ</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 xml:space="preserve">и </w:t>
            </w:r>
            <w:r w:rsidRPr="0067595B">
              <w:rPr>
                <w:rFonts w:ascii="Times New Roman" w:hAnsi="Times New Roman" w:cs="Times New Roman"/>
                <w:sz w:val="24"/>
                <w:szCs w:val="24"/>
              </w:rPr>
              <w:t>(</w:t>
            </w:r>
            <w:r w:rsidR="00A56CD7" w:rsidRPr="0067595B">
              <w:rPr>
                <w:rFonts w:ascii="Times New Roman" w:hAnsi="Times New Roman" w:cs="Times New Roman"/>
                <w:sz w:val="24"/>
                <w:szCs w:val="24"/>
              </w:rPr>
              <w:t xml:space="preserve">Приложение </w:t>
            </w:r>
            <w:r w:rsidR="00A56CD7"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обстоятелства.</w:t>
            </w:r>
          </w:p>
          <w:p w14:paraId="35F1E50B" w14:textId="1CF9E980" w:rsidR="000A3F37" w:rsidRPr="0067595B" w:rsidRDefault="000A3F37"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Изискванията са задължителни за кандидата и </w:t>
            </w:r>
            <w:r w:rsidR="00B5635F">
              <w:rPr>
                <w:rFonts w:ascii="Times New Roman" w:hAnsi="Times New Roman" w:cs="Times New Roman"/>
                <w:b/>
                <w:sz w:val="24"/>
                <w:szCs w:val="24"/>
              </w:rPr>
              <w:t>партньора/-</w:t>
            </w:r>
            <w:proofErr w:type="spellStart"/>
            <w:r w:rsidR="00B5635F">
              <w:rPr>
                <w:rFonts w:ascii="Times New Roman" w:hAnsi="Times New Roman" w:cs="Times New Roman"/>
                <w:b/>
                <w:sz w:val="24"/>
                <w:szCs w:val="24"/>
              </w:rPr>
              <w:t>ите</w:t>
            </w:r>
            <w:proofErr w:type="spellEnd"/>
            <w:r w:rsidRPr="0067595B">
              <w:rPr>
                <w:rFonts w:ascii="Times New Roman" w:hAnsi="Times New Roman" w:cs="Times New Roman"/>
                <w:b/>
                <w:sz w:val="24"/>
                <w:szCs w:val="24"/>
              </w:rPr>
              <w:t>.</w:t>
            </w:r>
          </w:p>
          <w:p w14:paraId="42FF9882" w14:textId="2F253DAD" w:rsidR="00FB39EC" w:rsidRPr="0067595B" w:rsidRDefault="00FB39EC"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817EEC" w:rsidRPr="0067595B">
              <w:rPr>
                <w:rFonts w:ascii="Times New Roman" w:hAnsi="Times New Roman" w:cs="Times New Roman"/>
                <w:sz w:val="24"/>
                <w:szCs w:val="24"/>
              </w:rPr>
              <w:t>За училища и детски градини проверката се прави служебно в съответните регистри на МОН.</w:t>
            </w:r>
          </w:p>
          <w:p w14:paraId="6156A982" w14:textId="3F985136"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 xml:space="preserve">При кандидатстване кандидатите са длъжни да декларират, че не попадат в някоя от категориите, посочени </w:t>
            </w:r>
            <w:r w:rsidR="00FA546C" w:rsidRPr="0067595B">
              <w:rPr>
                <w:rFonts w:ascii="Times New Roman" w:eastAsia="Calibri" w:hAnsi="Times New Roman" w:cs="Times New Roman"/>
                <w:sz w:val="24"/>
                <w:szCs w:val="24"/>
              </w:rPr>
              <w:t>по-горе</w:t>
            </w:r>
            <w:r w:rsidRPr="0067595B">
              <w:rPr>
                <w:rFonts w:ascii="Times New Roman" w:eastAsia="Calibri" w:hAnsi="Times New Roman" w:cs="Times New Roman"/>
                <w:sz w:val="24"/>
                <w:szCs w:val="24"/>
              </w:rPr>
              <w:t>, като попълнят Декларация на кандидата съгласно чл. 25, а</w:t>
            </w:r>
            <w:r w:rsidR="00E85758" w:rsidRPr="0067595B">
              <w:rPr>
                <w:rFonts w:ascii="Times New Roman" w:eastAsia="Calibri" w:hAnsi="Times New Roman" w:cs="Times New Roman"/>
                <w:sz w:val="24"/>
                <w:szCs w:val="24"/>
              </w:rPr>
              <w:t xml:space="preserve">л. 2 от ЗУСЕСИФ </w:t>
            </w:r>
            <w:r w:rsidRPr="0067595B">
              <w:rPr>
                <w:rFonts w:ascii="Times New Roman" w:eastAsia="Calibri" w:hAnsi="Times New Roman" w:cs="Times New Roman"/>
                <w:sz w:val="24"/>
                <w:szCs w:val="24"/>
              </w:rPr>
              <w:t xml:space="preserve"> (Приложение I), а при сключване на договора за предоставяне на безвъзмездна финансова помощ:</w:t>
            </w:r>
            <w:r w:rsidR="00AC4733" w:rsidRPr="0067595B">
              <w:rPr>
                <w:rFonts w:ascii="Times New Roman" w:hAnsi="Times New Roman" w:cs="Times New Roman"/>
                <w:sz w:val="24"/>
                <w:szCs w:val="24"/>
              </w:rPr>
              <w:t xml:space="preserve"> </w:t>
            </w:r>
          </w:p>
          <w:p w14:paraId="54DA5C45" w14:textId="77777777"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а) с официални документи, издадени от съответните компетентни органи – за обстоятелствата, за които такива документи се издават, или заверени копия от тях, доколкото в специален закон не се изисква копията да бъдат нотариално заверени;</w:t>
            </w:r>
          </w:p>
          <w:p w14:paraId="3961420A" w14:textId="4D0E4941" w:rsidR="00AD731B"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B64BCE1" w14:textId="77777777" w:rsidR="00071373"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b/>
                <w:sz w:val="24"/>
                <w:szCs w:val="24"/>
              </w:rPr>
              <w:t>ВАЖНО!</w:t>
            </w:r>
            <w:r w:rsidRPr="0067595B">
              <w:rPr>
                <w:rFonts w:ascii="Times New Roman" w:hAnsi="Times New Roman" w:cs="Times New Roman"/>
                <w:sz w:val="24"/>
                <w:szCs w:val="24"/>
              </w:rPr>
              <w:t xml:space="preserve"> </w:t>
            </w:r>
          </w:p>
          <w:p w14:paraId="381D26F1" w14:textId="01F05058" w:rsidR="003D2BAE"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Декларацията по чл. 25, ал. 2 от ЗУСЕСИФ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w:t>
            </w:r>
            <w:r w:rsidR="00FB39EC" w:rsidRPr="0067595B">
              <w:rPr>
                <w:rFonts w:ascii="Times New Roman" w:hAnsi="Times New Roman" w:cs="Times New Roman"/>
                <w:sz w:val="24"/>
                <w:szCs w:val="24"/>
              </w:rPr>
              <w:t>)</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кандидата и партньора (независимо </w:t>
            </w:r>
            <w:r w:rsidRPr="005431DF">
              <w:rPr>
                <w:rFonts w:ascii="Times New Roman" w:hAnsi="Times New Roman" w:cs="Times New Roman"/>
                <w:sz w:val="24"/>
                <w:szCs w:val="24"/>
              </w:rPr>
              <w:t>от това дали заедно и/или поотделно, и/или по друг начин).</w:t>
            </w:r>
            <w:r w:rsidR="00FB39EC">
              <w:rPr>
                <w:rFonts w:ascii="Times New Roman" w:hAnsi="Times New Roman" w:cs="Times New Roman"/>
                <w:sz w:val="24"/>
                <w:szCs w:val="24"/>
              </w:rPr>
              <w:t xml:space="preserve"> Декларацията на кандидати – общини се подписват от кмета на общината</w:t>
            </w:r>
            <w:r w:rsidR="00817EEC">
              <w:rPr>
                <w:rFonts w:ascii="Times New Roman" w:hAnsi="Times New Roman" w:cs="Times New Roman"/>
                <w:sz w:val="24"/>
                <w:szCs w:val="24"/>
              </w:rPr>
              <w:t>.</w:t>
            </w:r>
          </w:p>
          <w:p w14:paraId="1647DAFB" w14:textId="2A829C69" w:rsidR="000B7DAB" w:rsidRPr="00E213EC" w:rsidRDefault="000B7DAB" w:rsidP="009719E4">
            <w:pPr>
              <w:spacing w:after="120"/>
              <w:jc w:val="both"/>
              <w:rPr>
                <w:rFonts w:ascii="Times New Roman" w:hAnsi="Times New Roman" w:cs="Times New Roman"/>
                <w:sz w:val="24"/>
                <w:szCs w:val="24"/>
              </w:rPr>
            </w:pPr>
          </w:p>
        </w:tc>
      </w:tr>
      <w:tr w:rsidR="002F55DB" w14:paraId="6C1349F2" w14:textId="77777777" w:rsidTr="00D3393D">
        <w:tc>
          <w:tcPr>
            <w:tcW w:w="10207" w:type="dxa"/>
          </w:tcPr>
          <w:p w14:paraId="1222D0CA" w14:textId="40DEE771" w:rsidR="002F55DB"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lastRenderedPageBreak/>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 Допустимост на </w:t>
            </w:r>
            <w:r w:rsidRPr="002F55DB">
              <w:rPr>
                <w:rFonts w:ascii="Times New Roman" w:hAnsi="Times New Roman" w:cs="Times New Roman"/>
                <w:b/>
                <w:sz w:val="24"/>
                <w:szCs w:val="24"/>
              </w:rPr>
              <w:t>партньорите</w:t>
            </w:r>
          </w:p>
          <w:p w14:paraId="516BCDB5" w14:textId="77777777" w:rsidR="000B7DAB" w:rsidRPr="00583DEE" w:rsidRDefault="000B7DAB" w:rsidP="0077484F">
            <w:pPr>
              <w:spacing w:after="120"/>
              <w:jc w:val="both"/>
              <w:rPr>
                <w:rFonts w:ascii="Times New Roman" w:hAnsi="Times New Roman" w:cs="Times New Roman"/>
                <w:b/>
                <w:sz w:val="24"/>
                <w:szCs w:val="24"/>
              </w:rPr>
            </w:pPr>
          </w:p>
          <w:p w14:paraId="5CB08DA7" w14:textId="608F3AE0" w:rsidR="002F55DB" w:rsidRPr="00583DEE"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.1. Критерии за допустимост на </w:t>
            </w:r>
            <w:r w:rsidRPr="002F55DB">
              <w:rPr>
                <w:rFonts w:ascii="Times New Roman" w:hAnsi="Times New Roman" w:cs="Times New Roman"/>
                <w:b/>
                <w:sz w:val="24"/>
                <w:szCs w:val="24"/>
              </w:rPr>
              <w:t>партньорите</w:t>
            </w:r>
          </w:p>
          <w:p w14:paraId="00F3D4F4" w14:textId="38582C6A" w:rsidR="002F55DB" w:rsidRPr="00164AB1" w:rsidRDefault="002F55DB" w:rsidP="0077484F">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w:t>
            </w:r>
            <w:r>
              <w:rPr>
                <w:rFonts w:ascii="Times New Roman" w:hAnsi="Times New Roman" w:cs="Times New Roman"/>
                <w:sz w:val="24"/>
                <w:szCs w:val="24"/>
              </w:rPr>
              <w:t>партньори</w:t>
            </w:r>
            <w:r w:rsidRPr="00164AB1">
              <w:rPr>
                <w:rFonts w:ascii="Times New Roman" w:hAnsi="Times New Roman" w:cs="Times New Roman"/>
                <w:sz w:val="24"/>
                <w:szCs w:val="24"/>
              </w:rPr>
              <w:t xml:space="preserve"> по </w:t>
            </w:r>
            <w:r>
              <w:rPr>
                <w:rFonts w:ascii="Times New Roman" w:hAnsi="Times New Roman" w:cs="Times New Roman"/>
                <w:sz w:val="24"/>
                <w:szCs w:val="24"/>
              </w:rPr>
              <w:t>настоящата процедура са:</w:t>
            </w:r>
          </w:p>
          <w:p w14:paraId="253D45DF" w14:textId="59EE9913" w:rsidR="002F55DB" w:rsidRPr="00164AB1" w:rsidRDefault="00F0488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r w:rsidR="002F55DB" w:rsidRPr="00164AB1">
              <w:rPr>
                <w:rFonts w:ascii="Times New Roman" w:hAnsi="Times New Roman" w:cs="Times New Roman"/>
                <w:sz w:val="24"/>
                <w:szCs w:val="24"/>
              </w:rPr>
              <w:t>;</w:t>
            </w:r>
          </w:p>
          <w:p w14:paraId="3AAE3C74" w14:textId="77777777" w:rsidR="002F55DB" w:rsidRPr="00164AB1" w:rsidRDefault="002F55DB"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t>Детски градини;</w:t>
            </w:r>
          </w:p>
          <w:p w14:paraId="4951F536" w14:textId="48706DD5"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1C325155" w14:textId="1CDAA8C0"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Ю</w:t>
            </w:r>
            <w:r w:rsidR="006E42C6">
              <w:rPr>
                <w:rFonts w:ascii="Times New Roman" w:hAnsi="Times New Roman" w:cs="Times New Roman"/>
                <w:sz w:val="24"/>
                <w:szCs w:val="24"/>
              </w:rPr>
              <w:t>ридически лица с нестопанска цел (ЮЛНЦ) регистрирани в обществена полза, съгласно Закона за юридическите лица с нестопанска цел.</w:t>
            </w:r>
          </w:p>
          <w:p w14:paraId="632F4F20" w14:textId="77777777" w:rsidR="00AD731B" w:rsidRDefault="00AD731B" w:rsidP="0077484F">
            <w:pPr>
              <w:spacing w:after="120"/>
              <w:jc w:val="both"/>
              <w:rPr>
                <w:rFonts w:ascii="Times New Roman" w:hAnsi="Times New Roman" w:cs="Times New Roman"/>
                <w:b/>
                <w:sz w:val="24"/>
                <w:szCs w:val="24"/>
              </w:rPr>
            </w:pPr>
          </w:p>
          <w:p w14:paraId="6FB741E8" w14:textId="77777777" w:rsidR="00071373"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b/>
                <w:sz w:val="24"/>
                <w:szCs w:val="24"/>
              </w:rPr>
              <w:t>ВАЖНО!</w:t>
            </w:r>
            <w:r>
              <w:rPr>
                <w:rFonts w:ascii="Times New Roman" w:hAnsi="Times New Roman" w:cs="Times New Roman"/>
                <w:sz w:val="24"/>
                <w:szCs w:val="24"/>
              </w:rPr>
              <w:t xml:space="preserve"> </w:t>
            </w:r>
          </w:p>
          <w:p w14:paraId="519DF690" w14:textId="6CCC8D7D" w:rsidR="008F607C" w:rsidRPr="002B1899"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sz w:val="24"/>
                <w:szCs w:val="24"/>
              </w:rPr>
              <w:t>Юридически лица с нестопанска цел (ЮЛНЦ) в обществена полза, съгласно Закона за юридическите лица с нестопанска цел (ЗЮЛНЦ), регистрирани и дейс</w:t>
            </w:r>
            <w:r w:rsidR="009A06EB">
              <w:rPr>
                <w:rFonts w:ascii="Times New Roman" w:hAnsi="Times New Roman" w:cs="Times New Roman"/>
                <w:sz w:val="24"/>
                <w:szCs w:val="24"/>
              </w:rPr>
              <w:t>тващи на територията на МИГ</w:t>
            </w:r>
            <w:r w:rsidRPr="006E42C6">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най-малко 12 месеца преди край</w:t>
            </w:r>
            <w:r w:rsidR="009A06EB" w:rsidRPr="002B1899">
              <w:rPr>
                <w:rFonts w:ascii="Times New Roman" w:hAnsi="Times New Roman" w:cs="Times New Roman"/>
                <w:sz w:val="24"/>
                <w:szCs w:val="24"/>
              </w:rPr>
              <w:t>ния срок за подаване от МИГ</w:t>
            </w:r>
            <w:r w:rsidRPr="002B1899">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 xml:space="preserve">на стратегия за ВОМР с </w:t>
            </w:r>
            <w:proofErr w:type="spellStart"/>
            <w:r w:rsidRPr="002B1899">
              <w:rPr>
                <w:rFonts w:ascii="Times New Roman" w:hAnsi="Times New Roman" w:cs="Times New Roman"/>
                <w:sz w:val="24"/>
                <w:szCs w:val="24"/>
              </w:rPr>
              <w:t>многофондово</w:t>
            </w:r>
            <w:proofErr w:type="spellEnd"/>
            <w:r w:rsidRPr="002B1899">
              <w:rPr>
                <w:rFonts w:ascii="Times New Roman" w:hAnsi="Times New Roman" w:cs="Times New Roman"/>
                <w:sz w:val="24"/>
                <w:szCs w:val="24"/>
              </w:rPr>
              <w:t xml:space="preserve"> финансиране</w:t>
            </w:r>
            <w:r w:rsidR="00533C98" w:rsidRPr="002B1899">
              <w:rPr>
                <w:rFonts w:ascii="Times New Roman" w:hAnsi="Times New Roman" w:cs="Times New Roman"/>
                <w:sz w:val="24"/>
                <w:szCs w:val="24"/>
              </w:rPr>
              <w:t xml:space="preserve"> </w:t>
            </w:r>
            <w:r w:rsidR="009A06EB" w:rsidRPr="002B1899">
              <w:rPr>
                <w:rFonts w:ascii="Times New Roman" w:hAnsi="Times New Roman" w:cs="Times New Roman"/>
                <w:sz w:val="24"/>
                <w:szCs w:val="24"/>
              </w:rPr>
              <w:t>(</w:t>
            </w:r>
            <w:r w:rsidR="00533C98" w:rsidRPr="002B1899">
              <w:rPr>
                <w:rFonts w:ascii="Times New Roman" w:hAnsi="Times New Roman" w:cs="Times New Roman"/>
                <w:sz w:val="24"/>
                <w:szCs w:val="24"/>
              </w:rPr>
              <w:t>31.08.2017 г.)</w:t>
            </w:r>
            <w:r w:rsidRPr="002B1899">
              <w:rPr>
                <w:rFonts w:ascii="Times New Roman" w:hAnsi="Times New Roman" w:cs="Times New Roman"/>
                <w:sz w:val="24"/>
                <w:szCs w:val="24"/>
              </w:rPr>
              <w:t xml:space="preserve">. В ролята си на партньори, ЮЛНЦ могат да изразходват средства само за дейности, </w:t>
            </w:r>
            <w:r w:rsidR="008F607C" w:rsidRPr="002B1899">
              <w:rPr>
                <w:rFonts w:ascii="Times New Roman" w:hAnsi="Times New Roman" w:cs="Times New Roman"/>
                <w:sz w:val="24"/>
                <w:szCs w:val="24"/>
              </w:rPr>
              <w:t>които имат нестопански характер.</w:t>
            </w:r>
          </w:p>
          <w:p w14:paraId="4F746F4E" w14:textId="643ACEE7"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 xml:space="preserve">ЮЛНЦ – партньори по настоящата процедура попълват </w:t>
            </w:r>
            <w:r w:rsidR="003D2BAE" w:rsidRPr="002B1899">
              <w:rPr>
                <w:rFonts w:ascii="Times New Roman" w:hAnsi="Times New Roman" w:cs="Times New Roman"/>
                <w:b/>
                <w:sz w:val="24"/>
                <w:szCs w:val="24"/>
              </w:rPr>
              <w:t xml:space="preserve">наред с другите декларации </w:t>
            </w:r>
            <w:r w:rsidRPr="002B1899">
              <w:rPr>
                <w:rFonts w:ascii="Times New Roman" w:hAnsi="Times New Roman" w:cs="Times New Roman"/>
                <w:b/>
                <w:sz w:val="24"/>
                <w:szCs w:val="24"/>
              </w:rPr>
              <w:t xml:space="preserve">и декларация за разграничаване на икономическата от неикономическата дейност </w:t>
            </w:r>
            <w:r w:rsidR="00A56CD7" w:rsidRPr="002B1899">
              <w:rPr>
                <w:rFonts w:ascii="Times New Roman" w:hAnsi="Times New Roman" w:cs="Times New Roman"/>
                <w:b/>
                <w:sz w:val="24"/>
                <w:szCs w:val="24"/>
              </w:rPr>
              <w:t>(Приложение</w:t>
            </w:r>
            <w:r w:rsidR="00A56CD7" w:rsidRPr="002B1899">
              <w:rPr>
                <w:rFonts w:ascii="Times New Roman" w:hAnsi="Times New Roman" w:cs="Times New Roman"/>
                <w:b/>
                <w:sz w:val="24"/>
                <w:szCs w:val="24"/>
                <w:lang w:val="en-US"/>
              </w:rPr>
              <w:t xml:space="preserve"> V</w:t>
            </w:r>
            <w:r w:rsidRPr="002B1899">
              <w:rPr>
                <w:rFonts w:ascii="Times New Roman" w:hAnsi="Times New Roman" w:cs="Times New Roman"/>
                <w:b/>
                <w:sz w:val="24"/>
                <w:szCs w:val="24"/>
              </w:rPr>
              <w:t>).</w:t>
            </w:r>
          </w:p>
          <w:p w14:paraId="7F2EFEE8" w14:textId="01651AFD"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Всички партньори попълват декларация за липса на двойно финансиране (Прил</w:t>
            </w:r>
            <w:r w:rsidR="00845C08" w:rsidRPr="002B1899">
              <w:rPr>
                <w:rFonts w:ascii="Times New Roman" w:hAnsi="Times New Roman" w:cs="Times New Roman"/>
                <w:b/>
                <w:sz w:val="24"/>
                <w:szCs w:val="24"/>
              </w:rPr>
              <w:t>о</w:t>
            </w:r>
            <w:r w:rsidR="00A56CD7" w:rsidRPr="002B1899">
              <w:rPr>
                <w:rFonts w:ascii="Times New Roman" w:hAnsi="Times New Roman" w:cs="Times New Roman"/>
                <w:b/>
                <w:sz w:val="24"/>
                <w:szCs w:val="24"/>
              </w:rPr>
              <w:t>жение</w:t>
            </w:r>
            <w:r w:rsidR="00A56CD7" w:rsidRPr="002B1899">
              <w:rPr>
                <w:rFonts w:ascii="Times New Roman" w:hAnsi="Times New Roman" w:cs="Times New Roman"/>
                <w:b/>
                <w:sz w:val="24"/>
                <w:szCs w:val="24"/>
                <w:lang w:val="en-US"/>
              </w:rPr>
              <w:t xml:space="preserve"> IV</w:t>
            </w:r>
            <w:r w:rsidRPr="002B1899">
              <w:rPr>
                <w:rFonts w:ascii="Times New Roman" w:hAnsi="Times New Roman" w:cs="Times New Roman"/>
                <w:b/>
                <w:sz w:val="24"/>
                <w:szCs w:val="24"/>
              </w:rPr>
              <w:t>)</w:t>
            </w:r>
          </w:p>
          <w:p w14:paraId="28FB6222" w14:textId="77777777" w:rsidR="00AD731B" w:rsidRPr="002B1899" w:rsidRDefault="00AD731B" w:rsidP="0077484F">
            <w:pPr>
              <w:spacing w:after="120"/>
              <w:jc w:val="both"/>
              <w:rPr>
                <w:rFonts w:ascii="Times New Roman" w:hAnsi="Times New Roman" w:cs="Times New Roman"/>
                <w:b/>
                <w:sz w:val="24"/>
                <w:szCs w:val="24"/>
              </w:rPr>
            </w:pPr>
          </w:p>
          <w:p w14:paraId="112BFDEC" w14:textId="77777777" w:rsidR="00071373" w:rsidRPr="002B1899"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ВАЖНО!</w:t>
            </w:r>
            <w:r w:rsidRPr="002B1899">
              <w:rPr>
                <w:rFonts w:ascii="Times New Roman" w:hAnsi="Times New Roman" w:cs="Times New Roman"/>
                <w:sz w:val="24"/>
                <w:szCs w:val="24"/>
              </w:rPr>
              <w:t xml:space="preserve"> </w:t>
            </w:r>
          </w:p>
          <w:p w14:paraId="6838EA49" w14:textId="01AF5EA7" w:rsidR="002F55DB"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Допустимите партньори</w:t>
            </w:r>
            <w:r w:rsidRPr="002B1899">
              <w:rPr>
                <w:rFonts w:ascii="Times New Roman" w:hAnsi="Times New Roman" w:cs="Times New Roman"/>
                <w:sz w:val="24"/>
                <w:szCs w:val="24"/>
              </w:rPr>
              <w:t xml:space="preserve"> следва да имат седалище и адрес на управление на територията на действие на МИГ </w:t>
            </w:r>
            <w:r w:rsidR="00760EF2" w:rsidRPr="002B1899">
              <w:rPr>
                <w:rFonts w:ascii="Times New Roman" w:hAnsi="Times New Roman" w:cs="Times New Roman"/>
                <w:sz w:val="24"/>
                <w:szCs w:val="24"/>
              </w:rPr>
              <w:t>Свиленград Ареал</w:t>
            </w:r>
            <w:r w:rsidR="002B1899">
              <w:rPr>
                <w:rFonts w:ascii="Times New Roman" w:hAnsi="Times New Roman" w:cs="Times New Roman"/>
                <w:sz w:val="24"/>
                <w:szCs w:val="24"/>
              </w:rPr>
              <w:t>.</w:t>
            </w:r>
          </w:p>
          <w:p w14:paraId="4EF06E38" w14:textId="77777777" w:rsidR="00AD731B" w:rsidRDefault="00AD731B" w:rsidP="0077484F">
            <w:pPr>
              <w:spacing w:after="120"/>
              <w:jc w:val="both"/>
              <w:rPr>
                <w:rFonts w:ascii="Times New Roman" w:hAnsi="Times New Roman" w:cs="Times New Roman"/>
                <w:b/>
                <w:sz w:val="24"/>
                <w:szCs w:val="24"/>
              </w:rPr>
            </w:pPr>
          </w:p>
          <w:p w14:paraId="55A323F4" w14:textId="77777777" w:rsidR="0007137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b/>
                <w:sz w:val="24"/>
                <w:szCs w:val="24"/>
              </w:rPr>
              <w:t>ВАЖНО!</w:t>
            </w:r>
            <w:r w:rsidRPr="007D1555">
              <w:rPr>
                <w:rFonts w:ascii="Times New Roman" w:hAnsi="Times New Roman" w:cs="Times New Roman"/>
                <w:sz w:val="24"/>
                <w:szCs w:val="24"/>
              </w:rPr>
              <w:t xml:space="preserve"> </w:t>
            </w:r>
          </w:p>
          <w:p w14:paraId="6A80F245" w14:textId="6196C73D" w:rsidR="002F55DB" w:rsidRPr="007F446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sz w:val="24"/>
                <w:szCs w:val="24"/>
              </w:rPr>
              <w:t xml:space="preserve">Допустимите </w:t>
            </w:r>
            <w:r w:rsidR="006E42C6" w:rsidRPr="007D1555">
              <w:rPr>
                <w:rFonts w:ascii="Times New Roman" w:hAnsi="Times New Roman" w:cs="Times New Roman"/>
                <w:sz w:val="24"/>
                <w:szCs w:val="24"/>
              </w:rPr>
              <w:t>партньори</w:t>
            </w:r>
            <w:r w:rsidR="00EB2C1D">
              <w:rPr>
                <w:rFonts w:ascii="Times New Roman" w:hAnsi="Times New Roman" w:cs="Times New Roman"/>
                <w:sz w:val="24"/>
                <w:szCs w:val="24"/>
              </w:rPr>
              <w:t xml:space="preserve"> по настоящата процедура </w:t>
            </w:r>
            <w:r w:rsidRPr="007D1555">
              <w:rPr>
                <w:rFonts w:ascii="Times New Roman" w:hAnsi="Times New Roman" w:cs="Times New Roman"/>
                <w:sz w:val="24"/>
                <w:szCs w:val="24"/>
              </w:rPr>
              <w:t xml:space="preserve"> </w:t>
            </w:r>
            <w:r w:rsidR="006E42C6" w:rsidRPr="00D346D4">
              <w:rPr>
                <w:rFonts w:ascii="Times New Roman" w:hAnsi="Times New Roman" w:cs="Times New Roman"/>
                <w:sz w:val="24"/>
                <w:szCs w:val="24"/>
              </w:rPr>
              <w:t>могат да партнират в повече от едно</w:t>
            </w:r>
            <w:r w:rsidRPr="007D1555">
              <w:rPr>
                <w:rFonts w:ascii="Times New Roman" w:hAnsi="Times New Roman" w:cs="Times New Roman"/>
                <w:sz w:val="24"/>
                <w:szCs w:val="24"/>
              </w:rPr>
              <w:t xml:space="preserve"> проектно предложение по ИП „</w:t>
            </w:r>
            <w:r w:rsidR="00A0258C" w:rsidRPr="00A0258C">
              <w:rPr>
                <w:rFonts w:ascii="Times New Roman" w:hAnsi="Times New Roman" w:cs="Times New Roman"/>
                <w:sz w:val="24"/>
                <w:szCs w:val="24"/>
              </w:rPr>
              <w:t>МИГ Свиленгр</w:t>
            </w:r>
            <w:r w:rsidR="002B1899">
              <w:rPr>
                <w:rFonts w:ascii="Times New Roman" w:hAnsi="Times New Roman" w:cs="Times New Roman"/>
                <w:sz w:val="24"/>
                <w:szCs w:val="24"/>
              </w:rPr>
              <w:t xml:space="preserve">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трудно достъпните райони </w:t>
            </w:r>
            <w:r w:rsidR="006E42C6" w:rsidRPr="007D1555">
              <w:rPr>
                <w:rFonts w:ascii="Times New Roman" w:hAnsi="Times New Roman" w:cs="Times New Roman"/>
                <w:sz w:val="24"/>
                <w:szCs w:val="24"/>
              </w:rPr>
              <w:t>” към стратегия за ВОМР стига да имат достатъчен  капацитет за това.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Посоченото обстоятелство се проверява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на етап административно съответствие и допустимост.</w:t>
            </w:r>
          </w:p>
          <w:p w14:paraId="6FDB35A7" w14:textId="3F040672" w:rsidR="002F55DB" w:rsidRPr="00164AB1" w:rsidRDefault="002F55DB" w:rsidP="0077484F">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е задължително </w:t>
            </w:r>
            <w:r>
              <w:rPr>
                <w:rFonts w:ascii="Times New Roman" w:hAnsi="Times New Roman" w:cs="Times New Roman"/>
                <w:b/>
                <w:sz w:val="24"/>
                <w:szCs w:val="24"/>
              </w:rPr>
              <w:t xml:space="preserve">условие </w:t>
            </w:r>
            <w:r w:rsidRPr="00164AB1">
              <w:rPr>
                <w:rFonts w:ascii="Times New Roman" w:hAnsi="Times New Roman" w:cs="Times New Roman"/>
                <w:b/>
                <w:sz w:val="24"/>
                <w:szCs w:val="24"/>
              </w:rPr>
              <w:t>за допустим</w:t>
            </w:r>
            <w:r w:rsidR="006E42C6">
              <w:rPr>
                <w:rFonts w:ascii="Times New Roman" w:hAnsi="Times New Roman" w:cs="Times New Roman"/>
                <w:b/>
                <w:sz w:val="24"/>
                <w:szCs w:val="24"/>
              </w:rPr>
              <w:t>ост</w:t>
            </w:r>
            <w:r w:rsidRPr="00164AB1">
              <w:rPr>
                <w:rFonts w:ascii="Times New Roman" w:hAnsi="Times New Roman" w:cs="Times New Roman"/>
                <w:b/>
                <w:sz w:val="24"/>
                <w:szCs w:val="24"/>
              </w:rPr>
              <w:t xml:space="preserve"> </w:t>
            </w:r>
            <w:r w:rsidR="006E42C6">
              <w:rPr>
                <w:rFonts w:ascii="Times New Roman" w:hAnsi="Times New Roman" w:cs="Times New Roman"/>
                <w:b/>
                <w:sz w:val="24"/>
                <w:szCs w:val="24"/>
              </w:rPr>
              <w:t xml:space="preserve"> на проекта</w:t>
            </w:r>
            <w:r w:rsidRPr="00164AB1">
              <w:rPr>
                <w:rFonts w:ascii="Times New Roman" w:hAnsi="Times New Roman" w:cs="Times New Roman"/>
                <w:b/>
                <w:sz w:val="24"/>
                <w:szCs w:val="24"/>
              </w:rPr>
              <w:t>!</w:t>
            </w:r>
          </w:p>
          <w:p w14:paraId="47A639C9" w14:textId="39134DE7" w:rsidR="002F55DB" w:rsidRPr="00D23050" w:rsidRDefault="006E42C6" w:rsidP="0077484F">
            <w:pPr>
              <w:spacing w:after="120"/>
              <w:jc w:val="both"/>
              <w:rPr>
                <w:rFonts w:ascii="Times New Roman" w:hAnsi="Times New Roman" w:cs="Times New Roman"/>
                <w:b/>
                <w:sz w:val="24"/>
                <w:szCs w:val="24"/>
              </w:rPr>
            </w:pPr>
            <w:r w:rsidRPr="00FD1EFB">
              <w:rPr>
                <w:rFonts w:ascii="Times New Roman" w:hAnsi="Times New Roman" w:cs="Times New Roman"/>
                <w:b/>
                <w:sz w:val="24"/>
                <w:szCs w:val="24"/>
              </w:rPr>
              <w:t>Партньорите</w:t>
            </w:r>
            <w:r w:rsidR="00FD1EFB">
              <w:rPr>
                <w:rFonts w:ascii="Times New Roman" w:hAnsi="Times New Roman" w:cs="Times New Roman"/>
                <w:b/>
                <w:sz w:val="24"/>
                <w:szCs w:val="24"/>
              </w:rPr>
              <w:t xml:space="preserve"> и </w:t>
            </w:r>
            <w:r w:rsidR="0006178C">
              <w:rPr>
                <w:rFonts w:ascii="Times New Roman" w:hAnsi="Times New Roman" w:cs="Times New Roman"/>
                <w:b/>
                <w:sz w:val="24"/>
                <w:szCs w:val="24"/>
              </w:rPr>
              <w:t>бенефициентът</w:t>
            </w:r>
            <w:r w:rsidR="002F55DB" w:rsidRPr="00164AB1">
              <w:rPr>
                <w:rFonts w:ascii="Times New Roman" w:hAnsi="Times New Roman" w:cs="Times New Roman"/>
                <w:b/>
                <w:sz w:val="24"/>
                <w:szCs w:val="24"/>
              </w:rPr>
              <w:t xml:space="preserve"> задължително подписват Споразумение за партньорство, в което детайлно </w:t>
            </w:r>
            <w:r w:rsidR="00BF7AF7">
              <w:rPr>
                <w:rFonts w:ascii="Times New Roman" w:hAnsi="Times New Roman" w:cs="Times New Roman"/>
                <w:b/>
                <w:sz w:val="24"/>
                <w:szCs w:val="24"/>
              </w:rPr>
              <w:t xml:space="preserve">са </w:t>
            </w:r>
            <w:r w:rsidR="002F55DB" w:rsidRPr="00164AB1">
              <w:rPr>
                <w:rFonts w:ascii="Times New Roman" w:hAnsi="Times New Roman" w:cs="Times New Roman"/>
                <w:b/>
                <w:sz w:val="24"/>
                <w:szCs w:val="24"/>
              </w:rPr>
              <w:t>описва</w:t>
            </w:r>
            <w:r w:rsidR="00BF7AF7">
              <w:rPr>
                <w:rFonts w:ascii="Times New Roman" w:hAnsi="Times New Roman" w:cs="Times New Roman"/>
                <w:b/>
                <w:sz w:val="24"/>
                <w:szCs w:val="24"/>
              </w:rPr>
              <w:t>ни</w:t>
            </w:r>
            <w:r w:rsidR="002F55DB" w:rsidRPr="00164AB1">
              <w:rPr>
                <w:rFonts w:ascii="Times New Roman" w:hAnsi="Times New Roman" w:cs="Times New Roman"/>
                <w:b/>
                <w:sz w:val="24"/>
                <w:szCs w:val="24"/>
              </w:rPr>
              <w:t xml:space="preserve"> ролята и задълженията на всеки участник в партньорството, както и начина на избор на всеки партньор по проекта.</w:t>
            </w:r>
            <w:r w:rsidR="002F55DB">
              <w:rPr>
                <w:rFonts w:ascii="Times New Roman" w:hAnsi="Times New Roman" w:cs="Times New Roman"/>
                <w:b/>
                <w:sz w:val="24"/>
                <w:szCs w:val="24"/>
              </w:rPr>
              <w:t xml:space="preserve"> Изборът на партньори от страна на кандидата следва да бъде на </w:t>
            </w:r>
            <w:r w:rsidR="002F55DB" w:rsidRPr="00D23050">
              <w:rPr>
                <w:rFonts w:ascii="Times New Roman" w:hAnsi="Times New Roman" w:cs="Times New Roman"/>
                <w:b/>
                <w:sz w:val="24"/>
                <w:szCs w:val="24"/>
              </w:rPr>
              <w:t>база публичн</w:t>
            </w:r>
            <w:r w:rsidR="002F55DB">
              <w:rPr>
                <w:rFonts w:ascii="Times New Roman" w:hAnsi="Times New Roman" w:cs="Times New Roman"/>
                <w:b/>
                <w:sz w:val="24"/>
                <w:szCs w:val="24"/>
              </w:rPr>
              <w:t>а и прозрачна процедура - например</w:t>
            </w:r>
            <w:r w:rsidR="002F55DB" w:rsidRPr="00D23050">
              <w:rPr>
                <w:rFonts w:ascii="Times New Roman" w:hAnsi="Times New Roman" w:cs="Times New Roman"/>
                <w:b/>
                <w:sz w:val="24"/>
                <w:szCs w:val="24"/>
              </w:rPr>
              <w:t xml:space="preserve"> обява във вестник, на интернет страницата на кандидата</w:t>
            </w:r>
            <w:r w:rsidR="002F55DB">
              <w:rPr>
                <w:rFonts w:ascii="Times New Roman" w:hAnsi="Times New Roman" w:cs="Times New Roman"/>
                <w:b/>
                <w:sz w:val="24"/>
                <w:szCs w:val="24"/>
              </w:rPr>
              <w:t xml:space="preserve">, </w:t>
            </w:r>
            <w:r w:rsidR="002F55DB" w:rsidRPr="00D23050">
              <w:rPr>
                <w:rFonts w:ascii="Times New Roman" w:hAnsi="Times New Roman" w:cs="Times New Roman"/>
                <w:b/>
                <w:sz w:val="24"/>
                <w:szCs w:val="24"/>
              </w:rPr>
              <w:t xml:space="preserve">и др. по преценка на кандидата. </w:t>
            </w:r>
            <w:r w:rsidR="008F607C">
              <w:rPr>
                <w:rFonts w:ascii="Times New Roman" w:hAnsi="Times New Roman" w:cs="Times New Roman"/>
                <w:b/>
                <w:sz w:val="24"/>
                <w:szCs w:val="24"/>
              </w:rPr>
              <w:lastRenderedPageBreak/>
              <w:t>Партньорите</w:t>
            </w:r>
            <w:r w:rsidR="002F55DB">
              <w:rPr>
                <w:rFonts w:ascii="Times New Roman" w:hAnsi="Times New Roman" w:cs="Times New Roman"/>
                <w:b/>
                <w:sz w:val="24"/>
                <w:szCs w:val="24"/>
              </w:rPr>
              <w:t xml:space="preserve"> – общини съгласно чл. 59 и следващи от ЗМСМА задължително представят </w:t>
            </w:r>
            <w:r w:rsidR="002F55DB" w:rsidRPr="00D23050">
              <w:rPr>
                <w:rFonts w:ascii="Times New Roman" w:hAnsi="Times New Roman" w:cs="Times New Roman"/>
                <w:b/>
                <w:sz w:val="24"/>
                <w:szCs w:val="24"/>
              </w:rPr>
              <w:t xml:space="preserve">Решение на Общинския съвет за: </w:t>
            </w:r>
          </w:p>
          <w:p w14:paraId="4F03A012" w14:textId="1DCD5112"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подаване на проектно предложение по конкретната процедура;</w:t>
            </w:r>
          </w:p>
          <w:p w14:paraId="5920BA63" w14:textId="274E9E23"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 xml:space="preserve">одобряване на споразумение за </w:t>
            </w:r>
            <w:r w:rsidR="00BF7AF7" w:rsidRPr="00071373">
              <w:rPr>
                <w:rFonts w:ascii="Times New Roman" w:hAnsi="Times New Roman" w:cs="Times New Roman"/>
                <w:b/>
                <w:sz w:val="24"/>
                <w:szCs w:val="24"/>
              </w:rPr>
              <w:t xml:space="preserve">партньорство </w:t>
            </w:r>
            <w:r w:rsidRPr="00071373">
              <w:rPr>
                <w:rFonts w:ascii="Times New Roman" w:hAnsi="Times New Roman" w:cs="Times New Roman"/>
                <w:b/>
                <w:sz w:val="24"/>
                <w:szCs w:val="24"/>
              </w:rPr>
              <w:t>с конкретния/те партньор/и по проекта.</w:t>
            </w:r>
          </w:p>
          <w:p w14:paraId="7E8DDB96" w14:textId="0BB4650C" w:rsidR="002F55DB" w:rsidRPr="0067595B" w:rsidRDefault="002F55DB" w:rsidP="0077484F">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и Оперативна програма „Развитие на човешките ресурси“</w:t>
            </w:r>
            <w:r>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Pr>
                <w:rFonts w:ascii="Times New Roman" w:hAnsi="Times New Roman" w:cs="Times New Roman"/>
                <w:sz w:val="24"/>
                <w:szCs w:val="24"/>
              </w:rPr>
              <w:t xml:space="preserve">и в рамките на самата ОП НОИР  </w:t>
            </w:r>
            <w:r w:rsidR="006E42C6">
              <w:rPr>
                <w:rFonts w:ascii="Times New Roman" w:hAnsi="Times New Roman" w:cs="Times New Roman"/>
                <w:sz w:val="24"/>
                <w:szCs w:val="24"/>
              </w:rPr>
              <w:t>партньорите</w:t>
            </w:r>
            <w:r w:rsidRPr="00F70CDF">
              <w:rPr>
                <w:rFonts w:ascii="Times New Roman" w:hAnsi="Times New Roman" w:cs="Times New Roman"/>
                <w:sz w:val="24"/>
                <w:szCs w:val="24"/>
              </w:rPr>
              <w:t xml:space="preserve">, които изпълняват проекти по 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Pr="002B1899">
              <w:rPr>
                <w:rFonts w:ascii="Times New Roman" w:hAnsi="Times New Roman" w:cs="Times New Roman"/>
                <w:sz w:val="24"/>
                <w:szCs w:val="24"/>
              </w:rPr>
              <w:t>на ОП НОИР и интегрирана процедура „Социална-икономическа интеграция на у</w:t>
            </w:r>
            <w:r>
              <w:rPr>
                <w:rFonts w:ascii="Times New Roman" w:hAnsi="Times New Roman" w:cs="Times New Roman"/>
                <w:sz w:val="24"/>
                <w:szCs w:val="24"/>
              </w:rPr>
              <w:t xml:space="preserve">язвими групи. Интегрирани мерки за </w:t>
            </w:r>
            <w:r w:rsidRPr="00F70CDF">
              <w:rPr>
                <w:rFonts w:ascii="Times New Roman" w:hAnsi="Times New Roman" w:cs="Times New Roman"/>
                <w:sz w:val="24"/>
                <w:szCs w:val="24"/>
              </w:rPr>
              <w:t>подобряване достъпа до образование</w:t>
            </w:r>
            <w:r>
              <w:rPr>
                <w:rFonts w:ascii="Times New Roman" w:hAnsi="Times New Roman" w:cs="Times New Roman"/>
                <w:sz w:val="24"/>
                <w:szCs w:val="24"/>
              </w:rPr>
              <w:t xml:space="preserve">“ </w:t>
            </w:r>
            <w:r w:rsidRPr="00F70CDF">
              <w:rPr>
                <w:rFonts w:ascii="Times New Roman" w:hAnsi="Times New Roman" w:cs="Times New Roman"/>
                <w:sz w:val="24"/>
                <w:szCs w:val="24"/>
              </w:rPr>
              <w:t xml:space="preserve">при кандидатстване по настоящата процедура следва да опишат как ще се разграничават и </w:t>
            </w:r>
            <w:r w:rsidRPr="0067595B">
              <w:rPr>
                <w:rFonts w:ascii="Times New Roman" w:hAnsi="Times New Roman" w:cs="Times New Roman"/>
                <w:sz w:val="24"/>
                <w:szCs w:val="24"/>
              </w:rPr>
              <w:t xml:space="preserve">надграждат проектите, с цел избягване на двойно финансиране, ако проектите се застъпват в периода на изпълнение. </w:t>
            </w:r>
            <w:r w:rsidR="000C1709" w:rsidRPr="0067595B">
              <w:rPr>
                <w:rFonts w:ascii="Times New Roman" w:hAnsi="Times New Roman" w:cs="Times New Roman"/>
                <w:sz w:val="24"/>
                <w:szCs w:val="24"/>
              </w:rPr>
              <w:t>Партньорите попълват наред с другите декларации и Декларация за липса на двойно финансиране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IV</w:t>
            </w:r>
            <w:r w:rsidR="000C1709" w:rsidRPr="0067595B">
              <w:rPr>
                <w:rFonts w:ascii="Times New Roman" w:hAnsi="Times New Roman" w:cs="Times New Roman"/>
                <w:sz w:val="24"/>
                <w:szCs w:val="24"/>
              </w:rPr>
              <w:t xml:space="preserve">) </w:t>
            </w:r>
          </w:p>
          <w:p w14:paraId="357962F8" w14:textId="5BD710DA" w:rsidR="002F55DB" w:rsidRPr="0067595B" w:rsidRDefault="006E42C6"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Партньорът</w:t>
            </w:r>
            <w:r w:rsidR="002F55DB" w:rsidRPr="0067595B">
              <w:rPr>
                <w:rFonts w:ascii="Times New Roman" w:hAnsi="Times New Roman" w:cs="Times New Roman"/>
                <w:sz w:val="24"/>
                <w:szCs w:val="24"/>
              </w:rPr>
              <w:t xml:space="preserve"> отговаря на изискванията за административен, технически и финансов капацитет съгласно методология за техническа и финансова оценка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XII</w:t>
            </w:r>
            <w:r w:rsidR="002F55DB" w:rsidRPr="0067595B">
              <w:rPr>
                <w:rFonts w:ascii="Times New Roman" w:hAnsi="Times New Roman" w:cs="Times New Roman"/>
                <w:sz w:val="24"/>
                <w:szCs w:val="24"/>
              </w:rPr>
              <w:t>).</w:t>
            </w:r>
          </w:p>
          <w:p w14:paraId="0CD6862F" w14:textId="0AF55E0B"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w:t>
            </w:r>
            <w:r w:rsidR="006E42C6" w:rsidRPr="0067595B">
              <w:rPr>
                <w:rFonts w:ascii="Times New Roman" w:hAnsi="Times New Roman" w:cs="Times New Roman"/>
                <w:sz w:val="24"/>
                <w:szCs w:val="24"/>
              </w:rPr>
              <w:t xml:space="preserve">и за партньора </w:t>
            </w:r>
            <w:r w:rsidRPr="0067595B">
              <w:rPr>
                <w:rFonts w:ascii="Times New Roman" w:hAnsi="Times New Roman" w:cs="Times New Roman"/>
                <w:sz w:val="24"/>
                <w:szCs w:val="24"/>
              </w:rPr>
              <w:t>в Секция  9 „Екип“ и Секция 11 „Допълнителна информация необходима за оценка на проектното предложение“;  поле „Опит на кандидата и партньора/партньорите“  от Формуляр за кандидатстване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Pr="0067595B">
              <w:rPr>
                <w:rFonts w:ascii="Times New Roman" w:hAnsi="Times New Roman" w:cs="Times New Roman"/>
                <w:sz w:val="24"/>
                <w:szCs w:val="24"/>
              </w:rPr>
              <w:t>) на членовете на екипа за орган</w:t>
            </w:r>
            <w:r w:rsidR="004A0A9D" w:rsidRPr="0067595B">
              <w:rPr>
                <w:rFonts w:ascii="Times New Roman" w:hAnsi="Times New Roman" w:cs="Times New Roman"/>
                <w:sz w:val="24"/>
                <w:szCs w:val="24"/>
              </w:rPr>
              <w:t>изация и управление на проекта.</w:t>
            </w:r>
          </w:p>
          <w:p w14:paraId="1CE6747F" w14:textId="747F5599"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финансов капацитет </w:t>
            </w:r>
            <w:r w:rsidR="006E42C6" w:rsidRPr="0067595B">
              <w:rPr>
                <w:rFonts w:ascii="Times New Roman" w:hAnsi="Times New Roman" w:cs="Times New Roman"/>
                <w:sz w:val="24"/>
                <w:szCs w:val="24"/>
              </w:rPr>
              <w:t>партньорът</w:t>
            </w:r>
            <w:r w:rsidRPr="0067595B">
              <w:rPr>
                <w:rFonts w:ascii="Times New Roman" w:hAnsi="Times New Roman" w:cs="Times New Roman"/>
                <w:sz w:val="24"/>
                <w:szCs w:val="24"/>
              </w:rPr>
              <w:t xml:space="preserve">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  както и информация във Формуляр за кандидатстване, Секция 11 „Допълнителна информация необходима за оценка на проектното предложение“. За </w:t>
            </w:r>
            <w:r w:rsidR="008F607C"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 общини проверките за финансов капацитет се правят служебно от оценителната комисия към момента на кандидатстване в Закона за държавния бюджет.</w:t>
            </w:r>
          </w:p>
          <w:p w14:paraId="500FE12F" w14:textId="77777777" w:rsidR="002F55DB" w:rsidRPr="0067595B" w:rsidRDefault="002F55DB" w:rsidP="0077484F">
            <w:pPr>
              <w:spacing w:after="120"/>
              <w:jc w:val="both"/>
              <w:rPr>
                <w:rFonts w:ascii="Times New Roman" w:hAnsi="Times New Roman" w:cs="Times New Roman"/>
                <w:sz w:val="24"/>
                <w:szCs w:val="24"/>
              </w:rPr>
            </w:pPr>
          </w:p>
          <w:p w14:paraId="0C3EB8FF" w14:textId="5105EB31" w:rsidR="002F55DB" w:rsidRPr="0067595B" w:rsidRDefault="00B5635F" w:rsidP="0077484F">
            <w:pPr>
              <w:spacing w:after="120"/>
              <w:jc w:val="both"/>
              <w:rPr>
                <w:rFonts w:ascii="Times New Roman" w:hAnsi="Times New Roman" w:cs="Times New Roman"/>
                <w:b/>
                <w:sz w:val="24"/>
                <w:szCs w:val="24"/>
              </w:rPr>
            </w:pPr>
            <w:r>
              <w:rPr>
                <w:rFonts w:ascii="Times New Roman" w:hAnsi="Times New Roman" w:cs="Times New Roman"/>
                <w:b/>
                <w:sz w:val="24"/>
                <w:szCs w:val="24"/>
              </w:rPr>
              <w:t>12</w:t>
            </w:r>
            <w:r w:rsidR="002F55DB" w:rsidRPr="0067595B">
              <w:rPr>
                <w:rFonts w:ascii="Times New Roman" w:hAnsi="Times New Roman" w:cs="Times New Roman"/>
                <w:b/>
                <w:sz w:val="24"/>
                <w:szCs w:val="24"/>
              </w:rPr>
              <w:t xml:space="preserve">.2. </w:t>
            </w:r>
            <w:r w:rsidR="008821B3" w:rsidRPr="0067595B">
              <w:rPr>
                <w:rFonts w:ascii="Times New Roman" w:hAnsi="Times New Roman" w:cs="Times New Roman"/>
                <w:b/>
                <w:sz w:val="24"/>
                <w:szCs w:val="24"/>
              </w:rPr>
              <w:t>Н</w:t>
            </w:r>
            <w:r w:rsidR="002F55DB" w:rsidRPr="0067595B">
              <w:rPr>
                <w:rFonts w:ascii="Times New Roman" w:hAnsi="Times New Roman" w:cs="Times New Roman"/>
                <w:b/>
                <w:sz w:val="24"/>
                <w:szCs w:val="24"/>
              </w:rPr>
              <w:t>едопустим</w:t>
            </w:r>
            <w:r w:rsidR="008821B3" w:rsidRPr="0067595B">
              <w:rPr>
                <w:rFonts w:ascii="Times New Roman" w:hAnsi="Times New Roman" w:cs="Times New Roman"/>
                <w:b/>
                <w:sz w:val="24"/>
                <w:szCs w:val="24"/>
              </w:rPr>
              <w:t>и</w:t>
            </w:r>
            <w:r w:rsidR="002F55DB" w:rsidRPr="0067595B">
              <w:rPr>
                <w:rFonts w:ascii="Times New Roman" w:hAnsi="Times New Roman" w:cs="Times New Roman"/>
                <w:b/>
                <w:sz w:val="24"/>
                <w:szCs w:val="24"/>
              </w:rPr>
              <w:t xml:space="preserve"> </w:t>
            </w:r>
            <w:r w:rsidR="008F607C" w:rsidRPr="0067595B">
              <w:rPr>
                <w:rFonts w:ascii="Times New Roman" w:hAnsi="Times New Roman" w:cs="Times New Roman"/>
                <w:b/>
                <w:sz w:val="24"/>
                <w:szCs w:val="24"/>
              </w:rPr>
              <w:t>партньори</w:t>
            </w:r>
            <w:r w:rsidR="002F55DB" w:rsidRPr="0067595B">
              <w:rPr>
                <w:rFonts w:ascii="Times New Roman" w:hAnsi="Times New Roman" w:cs="Times New Roman"/>
                <w:b/>
                <w:sz w:val="24"/>
                <w:szCs w:val="24"/>
              </w:rPr>
              <w:t xml:space="preserve"> </w:t>
            </w:r>
          </w:p>
          <w:p w14:paraId="5D4BB7D9" w14:textId="1AD04491"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Недопустими са всички </w:t>
            </w:r>
            <w:r w:rsidR="008F607C" w:rsidRPr="0067595B">
              <w:rPr>
                <w:rFonts w:ascii="Times New Roman" w:hAnsi="Times New Roman" w:cs="Times New Roman"/>
                <w:sz w:val="24"/>
                <w:szCs w:val="24"/>
              </w:rPr>
              <w:t>партньори</w:t>
            </w:r>
            <w:r w:rsidR="008F66A6">
              <w:rPr>
                <w:rFonts w:ascii="Times New Roman" w:hAnsi="Times New Roman" w:cs="Times New Roman"/>
                <w:sz w:val="24"/>
                <w:szCs w:val="24"/>
              </w:rPr>
              <w:t xml:space="preserve"> извън изброените в т.12</w:t>
            </w:r>
            <w:r w:rsidRPr="0067595B">
              <w:rPr>
                <w:rFonts w:ascii="Times New Roman" w:hAnsi="Times New Roman" w:cs="Times New Roman"/>
                <w:sz w:val="24"/>
                <w:szCs w:val="24"/>
              </w:rPr>
              <w:t>.1.</w:t>
            </w:r>
          </w:p>
          <w:p w14:paraId="6593B39F" w14:textId="77777777"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445431D2" w14:textId="5F4EDB64"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Във връзка с тези изисквания, към момента на кандидатстване, кандидатите/партньорите декларират посочените в Декларация </w:t>
            </w:r>
            <w:r w:rsidR="00937357" w:rsidRPr="0067595B">
              <w:rPr>
                <w:rFonts w:ascii="Times New Roman" w:hAnsi="Times New Roman" w:cs="Times New Roman"/>
                <w:sz w:val="24"/>
                <w:szCs w:val="24"/>
              </w:rPr>
              <w:t xml:space="preserve">по чл. 25 от ЗУСЕСИФ </w:t>
            </w:r>
            <w:r w:rsidRPr="0067595B">
              <w:rPr>
                <w:rFonts w:ascii="Times New Roman" w:hAnsi="Times New Roman" w:cs="Times New Roman"/>
                <w:sz w:val="24"/>
                <w:szCs w:val="24"/>
              </w:rPr>
              <w:t>на кан</w:t>
            </w:r>
            <w:r w:rsidR="00937357" w:rsidRPr="0067595B">
              <w:rPr>
                <w:rFonts w:ascii="Times New Roman" w:hAnsi="Times New Roman" w:cs="Times New Roman"/>
                <w:sz w:val="24"/>
                <w:szCs w:val="24"/>
              </w:rPr>
              <w:t xml:space="preserve">дидата/партньора (Приложение </w:t>
            </w:r>
            <w:r w:rsidR="00937357" w:rsidRPr="0067595B">
              <w:rPr>
                <w:rFonts w:ascii="Times New Roman" w:hAnsi="Times New Roman" w:cs="Times New Roman"/>
                <w:sz w:val="24"/>
                <w:szCs w:val="24"/>
                <w:lang w:val="en-US"/>
              </w:rPr>
              <w:t>I</w:t>
            </w:r>
            <w:r w:rsidR="000C1709" w:rsidRPr="0067595B">
              <w:rPr>
                <w:rFonts w:ascii="Times New Roman" w:hAnsi="Times New Roman" w:cs="Times New Roman"/>
                <w:sz w:val="24"/>
                <w:szCs w:val="24"/>
              </w:rPr>
              <w:t>) обстоятелства.</w:t>
            </w:r>
            <w:r w:rsidR="00990378" w:rsidRPr="0067595B">
              <w:rPr>
                <w:rFonts w:ascii="Times New Roman" w:hAnsi="Times New Roman" w:cs="Times New Roman"/>
                <w:sz w:val="24"/>
                <w:szCs w:val="24"/>
              </w:rPr>
              <w:t xml:space="preserve"> </w:t>
            </w:r>
            <w:r w:rsidR="000C1709" w:rsidRPr="0067595B">
              <w:rPr>
                <w:rFonts w:ascii="Times New Roman" w:hAnsi="Times New Roman" w:cs="Times New Roman"/>
                <w:sz w:val="24"/>
                <w:szCs w:val="24"/>
              </w:rPr>
              <w:t>П</w:t>
            </w:r>
            <w:r w:rsidRPr="0067595B">
              <w:rPr>
                <w:rFonts w:ascii="Times New Roman" w:hAnsi="Times New Roman" w:cs="Times New Roman"/>
                <w:sz w:val="24"/>
                <w:szCs w:val="24"/>
              </w:rPr>
              <w:t xml:space="preserve">артньори общини към момента на кандидатстване декларират </w:t>
            </w:r>
            <w:r w:rsidRPr="0067595B">
              <w:rPr>
                <w:rFonts w:ascii="Times New Roman" w:hAnsi="Times New Roman" w:cs="Times New Roman"/>
                <w:sz w:val="24"/>
                <w:szCs w:val="24"/>
              </w:rPr>
              <w:lastRenderedPageBreak/>
              <w:t xml:space="preserve">посочените обстоятелства в </w:t>
            </w:r>
            <w:r w:rsidR="00937357" w:rsidRPr="0067595B">
              <w:rPr>
                <w:rFonts w:ascii="Times New Roman" w:hAnsi="Times New Roman" w:cs="Times New Roman"/>
                <w:sz w:val="24"/>
                <w:szCs w:val="24"/>
              </w:rPr>
              <w:t xml:space="preserve">Декларация по чл. 25 от ЗУСЕСИФ на кандидата/партньора (Приложение I) </w:t>
            </w:r>
          </w:p>
          <w:p w14:paraId="6D0827D1" w14:textId="6768AFCB" w:rsidR="002F55DB" w:rsidRPr="0067595B" w:rsidRDefault="002F55DB" w:rsidP="0077484F">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Изискванията са задължителн</w:t>
            </w:r>
            <w:r w:rsidR="00B5635F">
              <w:rPr>
                <w:rFonts w:ascii="Times New Roman" w:hAnsi="Times New Roman" w:cs="Times New Roman"/>
                <w:b/>
                <w:sz w:val="24"/>
                <w:szCs w:val="24"/>
              </w:rPr>
              <w:t>и за кандидата и партньора/-</w:t>
            </w:r>
            <w:proofErr w:type="spellStart"/>
            <w:r w:rsidR="00B5635F">
              <w:rPr>
                <w:rFonts w:ascii="Times New Roman" w:hAnsi="Times New Roman" w:cs="Times New Roman"/>
                <w:b/>
                <w:sz w:val="24"/>
                <w:szCs w:val="24"/>
              </w:rPr>
              <w:t>ите</w:t>
            </w:r>
            <w:proofErr w:type="spellEnd"/>
            <w:r w:rsidR="00B5635F">
              <w:rPr>
                <w:rFonts w:ascii="Times New Roman" w:hAnsi="Times New Roman" w:cs="Times New Roman"/>
                <w:b/>
                <w:sz w:val="24"/>
                <w:szCs w:val="24"/>
              </w:rPr>
              <w:t>.</w:t>
            </w:r>
          </w:p>
          <w:p w14:paraId="6CEC77A8" w14:textId="77777777" w:rsidR="002F55DB" w:rsidRPr="0077484F"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w:t>
            </w:r>
            <w:r w:rsidRPr="0077484F">
              <w:rPr>
                <w:rFonts w:ascii="Times New Roman" w:hAnsi="Times New Roman" w:cs="Times New Roman"/>
                <w:sz w:val="24"/>
                <w:szCs w:val="24"/>
              </w:rPr>
              <w:t xml:space="preserve">,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6B75640"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0274B696"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1.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28D4A18"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2.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9030A54" w14:textId="77777777" w:rsidR="002F55DB" w:rsidRPr="0077484F" w:rsidRDefault="002F55DB" w:rsidP="0077484F">
            <w:pPr>
              <w:spacing w:after="120"/>
              <w:jc w:val="both"/>
              <w:rPr>
                <w:rFonts w:ascii="Times New Roman" w:hAnsi="Times New Roman" w:cs="Times New Roman"/>
                <w:b/>
                <w:sz w:val="24"/>
                <w:szCs w:val="24"/>
              </w:rPr>
            </w:pPr>
          </w:p>
          <w:p w14:paraId="214C041C" w14:textId="77777777" w:rsidR="00DE7C76"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b/>
                <w:sz w:val="24"/>
                <w:szCs w:val="24"/>
              </w:rPr>
              <w:t>ВАЖНО!</w:t>
            </w:r>
            <w:r w:rsidRPr="0077484F">
              <w:rPr>
                <w:rFonts w:ascii="Times New Roman" w:hAnsi="Times New Roman" w:cs="Times New Roman"/>
                <w:sz w:val="24"/>
                <w:szCs w:val="24"/>
              </w:rPr>
              <w:t xml:space="preserve"> </w:t>
            </w:r>
          </w:p>
          <w:p w14:paraId="0F0C75E3" w14:textId="0107D486" w:rsidR="002F55DB" w:rsidRPr="00E213EC"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Декларацията по чл. 25, </w:t>
            </w:r>
            <w:r w:rsidRPr="0067595B">
              <w:rPr>
                <w:rFonts w:ascii="Times New Roman" w:hAnsi="Times New Roman" w:cs="Times New Roman"/>
                <w:sz w:val="24"/>
                <w:szCs w:val="24"/>
              </w:rPr>
              <w:t>ал. 2 от ЗУСЕСИФ (</w:t>
            </w:r>
            <w:r w:rsidR="00116613" w:rsidRPr="0067595B">
              <w:rPr>
                <w:rFonts w:ascii="Times New Roman" w:hAnsi="Times New Roman" w:cs="Times New Roman"/>
                <w:sz w:val="24"/>
                <w:szCs w:val="24"/>
              </w:rPr>
              <w:t>Приложение</w:t>
            </w:r>
            <w:r w:rsidR="00116613"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партньора (независимо от това дали заедно и/или поотделно, и/или по друг начин). Декларацията на </w:t>
            </w:r>
            <w:r w:rsidR="000C1709"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w:t>
            </w:r>
            <w:r w:rsidRPr="00FD1EFB">
              <w:rPr>
                <w:rFonts w:ascii="Times New Roman" w:hAnsi="Times New Roman" w:cs="Times New Roman"/>
                <w:sz w:val="24"/>
                <w:szCs w:val="24"/>
              </w:rPr>
              <w:t>– общини се подписват от кмета на общината</w:t>
            </w:r>
            <w:r w:rsidR="008F607C" w:rsidRPr="00FD1EFB">
              <w:rPr>
                <w:rFonts w:ascii="Times New Roman" w:hAnsi="Times New Roman" w:cs="Times New Roman"/>
                <w:sz w:val="24"/>
                <w:szCs w:val="24"/>
              </w:rPr>
              <w:t>.</w:t>
            </w:r>
          </w:p>
        </w:tc>
      </w:tr>
    </w:tbl>
    <w:p w14:paraId="543C5E8F" w14:textId="77777777" w:rsidR="002F55DB" w:rsidRPr="00E542A9" w:rsidRDefault="002F55DB" w:rsidP="0077484F">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5431DF" w14:paraId="65D9A20D" w14:textId="77777777" w:rsidTr="00CA777C">
        <w:tc>
          <w:tcPr>
            <w:tcW w:w="10207" w:type="dxa"/>
          </w:tcPr>
          <w:p w14:paraId="167FCA7D" w14:textId="2C137638" w:rsidR="005431DF" w:rsidRPr="004A2DC4" w:rsidRDefault="005431DF" w:rsidP="0077484F">
            <w:pPr>
              <w:spacing w:after="120"/>
              <w:jc w:val="both"/>
              <w:rPr>
                <w:rFonts w:ascii="Times New Roman" w:hAnsi="Times New Roman" w:cs="Times New Roman"/>
                <w:b/>
                <w:sz w:val="24"/>
                <w:szCs w:val="24"/>
              </w:rPr>
            </w:pPr>
            <w:r w:rsidRPr="004A2DC4">
              <w:rPr>
                <w:rFonts w:ascii="Times New Roman" w:hAnsi="Times New Roman" w:cs="Times New Roman"/>
                <w:b/>
                <w:sz w:val="24"/>
                <w:szCs w:val="24"/>
              </w:rPr>
              <w:t>1</w:t>
            </w:r>
            <w:r w:rsidR="00E213EC" w:rsidRPr="00E542A9">
              <w:rPr>
                <w:rFonts w:ascii="Times New Roman" w:hAnsi="Times New Roman" w:cs="Times New Roman"/>
                <w:b/>
                <w:sz w:val="24"/>
                <w:szCs w:val="24"/>
              </w:rPr>
              <w:t>3</w:t>
            </w:r>
            <w:r w:rsidRPr="004A2DC4">
              <w:rPr>
                <w:rFonts w:ascii="Times New Roman" w:hAnsi="Times New Roman" w:cs="Times New Roman"/>
                <w:b/>
                <w:sz w:val="24"/>
                <w:szCs w:val="24"/>
              </w:rPr>
              <w:t>. Дейности, допустими за финансиране</w:t>
            </w:r>
          </w:p>
          <w:p w14:paraId="5BA140E4" w14:textId="774244C4" w:rsidR="004B5C00" w:rsidRDefault="004B5C00"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Дейностите, предвидени за изпълнение</w:t>
            </w:r>
            <w:r w:rsidRPr="00E0751D">
              <w:rPr>
                <w:rFonts w:ascii="Times New Roman" w:hAnsi="Times New Roman" w:cs="Times New Roman"/>
                <w:sz w:val="24"/>
                <w:szCs w:val="24"/>
              </w:rPr>
              <w:t xml:space="preserve"> и съответните разходи в рамките на проектното предложение, следва да съответстват на принципа на ефективност и ефикасност, да са с нестопански характер и да гарантират постигането на целите на Оперативна програма „Наука и образование за интелигентен растеж“ 2014-2020 </w:t>
            </w:r>
            <w:r w:rsidR="00536CA6" w:rsidRPr="00E0751D">
              <w:rPr>
                <w:rFonts w:ascii="Times New Roman" w:hAnsi="Times New Roman" w:cs="Times New Roman"/>
                <w:sz w:val="24"/>
                <w:szCs w:val="24"/>
              </w:rPr>
              <w:t xml:space="preserve">г. </w:t>
            </w:r>
            <w:r w:rsidRPr="00E0751D">
              <w:rPr>
                <w:rFonts w:ascii="Times New Roman" w:hAnsi="Times New Roman" w:cs="Times New Roman"/>
                <w:sz w:val="24"/>
                <w:szCs w:val="24"/>
              </w:rPr>
              <w:t>и специфичните цели и резултати на Инвестиционен приоритет 9.</w:t>
            </w:r>
            <w:r w:rsidRPr="00E0751D">
              <w:rPr>
                <w:rFonts w:ascii="Times New Roman" w:hAnsi="Times New Roman" w:cs="Times New Roman"/>
                <w:sz w:val="24"/>
                <w:szCs w:val="24"/>
                <w:lang w:val="en-US"/>
              </w:rPr>
              <w:t>ii</w:t>
            </w:r>
            <w:r w:rsidRPr="00E0751D">
              <w:rPr>
                <w:rFonts w:ascii="Times New Roman" w:hAnsi="Times New Roman" w:cs="Times New Roman"/>
                <w:sz w:val="24"/>
                <w:szCs w:val="24"/>
              </w:rPr>
              <w:t xml:space="preserve"> Социално-икономическо интегриране на </w:t>
            </w:r>
            <w:proofErr w:type="spellStart"/>
            <w:r w:rsidRPr="00E0751D">
              <w:rPr>
                <w:rFonts w:ascii="Times New Roman" w:hAnsi="Times New Roman" w:cs="Times New Roman"/>
                <w:sz w:val="24"/>
                <w:szCs w:val="24"/>
              </w:rPr>
              <w:t>маргинализираните</w:t>
            </w:r>
            <w:proofErr w:type="spellEnd"/>
            <w:r w:rsidRPr="00E0751D">
              <w:rPr>
                <w:rFonts w:ascii="Times New Roman" w:hAnsi="Times New Roman" w:cs="Times New Roman"/>
                <w:sz w:val="24"/>
                <w:szCs w:val="24"/>
              </w:rPr>
              <w:t xml:space="preserve"> общности като например ромите.</w:t>
            </w:r>
          </w:p>
          <w:p w14:paraId="42101B84" w14:textId="77777777" w:rsidR="00AF5DB9"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ВАЖНО!</w:t>
            </w:r>
            <w:r w:rsidRPr="00E0751D">
              <w:rPr>
                <w:rFonts w:ascii="Times New Roman" w:hAnsi="Times New Roman" w:cs="Times New Roman"/>
                <w:sz w:val="24"/>
                <w:szCs w:val="24"/>
              </w:rPr>
              <w:t xml:space="preserve"> </w:t>
            </w:r>
          </w:p>
          <w:p w14:paraId="33F8E26E" w14:textId="0508D5AC" w:rsidR="005431DF" w:rsidRPr="00E0751D"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sz w:val="24"/>
                <w:szCs w:val="24"/>
              </w:rPr>
              <w:t xml:space="preserve">МИГ </w:t>
            </w:r>
            <w:r w:rsidR="00B5635F">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00B5635F" w:rsidRPr="002B1899">
              <w:rPr>
                <w:rFonts w:ascii="Times New Roman" w:hAnsi="Times New Roman" w:cs="Times New Roman"/>
                <w:sz w:val="24"/>
                <w:szCs w:val="24"/>
              </w:rPr>
              <w:t>извършва</w:t>
            </w:r>
            <w:r w:rsidRPr="002B1899">
              <w:rPr>
                <w:rFonts w:ascii="Times New Roman" w:hAnsi="Times New Roman" w:cs="Times New Roman"/>
                <w:sz w:val="24"/>
                <w:szCs w:val="24"/>
              </w:rPr>
              <w:t xml:space="preserve"> съответните проверки на проектните предложения на кандидатите относно вече започнали</w:t>
            </w:r>
            <w:r w:rsidRPr="00E0751D">
              <w:rPr>
                <w:rFonts w:ascii="Times New Roman" w:hAnsi="Times New Roman" w:cs="Times New Roman"/>
                <w:sz w:val="24"/>
                <w:szCs w:val="24"/>
              </w:rPr>
              <w:t xml:space="preserve"> и/или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които са недопустими за подпомагане.</w:t>
            </w:r>
          </w:p>
          <w:p w14:paraId="6E13774A" w14:textId="77777777" w:rsidR="004B5C00" w:rsidRPr="004A2DC4" w:rsidRDefault="004B5C00" w:rsidP="0077484F">
            <w:pPr>
              <w:spacing w:after="120"/>
              <w:jc w:val="both"/>
              <w:rPr>
                <w:rFonts w:ascii="Times New Roman" w:hAnsi="Times New Roman" w:cs="Times New Roman"/>
                <w:sz w:val="24"/>
                <w:szCs w:val="24"/>
              </w:rPr>
            </w:pPr>
          </w:p>
          <w:p w14:paraId="36CD5E6B" w14:textId="77777777" w:rsidR="00AF5DB9"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 xml:space="preserve">ВАЖНО! </w:t>
            </w:r>
          </w:p>
          <w:p w14:paraId="7BD45035" w14:textId="7FABF6B9" w:rsidR="005431DF"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В ролята си на партньори, ЮЛНЦ могат да изразходват средства само за дейности, които имат нестопански характер.</w:t>
            </w:r>
          </w:p>
          <w:p w14:paraId="1B160B0D" w14:textId="77777777" w:rsidR="004B5C00" w:rsidRPr="00486F07" w:rsidRDefault="004B5C00" w:rsidP="0077484F">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lastRenderedPageBreak/>
              <w:t>Кандидатът трябва да е пряко отговорен за подготовката, управлението и изпълнението на дейностите по проекта, а не да изпълнява ролята на посредник.</w:t>
            </w:r>
          </w:p>
          <w:p w14:paraId="5BB1E49C" w14:textId="1A754398" w:rsidR="005431DF" w:rsidRDefault="005431DF"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Допустимите дейности трябва да съответстват на целите на </w:t>
            </w:r>
            <w:r w:rsidR="00C47F88" w:rsidRPr="00FD1EFB">
              <w:rPr>
                <w:rFonts w:ascii="Times New Roman" w:hAnsi="Times New Roman" w:cs="Times New Roman"/>
                <w:sz w:val="24"/>
                <w:szCs w:val="24"/>
              </w:rPr>
              <w:t xml:space="preserve">одобрената </w:t>
            </w:r>
            <w:r w:rsidRPr="00FD1EFB">
              <w:rPr>
                <w:rFonts w:ascii="Times New Roman" w:hAnsi="Times New Roman" w:cs="Times New Roman"/>
                <w:sz w:val="24"/>
                <w:szCs w:val="24"/>
              </w:rPr>
              <w:t xml:space="preserve">стратегия за </w:t>
            </w:r>
            <w:r w:rsidR="00C47F88" w:rsidRPr="00FD1EFB">
              <w:rPr>
                <w:rFonts w:ascii="Times New Roman" w:hAnsi="Times New Roman" w:cs="Times New Roman"/>
                <w:sz w:val="24"/>
                <w:szCs w:val="24"/>
              </w:rPr>
              <w:t>ВОМР</w:t>
            </w:r>
            <w:r w:rsidRPr="00FD1EFB">
              <w:rPr>
                <w:rFonts w:ascii="Times New Roman" w:hAnsi="Times New Roman" w:cs="Times New Roman"/>
                <w:sz w:val="24"/>
                <w:szCs w:val="24"/>
              </w:rPr>
              <w:t xml:space="preserve"> при спазване на следните изисквания:</w:t>
            </w:r>
          </w:p>
          <w:p w14:paraId="529C2EBB"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не противоречат на правилата,</w:t>
            </w:r>
            <w:r w:rsidR="006421AE">
              <w:rPr>
                <w:rFonts w:ascii="Times New Roman" w:hAnsi="Times New Roman" w:cs="Times New Roman"/>
                <w:sz w:val="24"/>
                <w:szCs w:val="24"/>
              </w:rPr>
              <w:t xml:space="preserve"> описани в Регламент (ЕС) № 130</w:t>
            </w:r>
            <w:r w:rsidRPr="00C47F88">
              <w:rPr>
                <w:rFonts w:ascii="Times New Roman" w:hAnsi="Times New Roman" w:cs="Times New Roman"/>
                <w:sz w:val="24"/>
                <w:szCs w:val="24"/>
              </w:rPr>
              <w:t>4/2013 на Европейския парламент и на Съвета относно Европейския социален фонд</w:t>
            </w:r>
            <w:r w:rsidR="006421AE">
              <w:rPr>
                <w:rFonts w:ascii="Times New Roman" w:hAnsi="Times New Roman" w:cs="Times New Roman"/>
                <w:sz w:val="24"/>
                <w:szCs w:val="24"/>
              </w:rPr>
              <w:t xml:space="preserve"> и на правилата на </w:t>
            </w:r>
            <w:r w:rsidRPr="00C47F88">
              <w:rPr>
                <w:rFonts w:ascii="Times New Roman" w:hAnsi="Times New Roman" w:cs="Times New Roman"/>
                <w:sz w:val="24"/>
                <w:szCs w:val="24"/>
              </w:rPr>
              <w:t xml:space="preserve"> Регламент (ЕС) № 1303/2013 на Съвета относно 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фонд за морско дело и рибарство и Регламент за изпълнение (ЕС) 2015/207 на Комисията за определяне на подробни правила за прилагането на Регламент (ЕС) № 1303/2013 на Европейския парламент и на Съвета;</w:t>
            </w:r>
          </w:p>
          <w:p w14:paraId="4CB991A7"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 xml:space="preserve">Да са насочени към изпълнението на целите на Приоритетна ос </w:t>
            </w:r>
            <w:r>
              <w:rPr>
                <w:rFonts w:ascii="Times New Roman" w:hAnsi="Times New Roman" w:cs="Times New Roman"/>
                <w:sz w:val="24"/>
                <w:szCs w:val="24"/>
              </w:rPr>
              <w:t>3</w:t>
            </w:r>
            <w:r w:rsidRPr="00C47F88">
              <w:rPr>
                <w:rFonts w:ascii="Times New Roman" w:hAnsi="Times New Roman" w:cs="Times New Roman"/>
                <w:sz w:val="24"/>
                <w:szCs w:val="24"/>
              </w:rPr>
              <w:t xml:space="preserve"> „Образователна среда за активно социално приобщаване“ и на ОП НОИР 2014-2020;</w:t>
            </w:r>
          </w:p>
          <w:p w14:paraId="061585B8"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бъдат ясно обосновани и да имат конкретни цели;</w:t>
            </w:r>
          </w:p>
          <w:p w14:paraId="02B7935A" w14:textId="77777777" w:rsidR="00C47F88" w:rsidRDefault="006421AE" w:rsidP="00C37CE9">
            <w:pPr>
              <w:pStyle w:val="a3"/>
              <w:numPr>
                <w:ilvl w:val="0"/>
                <w:numId w:val="1"/>
              </w:numPr>
              <w:spacing w:after="120"/>
              <w:contextualSpacing w:val="0"/>
              <w:jc w:val="both"/>
              <w:rPr>
                <w:rFonts w:ascii="Times New Roman" w:hAnsi="Times New Roman" w:cs="Times New Roman"/>
                <w:sz w:val="24"/>
                <w:szCs w:val="24"/>
              </w:rPr>
            </w:pPr>
            <w:r w:rsidRPr="006421AE">
              <w:rPr>
                <w:rFonts w:ascii="Times New Roman" w:hAnsi="Times New Roman" w:cs="Times New Roman"/>
                <w:sz w:val="24"/>
                <w:szCs w:val="24"/>
              </w:rPr>
              <w:t>Да са подходящи, практични и последователни, и да съответстват н</w:t>
            </w:r>
            <w:r>
              <w:rPr>
                <w:rFonts w:ascii="Times New Roman" w:hAnsi="Times New Roman" w:cs="Times New Roman"/>
                <w:sz w:val="24"/>
                <w:szCs w:val="24"/>
              </w:rPr>
              <w:t>а целите и очакваните резултати;</w:t>
            </w:r>
          </w:p>
          <w:p w14:paraId="579C9D50" w14:textId="77777777" w:rsidR="006421AE" w:rsidRDefault="006421AE" w:rsidP="00C37CE9">
            <w:pPr>
              <w:pStyle w:val="a3"/>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НЕ са </w:t>
            </w:r>
            <w:r w:rsidRPr="006421AE">
              <w:rPr>
                <w:rFonts w:ascii="Times New Roman" w:hAnsi="Times New Roman" w:cs="Times New Roman"/>
                <w:sz w:val="24"/>
                <w:szCs w:val="24"/>
              </w:rPr>
              <w:t>стартирали, физически приключени или изцяло изпълнени или такива, финансирани по друг проект, процедура, програма или каквато и да е друга финансова схема, произлизаща от националния бюджет, бюджета на Общността или друга донорска програма</w:t>
            </w:r>
            <w:r>
              <w:rPr>
                <w:rFonts w:ascii="Times New Roman" w:hAnsi="Times New Roman" w:cs="Times New Roman"/>
                <w:sz w:val="24"/>
                <w:szCs w:val="24"/>
              </w:rPr>
              <w:t>.</w:t>
            </w:r>
          </w:p>
          <w:p w14:paraId="0CB7F98B"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При описание на дейностите във формуляра за кандидатстване, следва да се има предвид, че провеждането на съответните процедури за определянето на изпълнител по реда на ЗОП и/или на Глава четвърта (Специални правила за определяне на изпълнител от бенефициенти на безвъзмездна финансова помощ) от ЗУСЕСИФ не представляват отделни дейности. В тази връзка възлагането на изпълнител, следва да се посочи в т. 7 „План за изпълнение/дейности по проекта“, поле „Начин на изпълнение“ на съответната дейност, за която се отнася, единствено като метод/средство за нейното изпълнение. В поле „Начин на изпълнение“ трябва да се опишат всички доставки на стоки и услуги като метод/средство за изпълнение на дейностите. Възлагане на дейности като осигуряване на хранене, осигуряване на транспорт, осигуряване на режийни разходи, гориво и др., е допустимо по проектите, когато не е налично финансиране от държавния или общинския бюджет. </w:t>
            </w:r>
          </w:p>
          <w:p w14:paraId="10981986"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В допълнение, горепосочените процедури за избор на изпълнител следва да бъдат описани в т. 10. План за външно възлагане на формуляра за кандидатстване.</w:t>
            </w:r>
          </w:p>
          <w:p w14:paraId="33C4BC76" w14:textId="5DC2ADF3" w:rsidR="006421AE"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 </w:t>
            </w:r>
            <w:r w:rsidR="006421AE">
              <w:rPr>
                <w:rFonts w:ascii="Times New Roman" w:hAnsi="Times New Roman" w:cs="Times New Roman"/>
                <w:sz w:val="24"/>
                <w:szCs w:val="24"/>
              </w:rPr>
              <w:t xml:space="preserve">Изборът на изпълнители </w:t>
            </w:r>
            <w:r w:rsidR="006421AE" w:rsidRPr="006421AE">
              <w:rPr>
                <w:rFonts w:ascii="Times New Roman" w:hAnsi="Times New Roman" w:cs="Times New Roman"/>
                <w:sz w:val="24"/>
                <w:szCs w:val="24"/>
              </w:rPr>
              <w:t>трябва да бъде извършван по открит, прозрачен, в достатъчна степен публичен, недискриминационен и безусловен начин по смисъла на т. 89 – 96 от Известие на Комисията относно понятието за държавна помощ, посочено в член 107, параграф 1 от Договора за функционирането на Европейския съюз и в съответствие със Закона за обществените поръчки.</w:t>
            </w:r>
          </w:p>
          <w:p w14:paraId="1D7EB863" w14:textId="77777777" w:rsidR="006421AE" w:rsidRPr="006421AE" w:rsidRDefault="006421AE" w:rsidP="0077484F">
            <w:pPr>
              <w:spacing w:after="120"/>
              <w:jc w:val="both"/>
              <w:rPr>
                <w:rFonts w:ascii="Times New Roman" w:hAnsi="Times New Roman" w:cs="Times New Roman"/>
                <w:sz w:val="24"/>
                <w:szCs w:val="24"/>
              </w:rPr>
            </w:pPr>
          </w:p>
          <w:p w14:paraId="21746650" w14:textId="67DB1D65" w:rsidR="005431DF" w:rsidRDefault="005431DF" w:rsidP="0077484F">
            <w:pPr>
              <w:spacing w:after="120"/>
              <w:jc w:val="both"/>
              <w:rPr>
                <w:rFonts w:ascii="Times New Roman" w:hAnsi="Times New Roman" w:cs="Times New Roman"/>
                <w:b/>
                <w:sz w:val="24"/>
                <w:szCs w:val="24"/>
                <w:lang w:val="en-US"/>
              </w:rPr>
            </w:pPr>
            <w:r>
              <w:rPr>
                <w:rFonts w:ascii="Times New Roman" w:hAnsi="Times New Roman" w:cs="Times New Roman"/>
                <w:b/>
                <w:sz w:val="24"/>
                <w:szCs w:val="24"/>
              </w:rPr>
              <w:t>Допустими п</w:t>
            </w:r>
            <w:r w:rsidRPr="005E08BE">
              <w:rPr>
                <w:rFonts w:ascii="Times New Roman" w:hAnsi="Times New Roman" w:cs="Times New Roman"/>
                <w:b/>
                <w:sz w:val="24"/>
                <w:szCs w:val="24"/>
              </w:rPr>
              <w:t>реки дейности</w:t>
            </w:r>
            <w:r w:rsidR="008042EE">
              <w:rPr>
                <w:rFonts w:ascii="Times New Roman" w:hAnsi="Times New Roman" w:cs="Times New Roman"/>
                <w:b/>
                <w:sz w:val="24"/>
                <w:szCs w:val="24"/>
              </w:rPr>
              <w:t xml:space="preserve"> по конкретната процедура</w:t>
            </w:r>
            <w:r w:rsidRPr="005E08BE">
              <w:rPr>
                <w:rFonts w:ascii="Times New Roman" w:hAnsi="Times New Roman" w:cs="Times New Roman"/>
                <w:b/>
                <w:sz w:val="24"/>
                <w:szCs w:val="24"/>
              </w:rPr>
              <w:t>:</w:t>
            </w:r>
          </w:p>
          <w:p w14:paraId="0985D552"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lastRenderedPageBreak/>
              <w:t>1. Дейности за подобряване на достъпа и пов</w:t>
            </w:r>
            <w:r>
              <w:rPr>
                <w:rFonts w:ascii="Times New Roman" w:hAnsi="Times New Roman" w:cs="Times New Roman"/>
                <w:sz w:val="24"/>
                <w:szCs w:val="24"/>
              </w:rPr>
              <w:t xml:space="preserve">ишаване на обхвата на децата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в системата на предучилищнот</w:t>
            </w:r>
            <w:r>
              <w:rPr>
                <w:rFonts w:ascii="Times New Roman" w:hAnsi="Times New Roman" w:cs="Times New Roman"/>
                <w:sz w:val="24"/>
                <w:szCs w:val="24"/>
              </w:rPr>
              <w:t>о образование (детски градини и</w:t>
            </w:r>
            <w:r w:rsidRPr="00E542A9">
              <w:rPr>
                <w:rFonts w:ascii="Times New Roman" w:hAnsi="Times New Roman" w:cs="Times New Roman"/>
                <w:sz w:val="24"/>
                <w:szCs w:val="24"/>
              </w:rPr>
              <w:t xml:space="preserve"> </w:t>
            </w:r>
            <w:r w:rsidRPr="00AD7B4B">
              <w:rPr>
                <w:rFonts w:ascii="Times New Roman" w:hAnsi="Times New Roman" w:cs="Times New Roman"/>
                <w:sz w:val="24"/>
                <w:szCs w:val="24"/>
              </w:rPr>
              <w:t>училища, в които има подготвителни групи):</w:t>
            </w:r>
          </w:p>
          <w:p w14:paraId="6E555E7D"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привличане и включване на допълнителни педагогически специалисти и помощник-учители за работа с деца от тези групи;</w:t>
            </w:r>
          </w:p>
          <w:p w14:paraId="5C16C7FC"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допълнително обучение по български език за децата, за които българският език не е</w:t>
            </w:r>
            <w:r>
              <w:rPr>
                <w:rFonts w:ascii="Times New Roman" w:hAnsi="Times New Roman" w:cs="Times New Roman"/>
                <w:sz w:val="24"/>
                <w:szCs w:val="24"/>
              </w:rPr>
              <w:t xml:space="preserve"> </w:t>
            </w:r>
            <w:r w:rsidRPr="00AD7B4B">
              <w:rPr>
                <w:rFonts w:ascii="Times New Roman" w:hAnsi="Times New Roman" w:cs="Times New Roman"/>
                <w:sz w:val="24"/>
                <w:szCs w:val="24"/>
              </w:rPr>
              <w:t>майчин;</w:t>
            </w:r>
          </w:p>
          <w:p w14:paraId="71030202"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взаимодействие с родители;</w:t>
            </w:r>
          </w:p>
          <w:p w14:paraId="1B710369"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 xml:space="preserve">допълнителна работа на педагогическите специалисти с деца от </w:t>
            </w:r>
            <w:proofErr w:type="spellStart"/>
            <w:r w:rsidRPr="00AD7B4B">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w:t>
            </w:r>
            <w:r w:rsidRPr="00AD7B4B">
              <w:rPr>
                <w:rFonts w:ascii="Times New Roman" w:hAnsi="Times New Roman" w:cs="Times New Roman"/>
                <w:sz w:val="24"/>
                <w:szCs w:val="24"/>
              </w:rPr>
              <w:t>групи (вкл. работа през летните месеци);</w:t>
            </w:r>
          </w:p>
          <w:p w14:paraId="599C9036"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подобряване на материално-битовите условия в образователните институции,</w:t>
            </w:r>
            <w:r>
              <w:rPr>
                <w:rFonts w:ascii="Times New Roman" w:hAnsi="Times New Roman" w:cs="Times New Roman"/>
                <w:sz w:val="24"/>
                <w:szCs w:val="24"/>
              </w:rPr>
              <w:t xml:space="preserve"> </w:t>
            </w:r>
            <w:r w:rsidRPr="00AD7B4B">
              <w:rPr>
                <w:rFonts w:ascii="Times New Roman" w:hAnsi="Times New Roman" w:cs="Times New Roman"/>
                <w:sz w:val="24"/>
                <w:szCs w:val="24"/>
              </w:rPr>
              <w:t>включително съвременно ИКТ оборудване и електронни образователни продукти;</w:t>
            </w:r>
          </w:p>
          <w:p w14:paraId="665542E1"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осигуряване на транспорт и хранене, когато това не се финансира от държавния или</w:t>
            </w:r>
            <w:r>
              <w:rPr>
                <w:rFonts w:ascii="Times New Roman" w:hAnsi="Times New Roman" w:cs="Times New Roman"/>
                <w:sz w:val="24"/>
                <w:szCs w:val="24"/>
              </w:rPr>
              <w:t xml:space="preserve"> </w:t>
            </w:r>
            <w:r w:rsidRPr="00AD7B4B">
              <w:rPr>
                <w:rFonts w:ascii="Times New Roman" w:hAnsi="Times New Roman" w:cs="Times New Roman"/>
                <w:sz w:val="24"/>
                <w:szCs w:val="24"/>
              </w:rPr>
              <w:t>общинския бюджет;</w:t>
            </w:r>
          </w:p>
          <w:p w14:paraId="6FF394B7" w14:textId="77777777" w:rsidR="005431DF" w:rsidRDefault="005431DF" w:rsidP="00C37CE9">
            <w:pPr>
              <w:pStyle w:val="a3"/>
              <w:numPr>
                <w:ilvl w:val="0"/>
                <w:numId w:val="4"/>
              </w:numPr>
              <w:spacing w:after="120"/>
              <w:contextualSpacing w:val="0"/>
              <w:jc w:val="both"/>
              <w:rPr>
                <w:rFonts w:ascii="Times New Roman" w:hAnsi="Times New Roman" w:cs="Times New Roman"/>
                <w:sz w:val="24"/>
                <w:szCs w:val="24"/>
              </w:rPr>
            </w:pPr>
            <w:r w:rsidRPr="005431DF">
              <w:rPr>
                <w:rFonts w:ascii="Times New Roman" w:hAnsi="Times New Roman" w:cs="Times New Roman"/>
                <w:sz w:val="24"/>
                <w:szCs w:val="24"/>
              </w:rPr>
              <w:t>други дейности, включени в общински програми със сходен характер.</w:t>
            </w:r>
          </w:p>
          <w:p w14:paraId="6E9D2EA8" w14:textId="77777777" w:rsidR="005431DF" w:rsidRDefault="005431DF" w:rsidP="0077484F">
            <w:pPr>
              <w:pStyle w:val="a3"/>
              <w:spacing w:after="120"/>
              <w:contextualSpacing w:val="0"/>
              <w:jc w:val="both"/>
              <w:rPr>
                <w:rFonts w:ascii="Times New Roman" w:hAnsi="Times New Roman" w:cs="Times New Roman"/>
                <w:sz w:val="24"/>
                <w:szCs w:val="24"/>
              </w:rPr>
            </w:pPr>
          </w:p>
          <w:p w14:paraId="1F13DEBD"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t>2. Дейности за подобряване на достъпа и повишава</w:t>
            </w:r>
            <w:r>
              <w:rPr>
                <w:rFonts w:ascii="Times New Roman" w:hAnsi="Times New Roman" w:cs="Times New Roman"/>
                <w:sz w:val="24"/>
                <w:szCs w:val="24"/>
              </w:rPr>
              <w:t xml:space="preserve">не на мотивацията на ученици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за включване в системата на професионалното образование:</w:t>
            </w:r>
          </w:p>
          <w:p w14:paraId="5854CE4D"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ученическо общежитие (където е възможно);</w:t>
            </w:r>
          </w:p>
          <w:p w14:paraId="487B516A"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хранене в професионалните гимназии;</w:t>
            </w:r>
          </w:p>
          <w:p w14:paraId="3DEF297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транспорт от местоживеене до професионално училище и обратно;</w:t>
            </w:r>
          </w:p>
          <w:p w14:paraId="1B17CCB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закупуването на учебници, учебни пособия и материали;</w:t>
            </w:r>
          </w:p>
          <w:p w14:paraId="7B168C88"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ученици с образователни затруднения;</w:t>
            </w:r>
          </w:p>
          <w:p w14:paraId="2B1A32BF" w14:textId="75569BF3"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професионалните гимназии и ученическите общежития, в които са настанени деца</w:t>
            </w:r>
            <w:r w:rsidR="00262941">
              <w:rPr>
                <w:rFonts w:ascii="Times New Roman" w:hAnsi="Times New Roman" w:cs="Times New Roman"/>
                <w:sz w:val="24"/>
                <w:szCs w:val="24"/>
              </w:rPr>
              <w:t>,</w:t>
            </w:r>
            <w:r w:rsidRPr="008976A3">
              <w:rPr>
                <w:rFonts w:ascii="Times New Roman" w:hAnsi="Times New Roman" w:cs="Times New Roman"/>
                <w:sz w:val="24"/>
                <w:szCs w:val="24"/>
              </w:rPr>
              <w:t xml:space="preserve"> учащи в професионални гимназии, включително закупуване на съвременна ИКТ и оборудване за провеждане на практическо обучение;</w:t>
            </w:r>
          </w:p>
          <w:p w14:paraId="27198E3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 xml:space="preserve">допълнителна работа на педагогическите специалисти с ученици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(включително през лятото);</w:t>
            </w:r>
          </w:p>
          <w:p w14:paraId="1A72DDF5" w14:textId="77777777" w:rsidR="005431DF" w:rsidRPr="009719E4" w:rsidRDefault="005431DF" w:rsidP="00C37CE9">
            <w:pPr>
              <w:pStyle w:val="a3"/>
              <w:numPr>
                <w:ilvl w:val="0"/>
                <w:numId w:val="12"/>
              </w:numPr>
              <w:spacing w:after="120"/>
              <w:jc w:val="both"/>
              <w:rPr>
                <w:rFonts w:ascii="Times New Roman" w:hAnsi="Times New Roman" w:cs="Times New Roman"/>
                <w:sz w:val="24"/>
                <w:szCs w:val="24"/>
              </w:rPr>
            </w:pPr>
            <w:r w:rsidRPr="009719E4">
              <w:rPr>
                <w:rFonts w:ascii="Times New Roman" w:hAnsi="Times New Roman" w:cs="Times New Roman"/>
                <w:sz w:val="24"/>
                <w:szCs w:val="24"/>
              </w:rPr>
              <w:t xml:space="preserve">провеждане на информационни кампании за включване в системата на професионалното образование сред родителите и децата от </w:t>
            </w:r>
            <w:proofErr w:type="spellStart"/>
            <w:r w:rsidRPr="009719E4">
              <w:rPr>
                <w:rFonts w:ascii="Times New Roman" w:hAnsi="Times New Roman" w:cs="Times New Roman"/>
                <w:sz w:val="24"/>
                <w:szCs w:val="24"/>
              </w:rPr>
              <w:t>маргинализираните</w:t>
            </w:r>
            <w:proofErr w:type="spellEnd"/>
            <w:r w:rsidRPr="009719E4">
              <w:rPr>
                <w:rFonts w:ascii="Times New Roman" w:hAnsi="Times New Roman" w:cs="Times New Roman"/>
                <w:sz w:val="24"/>
                <w:szCs w:val="24"/>
              </w:rPr>
              <w:t xml:space="preserve"> групи.</w:t>
            </w:r>
          </w:p>
          <w:p w14:paraId="43B9B607" w14:textId="77777777" w:rsidR="005431DF" w:rsidRPr="008976A3" w:rsidRDefault="005431DF" w:rsidP="0077484F">
            <w:pPr>
              <w:spacing w:after="120"/>
              <w:jc w:val="both"/>
              <w:rPr>
                <w:rFonts w:ascii="Times New Roman" w:hAnsi="Times New Roman" w:cs="Times New Roman"/>
                <w:sz w:val="24"/>
                <w:szCs w:val="24"/>
              </w:rPr>
            </w:pPr>
            <w:r w:rsidRPr="008976A3">
              <w:rPr>
                <w:rFonts w:ascii="Times New Roman" w:hAnsi="Times New Roman" w:cs="Times New Roman"/>
                <w:sz w:val="24"/>
                <w:szCs w:val="24"/>
              </w:rPr>
              <w:cr/>
              <w:t>3. Дейности за подобряване на достъпа до училищно образ</w:t>
            </w:r>
            <w:r>
              <w:rPr>
                <w:rFonts w:ascii="Times New Roman" w:hAnsi="Times New Roman" w:cs="Times New Roman"/>
                <w:sz w:val="24"/>
                <w:szCs w:val="24"/>
              </w:rPr>
              <w:t xml:space="preserve">ование и намаляване на процента </w:t>
            </w:r>
            <w:r w:rsidRPr="008976A3">
              <w:rPr>
                <w:rFonts w:ascii="Times New Roman" w:hAnsi="Times New Roman" w:cs="Times New Roman"/>
                <w:sz w:val="24"/>
                <w:szCs w:val="24"/>
              </w:rPr>
              <w:t xml:space="preserve">на учениците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преждевременно напуснали системата:</w:t>
            </w:r>
          </w:p>
          <w:p w14:paraId="468902F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преодоляване на образователни трудности;</w:t>
            </w:r>
          </w:p>
          <w:p w14:paraId="114357BC"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lastRenderedPageBreak/>
              <w:t>привличане и включване на допълнителни педагогически специалисти и помощник-учители за работа с ученици от тези групи;</w:t>
            </w:r>
          </w:p>
          <w:p w14:paraId="5F897BE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взаимодействие с родители;</w:t>
            </w:r>
          </w:p>
          <w:p w14:paraId="3862EDAA"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допълнителна работа на педагогическите специалисти с ученици от</w:t>
            </w:r>
            <w:r>
              <w:rPr>
                <w:rFonts w:ascii="Times New Roman" w:hAnsi="Times New Roman" w:cs="Times New Roman"/>
                <w:sz w:val="24"/>
                <w:szCs w:val="24"/>
              </w:rPr>
              <w:t xml:space="preserve"> </w:t>
            </w:r>
            <w:proofErr w:type="spellStart"/>
            <w:r w:rsidRPr="008976A3">
              <w:rPr>
                <w:rFonts w:ascii="Times New Roman" w:hAnsi="Times New Roman" w:cs="Times New Roman"/>
                <w:sz w:val="24"/>
                <w:szCs w:val="24"/>
              </w:rPr>
              <w:t>маргинализираните</w:t>
            </w:r>
            <w:proofErr w:type="spellEnd"/>
            <w:r w:rsidRPr="008976A3">
              <w:rPr>
                <w:rFonts w:ascii="Times New Roman" w:hAnsi="Times New Roman" w:cs="Times New Roman"/>
                <w:sz w:val="24"/>
                <w:szCs w:val="24"/>
              </w:rPr>
              <w:t xml:space="preserve"> групи (вкл. за обхващането им в системата на образованието и за предотвратяване на преждевременното им напускане);</w:t>
            </w:r>
          </w:p>
          <w:p w14:paraId="464454B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хранене в училищата,</w:t>
            </w:r>
            <w:r>
              <w:rPr>
                <w:rFonts w:ascii="Times New Roman" w:hAnsi="Times New Roman" w:cs="Times New Roman"/>
                <w:sz w:val="24"/>
                <w:szCs w:val="24"/>
              </w:rPr>
              <w:t xml:space="preserve"> </w:t>
            </w:r>
            <w:r w:rsidRPr="008976A3">
              <w:rPr>
                <w:rFonts w:ascii="Times New Roman" w:hAnsi="Times New Roman" w:cs="Times New Roman"/>
                <w:sz w:val="24"/>
                <w:szCs w:val="24"/>
              </w:rPr>
              <w:t>закупуване на учебни материали и пособия;</w:t>
            </w:r>
          </w:p>
          <w:p w14:paraId="4672048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училищата, включително закупуване на ИКТ;</w:t>
            </w:r>
          </w:p>
          <w:p w14:paraId="1F23D2E2" w14:textId="77777777" w:rsidR="005431DF"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други дейности, включени в общинск</w:t>
            </w:r>
            <w:r>
              <w:rPr>
                <w:rFonts w:ascii="Times New Roman" w:hAnsi="Times New Roman" w:cs="Times New Roman"/>
                <w:sz w:val="24"/>
                <w:szCs w:val="24"/>
              </w:rPr>
              <w:t>и програми със сходен характер.</w:t>
            </w:r>
          </w:p>
          <w:p w14:paraId="3C5DF1E8" w14:textId="77777777" w:rsidR="005431DF" w:rsidRPr="008976A3" w:rsidRDefault="005431DF" w:rsidP="0077484F">
            <w:pPr>
              <w:pStyle w:val="a3"/>
              <w:spacing w:after="120"/>
              <w:contextualSpacing w:val="0"/>
              <w:jc w:val="both"/>
              <w:rPr>
                <w:rFonts w:ascii="Times New Roman" w:hAnsi="Times New Roman" w:cs="Times New Roman"/>
                <w:sz w:val="24"/>
                <w:szCs w:val="24"/>
              </w:rPr>
            </w:pPr>
          </w:p>
          <w:p w14:paraId="7B1627E5" w14:textId="77777777" w:rsidR="005431DF" w:rsidRPr="00A33611" w:rsidRDefault="005431DF" w:rsidP="0077484F">
            <w:pPr>
              <w:spacing w:after="120"/>
              <w:ind w:left="360"/>
              <w:jc w:val="both"/>
              <w:rPr>
                <w:rFonts w:ascii="Times New Roman" w:hAnsi="Times New Roman" w:cs="Times New Roman"/>
                <w:sz w:val="24"/>
                <w:szCs w:val="24"/>
              </w:rPr>
            </w:pPr>
            <w:r w:rsidRPr="00E542A9">
              <w:rPr>
                <w:rFonts w:ascii="Times New Roman" w:hAnsi="Times New Roman" w:cs="Times New Roman"/>
                <w:sz w:val="24"/>
                <w:szCs w:val="24"/>
              </w:rPr>
              <w:t xml:space="preserve">4. </w:t>
            </w:r>
            <w:r w:rsidRPr="005431DF">
              <w:rPr>
                <w:rFonts w:ascii="Times New Roman" w:hAnsi="Times New Roman" w:cs="Times New Roman"/>
                <w:sz w:val="24"/>
                <w:szCs w:val="24"/>
              </w:rPr>
              <w:t xml:space="preserve">Насърчаване общуването и съвместните изяви между деца/ученици от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и не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групи, обучаващи се в различни образователни институции на територията на населеното място чрез допълнителни образователни услуги (вкл. през летните месеци).</w:t>
            </w:r>
          </w:p>
          <w:p w14:paraId="1C057B7F" w14:textId="77777777" w:rsidR="00A33611" w:rsidRPr="00A33611" w:rsidRDefault="00A33611" w:rsidP="0077484F">
            <w:pPr>
              <w:spacing w:after="120"/>
              <w:ind w:left="360"/>
              <w:jc w:val="both"/>
              <w:rPr>
                <w:rFonts w:ascii="Times New Roman" w:hAnsi="Times New Roman" w:cs="Times New Roman"/>
                <w:b/>
                <w:sz w:val="24"/>
                <w:szCs w:val="24"/>
              </w:rPr>
            </w:pPr>
            <w:r w:rsidRPr="00A33611">
              <w:rPr>
                <w:rFonts w:ascii="Times New Roman" w:hAnsi="Times New Roman" w:cs="Times New Roman"/>
                <w:b/>
                <w:sz w:val="24"/>
                <w:szCs w:val="24"/>
              </w:rPr>
              <w:t xml:space="preserve">ВАЖНО!  </w:t>
            </w:r>
          </w:p>
          <w:p w14:paraId="195F81FE" w14:textId="376949F7" w:rsidR="00A33611" w:rsidRPr="00A33611"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1.</w:t>
            </w:r>
            <w:r w:rsidR="00A33611" w:rsidRPr="00A33611">
              <w:rPr>
                <w:rFonts w:ascii="Times New Roman" w:hAnsi="Times New Roman" w:cs="Times New Roman"/>
                <w:sz w:val="24"/>
                <w:szCs w:val="24"/>
              </w:rPr>
              <w:t xml:space="preserve">Дейностите по операцията трябва да се изпълняват в образователни институции, в които има деца и ученици от </w:t>
            </w:r>
            <w:proofErr w:type="spellStart"/>
            <w:r w:rsidR="00A33611" w:rsidRPr="00A33611">
              <w:rPr>
                <w:rFonts w:ascii="Times New Roman" w:hAnsi="Times New Roman" w:cs="Times New Roman"/>
                <w:sz w:val="24"/>
                <w:szCs w:val="24"/>
              </w:rPr>
              <w:t>маргинализирани</w:t>
            </w:r>
            <w:proofErr w:type="spellEnd"/>
            <w:r w:rsidR="00A33611" w:rsidRPr="00A33611">
              <w:rPr>
                <w:rFonts w:ascii="Times New Roman" w:hAnsi="Times New Roman" w:cs="Times New Roman"/>
                <w:sz w:val="24"/>
                <w:szCs w:val="24"/>
              </w:rPr>
              <w:t xml:space="preserve"> групи.</w:t>
            </w:r>
          </w:p>
          <w:p w14:paraId="000AB25D" w14:textId="1815DBC6" w:rsidR="005431DF"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2.</w:t>
            </w:r>
            <w:r w:rsidR="00A33611" w:rsidRPr="00A33611">
              <w:rPr>
                <w:rFonts w:ascii="Times New Roman" w:hAnsi="Times New Roman" w:cs="Times New Roman"/>
                <w:sz w:val="24"/>
                <w:szCs w:val="24"/>
              </w:rPr>
              <w:t>Допустимите дейности следва да се изпълняват за първи път  или да имат допълващ и/или надграждащ ефект, спрямо подобни дейности, финансирани от националния бюджет, бюджета на ЕС и други донорски програми.</w:t>
            </w:r>
          </w:p>
          <w:p w14:paraId="35693908" w14:textId="77777777" w:rsidR="00E63E02" w:rsidRDefault="00E63E02" w:rsidP="0077484F">
            <w:pPr>
              <w:spacing w:after="120"/>
              <w:jc w:val="both"/>
              <w:rPr>
                <w:rFonts w:ascii="Times New Roman" w:hAnsi="Times New Roman" w:cs="Times New Roman"/>
                <w:sz w:val="24"/>
                <w:szCs w:val="24"/>
              </w:rPr>
            </w:pPr>
          </w:p>
          <w:p w14:paraId="20BDB7EF" w14:textId="77777777" w:rsidR="004B5C00"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Освен описаните по-горе задължителни по процедурата допустими преки дейности, проектното предложение задължително трябв</w:t>
            </w:r>
            <w:r>
              <w:rPr>
                <w:rFonts w:ascii="Times New Roman" w:hAnsi="Times New Roman" w:cs="Times New Roman"/>
                <w:sz w:val="24"/>
                <w:szCs w:val="24"/>
              </w:rPr>
              <w:t>а да включва и непреки дейности.</w:t>
            </w:r>
          </w:p>
          <w:p w14:paraId="29460CA4" w14:textId="77777777" w:rsidR="004B5C00" w:rsidRPr="00AC4733" w:rsidRDefault="004B5C00" w:rsidP="0077484F">
            <w:pPr>
              <w:spacing w:after="120"/>
              <w:jc w:val="both"/>
              <w:rPr>
                <w:rFonts w:ascii="Times New Roman" w:hAnsi="Times New Roman" w:cs="Times New Roman"/>
                <w:b/>
                <w:sz w:val="24"/>
                <w:szCs w:val="24"/>
              </w:rPr>
            </w:pPr>
            <w:r w:rsidRPr="00AC4733">
              <w:rPr>
                <w:rFonts w:ascii="Times New Roman" w:hAnsi="Times New Roman" w:cs="Times New Roman"/>
                <w:b/>
                <w:sz w:val="24"/>
                <w:szCs w:val="24"/>
              </w:rPr>
              <w:t>Допустими непреки дейности:</w:t>
            </w:r>
          </w:p>
          <w:p w14:paraId="466E861A" w14:textId="6E8B78DD" w:rsidR="0050720D" w:rsidRDefault="0050720D" w:rsidP="0077484F">
            <w:pPr>
              <w:spacing w:after="120"/>
              <w:jc w:val="both"/>
              <w:rPr>
                <w:rFonts w:ascii="Times New Roman" w:hAnsi="Times New Roman" w:cs="Times New Roman"/>
                <w:sz w:val="24"/>
                <w:szCs w:val="24"/>
              </w:rPr>
            </w:pPr>
            <w:r w:rsidRPr="00EC7327">
              <w:rPr>
                <w:rFonts w:ascii="Times New Roman" w:hAnsi="Times New Roman" w:cs="Times New Roman"/>
                <w:sz w:val="24"/>
                <w:szCs w:val="24"/>
              </w:rPr>
              <w:t xml:space="preserve">• Организация и управление на проекта, към които се включват и задължителните </w:t>
            </w:r>
            <w:r w:rsidR="0009757F" w:rsidRPr="00EC7327">
              <w:rPr>
                <w:rFonts w:ascii="Times New Roman" w:hAnsi="Times New Roman" w:cs="Times New Roman"/>
                <w:sz w:val="24"/>
                <w:szCs w:val="24"/>
              </w:rPr>
              <w:t>дейности</w:t>
            </w:r>
            <w:r w:rsidRPr="00EC7327">
              <w:rPr>
                <w:rFonts w:ascii="Times New Roman" w:hAnsi="Times New Roman" w:cs="Times New Roman"/>
                <w:sz w:val="24"/>
                <w:szCs w:val="24"/>
              </w:rPr>
              <w:t xml:space="preserve"> за информация и комуникация.</w:t>
            </w:r>
          </w:p>
          <w:p w14:paraId="27862446" w14:textId="2C09D7D0" w:rsidR="00E63E02" w:rsidRDefault="00E63E02"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При описание на дейностите във </w:t>
            </w:r>
            <w:r w:rsidR="00AC4733" w:rsidRPr="00FD1EFB">
              <w:rPr>
                <w:rFonts w:ascii="Times New Roman" w:hAnsi="Times New Roman" w:cs="Times New Roman"/>
                <w:sz w:val="24"/>
                <w:szCs w:val="24"/>
              </w:rPr>
              <w:t>Ф</w:t>
            </w:r>
            <w:r w:rsidRPr="00FD1EFB">
              <w:rPr>
                <w:rFonts w:ascii="Times New Roman" w:hAnsi="Times New Roman" w:cs="Times New Roman"/>
                <w:sz w:val="24"/>
                <w:szCs w:val="24"/>
              </w:rPr>
              <w:t xml:space="preserve">ормуляра за кандидатстване, следва да се има предвид, че непреките дейности не представляват отделни дейности. Те следва да бъдат декларирани от кандидата в т. 11 „Допълнителна информация необходима за оценка на проектното предложение“ на </w:t>
            </w:r>
            <w:r w:rsidR="006421AE" w:rsidRPr="00FD1EFB">
              <w:rPr>
                <w:rFonts w:ascii="Times New Roman" w:hAnsi="Times New Roman" w:cs="Times New Roman"/>
                <w:sz w:val="24"/>
                <w:szCs w:val="24"/>
              </w:rPr>
              <w:t>ф</w:t>
            </w:r>
            <w:r w:rsidRPr="00FD1EFB">
              <w:rPr>
                <w:rFonts w:ascii="Times New Roman" w:hAnsi="Times New Roman" w:cs="Times New Roman"/>
                <w:sz w:val="24"/>
                <w:szCs w:val="24"/>
              </w:rPr>
              <w:t>ормуляра за кандидатстване.</w:t>
            </w:r>
            <w:r w:rsidRPr="00E63E02">
              <w:rPr>
                <w:rFonts w:ascii="Times New Roman" w:hAnsi="Times New Roman" w:cs="Times New Roman"/>
                <w:sz w:val="24"/>
                <w:szCs w:val="24"/>
              </w:rPr>
              <w:t xml:space="preserve"> </w:t>
            </w:r>
          </w:p>
          <w:p w14:paraId="201EF062" w14:textId="77777777" w:rsidR="004B08D2" w:rsidRDefault="004B08D2" w:rsidP="0077484F">
            <w:pPr>
              <w:spacing w:after="120"/>
              <w:jc w:val="both"/>
              <w:rPr>
                <w:rFonts w:ascii="Times New Roman" w:hAnsi="Times New Roman" w:cs="Times New Roman"/>
                <w:sz w:val="24"/>
                <w:szCs w:val="24"/>
              </w:rPr>
            </w:pPr>
          </w:p>
          <w:p w14:paraId="602A571D" w14:textId="43E0BF7D" w:rsidR="00E63E02"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 xml:space="preserve">Дейностите за информация и комуникация трябва да отговарят на условията и изискванията, описани в Единния наръчник на бенефициента за прилагане на правилата за информация и комуникация 2014-2020, публикуван на интернет страницата на ОП НОИР: </w:t>
            </w:r>
            <w:hyperlink r:id="rId8" w:history="1">
              <w:r w:rsidR="00D22561" w:rsidRPr="00D22561">
                <w:rPr>
                  <w:rStyle w:val="a7"/>
                  <w:rFonts w:ascii="Times New Roman" w:hAnsi="Times New Roman" w:cs="Times New Roman"/>
                  <w:sz w:val="24"/>
                  <w:szCs w:val="24"/>
                </w:rPr>
                <w:t>http://sf.mon.bg/?go=page&amp;pageId=67</w:t>
              </w:r>
            </w:hyperlink>
            <w:r>
              <w:rPr>
                <w:rFonts w:ascii="Times New Roman" w:hAnsi="Times New Roman" w:cs="Times New Roman"/>
                <w:sz w:val="24"/>
                <w:szCs w:val="24"/>
              </w:rPr>
              <w:t>.</w:t>
            </w:r>
          </w:p>
          <w:p w14:paraId="7F8BEF86" w14:textId="77777777" w:rsidR="00AD731B" w:rsidRDefault="00AD731B" w:rsidP="0077484F">
            <w:pPr>
              <w:spacing w:after="120"/>
              <w:jc w:val="both"/>
              <w:rPr>
                <w:rFonts w:ascii="Times New Roman" w:hAnsi="Times New Roman" w:cs="Times New Roman"/>
                <w:b/>
                <w:i/>
                <w:sz w:val="24"/>
                <w:szCs w:val="24"/>
              </w:rPr>
            </w:pPr>
          </w:p>
          <w:p w14:paraId="2756C895" w14:textId="77777777" w:rsidR="008042EE" w:rsidRPr="008042EE" w:rsidRDefault="008042EE" w:rsidP="0077484F">
            <w:pPr>
              <w:spacing w:after="120"/>
              <w:jc w:val="both"/>
              <w:rPr>
                <w:rFonts w:ascii="Times New Roman" w:hAnsi="Times New Roman" w:cs="Times New Roman"/>
                <w:b/>
                <w:sz w:val="24"/>
                <w:szCs w:val="24"/>
              </w:rPr>
            </w:pPr>
            <w:r w:rsidRPr="008042EE">
              <w:rPr>
                <w:rFonts w:ascii="Times New Roman" w:hAnsi="Times New Roman" w:cs="Times New Roman"/>
                <w:b/>
                <w:sz w:val="24"/>
                <w:szCs w:val="24"/>
              </w:rPr>
              <w:lastRenderedPageBreak/>
              <w:t xml:space="preserve">ВАЖНО! </w:t>
            </w:r>
          </w:p>
          <w:p w14:paraId="0C64FFFE" w14:textId="4759BBAB" w:rsidR="004F5D84" w:rsidRPr="004F5D84"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изпълнение на дейностите по проекта следва да се спазва принципа за екологична устойчивост, съгласно Указанията за прилагане на принципа на екологична устойчивост в контекста на ОП НОИР, които са налични на следния интернет адрес: </w:t>
            </w:r>
            <w:hyperlink r:id="rId9" w:history="1">
              <w:r w:rsidRPr="0077484F">
                <w:rPr>
                  <w:rStyle w:val="a7"/>
                  <w:rFonts w:ascii="Times New Roman" w:hAnsi="Times New Roman" w:cs="Times New Roman"/>
                  <w:sz w:val="24"/>
                  <w:szCs w:val="24"/>
                </w:rPr>
                <w:t>http://sf.mon.bg/?go=page&amp;pageId=139</w:t>
              </w:r>
            </w:hyperlink>
            <w:r w:rsidR="0077484F" w:rsidRPr="00E542A9">
              <w:rPr>
                <w:rStyle w:val="a7"/>
                <w:rFonts w:ascii="Times New Roman" w:hAnsi="Times New Roman" w:cs="Times New Roman"/>
                <w:sz w:val="24"/>
                <w:szCs w:val="24"/>
              </w:rPr>
              <w:t xml:space="preserve"> </w:t>
            </w:r>
            <w:r w:rsidRPr="0077484F">
              <w:rPr>
                <w:rFonts w:ascii="Times New Roman" w:hAnsi="Times New Roman" w:cs="Times New Roman"/>
                <w:sz w:val="24"/>
                <w:szCs w:val="24"/>
              </w:rPr>
              <w:t>.</w:t>
            </w:r>
            <w:r>
              <w:rPr>
                <w:rFonts w:ascii="Times New Roman" w:hAnsi="Times New Roman" w:cs="Times New Roman"/>
                <w:sz w:val="24"/>
                <w:szCs w:val="24"/>
              </w:rPr>
              <w:t xml:space="preserve"> </w:t>
            </w:r>
          </w:p>
          <w:p w14:paraId="29D27277" w14:textId="19BD6AA6" w:rsidR="006421AE"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неспазване на принципа за екологична устойчивост, съгласно чл. 70, ал. 1 на ЗУСЕСИФ, финансова подкрепа със средства от ЕСИФ може да бъде отменена изцяло или частично чрез извършване на финансова корекция.  </w:t>
            </w:r>
          </w:p>
          <w:p w14:paraId="177E01E0" w14:textId="77777777" w:rsidR="004F5D84" w:rsidRPr="00900E12" w:rsidRDefault="004F5D84" w:rsidP="0077484F">
            <w:pPr>
              <w:spacing w:after="120"/>
              <w:jc w:val="both"/>
              <w:rPr>
                <w:rFonts w:ascii="Times New Roman" w:hAnsi="Times New Roman" w:cs="Times New Roman"/>
                <w:sz w:val="24"/>
                <w:szCs w:val="24"/>
              </w:rPr>
            </w:pPr>
          </w:p>
          <w:p w14:paraId="403C56C5" w14:textId="213C9456" w:rsidR="00E63E02" w:rsidRPr="00D15720" w:rsidRDefault="00E63E02" w:rsidP="0077484F">
            <w:pPr>
              <w:spacing w:after="120"/>
              <w:jc w:val="both"/>
              <w:rPr>
                <w:rFonts w:ascii="Times New Roman" w:hAnsi="Times New Roman" w:cs="Times New Roman"/>
                <w:b/>
                <w:sz w:val="24"/>
                <w:szCs w:val="24"/>
              </w:rPr>
            </w:pPr>
            <w:r w:rsidRPr="00900E12">
              <w:rPr>
                <w:rFonts w:ascii="Times New Roman" w:hAnsi="Times New Roman" w:cs="Times New Roman"/>
                <w:b/>
                <w:sz w:val="24"/>
                <w:szCs w:val="24"/>
              </w:rPr>
              <w:t>Разходи за финансиране на недопустими дейности няма да бъдат възстановявани от ОП</w:t>
            </w:r>
            <w:r>
              <w:rPr>
                <w:rFonts w:ascii="Times New Roman" w:hAnsi="Times New Roman" w:cs="Times New Roman"/>
                <w:b/>
                <w:sz w:val="24"/>
                <w:szCs w:val="24"/>
              </w:rPr>
              <w:t xml:space="preserve"> НОИР</w:t>
            </w:r>
            <w:r w:rsidR="00D15720">
              <w:rPr>
                <w:rFonts w:ascii="Times New Roman" w:hAnsi="Times New Roman" w:cs="Times New Roman"/>
                <w:b/>
                <w:sz w:val="24"/>
                <w:szCs w:val="24"/>
              </w:rPr>
              <w:t>!</w:t>
            </w:r>
          </w:p>
        </w:tc>
      </w:tr>
    </w:tbl>
    <w:p w14:paraId="692AA86F" w14:textId="77777777" w:rsidR="005431DF" w:rsidRPr="00E542A9" w:rsidRDefault="005431DF" w:rsidP="00622456">
      <w:pPr>
        <w:spacing w:after="120" w:line="240" w:lineRule="auto"/>
        <w:jc w:val="both"/>
        <w:rPr>
          <w:rFonts w:ascii="Times New Roman" w:hAnsi="Times New Roman" w:cs="Times New Roman"/>
          <w:sz w:val="24"/>
          <w:szCs w:val="24"/>
          <w:lang w:val="en-US"/>
        </w:rPr>
      </w:pPr>
    </w:p>
    <w:tbl>
      <w:tblPr>
        <w:tblStyle w:val="ad"/>
        <w:tblW w:w="10207" w:type="dxa"/>
        <w:tblInd w:w="-431" w:type="dxa"/>
        <w:tblLook w:val="04A0" w:firstRow="1" w:lastRow="0" w:firstColumn="1" w:lastColumn="0" w:noHBand="0" w:noVBand="1"/>
      </w:tblPr>
      <w:tblGrid>
        <w:gridCol w:w="10207"/>
      </w:tblGrid>
      <w:tr w:rsidR="004578C9" w14:paraId="006EA230" w14:textId="77777777" w:rsidTr="00CA777C">
        <w:tc>
          <w:tcPr>
            <w:tcW w:w="10207" w:type="dxa"/>
          </w:tcPr>
          <w:p w14:paraId="248C90C1" w14:textId="1A96363C" w:rsidR="004578C9" w:rsidRPr="00900E12"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4578C9" w:rsidRPr="00900E12">
              <w:rPr>
                <w:rFonts w:ascii="Times New Roman" w:hAnsi="Times New Roman" w:cs="Times New Roman"/>
                <w:b/>
                <w:sz w:val="24"/>
                <w:szCs w:val="24"/>
              </w:rPr>
              <w:t>. Категории разходи, допустими за финансиране</w:t>
            </w:r>
            <w:r w:rsidR="004578C9">
              <w:rPr>
                <w:rStyle w:val="af0"/>
                <w:rFonts w:ascii="Times New Roman" w:hAnsi="Times New Roman" w:cs="Times New Roman"/>
                <w:b/>
                <w:sz w:val="24"/>
                <w:szCs w:val="24"/>
              </w:rPr>
              <w:footnoteReference w:id="1"/>
            </w:r>
            <w:r w:rsidR="004578C9" w:rsidRPr="00900E12">
              <w:rPr>
                <w:rFonts w:ascii="Times New Roman" w:hAnsi="Times New Roman" w:cs="Times New Roman"/>
                <w:b/>
                <w:sz w:val="24"/>
                <w:szCs w:val="24"/>
              </w:rPr>
              <w:t>:</w:t>
            </w:r>
          </w:p>
          <w:p w14:paraId="3F99FB34" w14:textId="296F646D" w:rsidR="00F225B4" w:rsidRPr="00F225B4"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9A7071">
              <w:rPr>
                <w:rFonts w:ascii="Times New Roman" w:hAnsi="Times New Roman" w:cs="Times New Roman"/>
                <w:b/>
                <w:sz w:val="24"/>
                <w:szCs w:val="24"/>
              </w:rPr>
              <w:t>.1. Общи условия за допустимост на разходите</w:t>
            </w:r>
          </w:p>
          <w:p w14:paraId="640670FA" w14:textId="77777777" w:rsidR="004578C9"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w:t>
            </w:r>
          </w:p>
          <w:p w14:paraId="6629102B" w14:textId="77777777" w:rsidR="00AB55FD"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Възможните изменения на бюджета не могат да доведат до увеличаване на сумата на исканата безвъзмездна помощ.</w:t>
            </w:r>
          </w:p>
          <w:p w14:paraId="505E2A4C" w14:textId="77777777" w:rsidR="00AB55FD" w:rsidRDefault="00AB55FD"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 печалбата подлежи на възстановяване.</w:t>
            </w:r>
          </w:p>
          <w:p w14:paraId="478975EF" w14:textId="77777777" w:rsidR="004D2FF2" w:rsidRPr="00766DA5" w:rsidRDefault="004D2FF2" w:rsidP="00622456">
            <w:pPr>
              <w:spacing w:after="120"/>
              <w:jc w:val="both"/>
              <w:rPr>
                <w:rFonts w:ascii="Times New Roman" w:hAnsi="Times New Roman" w:cs="Times New Roman"/>
                <w:b/>
                <w:sz w:val="24"/>
                <w:szCs w:val="24"/>
              </w:rPr>
            </w:pPr>
            <w:r w:rsidRPr="00766DA5">
              <w:rPr>
                <w:rFonts w:ascii="Times New Roman" w:hAnsi="Times New Roman" w:cs="Times New Roman"/>
                <w:b/>
                <w:sz w:val="24"/>
                <w:szCs w:val="24"/>
              </w:rPr>
              <w:t>Разходите, допустими за финансиране, трябва да отговарят на разпоредбите на:</w:t>
            </w:r>
          </w:p>
          <w:p w14:paraId="7F7E20D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24BFFD0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Регламент (ЕС) № 1304/2013 на Европейския парламент и Съвета от 17 декември 2013 г. относно Европейския социален фонд и за отмяна на Регламент (ЕО) № 1081/2006;</w:t>
            </w:r>
          </w:p>
          <w:p w14:paraId="745BC73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 за управление на средствата от Европейските структурни и инвестиционни фондове (ЗУСЕСИФ);</w:t>
            </w:r>
          </w:p>
          <w:p w14:paraId="7FF78876" w14:textId="77777777" w:rsidR="00AB55FD" w:rsidRDefault="004D2FF2" w:rsidP="00622456">
            <w:pPr>
              <w:spacing w:after="120"/>
              <w:jc w:val="both"/>
              <w:rPr>
                <w:rFonts w:ascii="Times New Roman" w:hAnsi="Times New Roman" w:cs="Times New Roman"/>
                <w:sz w:val="24"/>
                <w:szCs w:val="24"/>
                <w:lang w:val="en-US"/>
              </w:rPr>
            </w:pPr>
            <w:r w:rsidRPr="00766DA5">
              <w:rPr>
                <w:rFonts w:ascii="Times New Roman" w:hAnsi="Times New Roman" w:cs="Times New Roman"/>
                <w:sz w:val="24"/>
                <w:szCs w:val="24"/>
              </w:rPr>
              <w:lastRenderedPageBreak/>
              <w:t>-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279A1857" w14:textId="27C47ABD" w:rsidR="00766DA5" w:rsidRDefault="00766DA5"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w:t>
            </w:r>
            <w:proofErr w:type="gramStart"/>
            <w:r w:rsidR="00587096">
              <w:rPr>
                <w:rFonts w:ascii="Times New Roman" w:hAnsi="Times New Roman" w:cs="Times New Roman"/>
                <w:sz w:val="24"/>
                <w:szCs w:val="24"/>
              </w:rPr>
              <w:t>Регламент</w:t>
            </w:r>
            <w:r w:rsidR="00545A0F">
              <w:rPr>
                <w:rFonts w:ascii="Times New Roman" w:hAnsi="Times New Roman" w:cs="Times New Roman"/>
                <w:sz w:val="24"/>
                <w:szCs w:val="24"/>
                <w:lang w:val="en-US"/>
              </w:rPr>
              <w:t>(</w:t>
            </w:r>
            <w:proofErr w:type="gramEnd"/>
            <w:r w:rsidR="00545A0F">
              <w:rPr>
                <w:rFonts w:ascii="Times New Roman" w:hAnsi="Times New Roman" w:cs="Times New Roman"/>
                <w:sz w:val="24"/>
                <w:szCs w:val="24"/>
              </w:rPr>
              <w:t>ЕС, ЕВРАТОМ</w:t>
            </w:r>
            <w:r w:rsidR="00545A0F">
              <w:rPr>
                <w:rFonts w:ascii="Times New Roman" w:hAnsi="Times New Roman" w:cs="Times New Roman"/>
                <w:sz w:val="24"/>
                <w:szCs w:val="24"/>
                <w:lang w:val="en-US"/>
              </w:rPr>
              <w:t>)</w:t>
            </w:r>
            <w:r w:rsidR="00545A0F">
              <w:rPr>
                <w:rFonts w:ascii="Times New Roman" w:hAnsi="Times New Roman" w:cs="Times New Roman"/>
                <w:sz w:val="24"/>
                <w:szCs w:val="24"/>
              </w:rPr>
              <w:t xml:space="preserve"> 1046/2018</w:t>
            </w:r>
            <w:r w:rsidR="00587096">
              <w:rPr>
                <w:rFonts w:ascii="Times New Roman" w:hAnsi="Times New Roman" w:cs="Times New Roman"/>
                <w:sz w:val="24"/>
                <w:szCs w:val="24"/>
              </w:rPr>
              <w:t>г.</w:t>
            </w:r>
          </w:p>
          <w:p w14:paraId="0276AAC9" w14:textId="755763FF" w:rsid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161/2016г.</w:t>
            </w:r>
          </w:p>
          <w:p w14:paraId="34A4351C" w14:textId="7A20D704" w:rsidR="00587096" w:rsidRP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162/2016г.</w:t>
            </w:r>
          </w:p>
          <w:p w14:paraId="563B0948" w14:textId="77777777" w:rsidR="00AB55FD"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законови и подзаконови нормативни актове от приложимото право на Европейския съюз и българското законодателство.</w:t>
            </w:r>
          </w:p>
          <w:p w14:paraId="31DFF715"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Съгласно чл. 57, ал. 1 от ЗУСЕСИФ разходите се считат за допустими, ако са налице едновременно следните условия: </w:t>
            </w:r>
          </w:p>
          <w:p w14:paraId="7816B7F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1A9D8389" w14:textId="2100AE75" w:rsidR="004D2FF2" w:rsidRPr="00766DA5"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2. разходите попадат във включени в </w:t>
            </w:r>
            <w:r w:rsidR="004D2FF2" w:rsidRPr="00766DA5">
              <w:rPr>
                <w:rFonts w:ascii="Times New Roman" w:hAnsi="Times New Roman" w:cs="Times New Roman"/>
                <w:sz w:val="24"/>
                <w:szCs w:val="24"/>
              </w:rPr>
              <w:t>документите по чл. 26, ал. 1 и в одобрения проект категории разходи;</w:t>
            </w:r>
          </w:p>
          <w:p w14:paraId="27CBE6C7" w14:textId="70CB953A"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3. разходите са за реално доставени продукти</w:t>
            </w:r>
            <w:r w:rsidR="00692D53" w:rsidRPr="00766DA5">
              <w:rPr>
                <w:rFonts w:ascii="Times New Roman" w:hAnsi="Times New Roman" w:cs="Times New Roman"/>
                <w:sz w:val="24"/>
                <w:szCs w:val="24"/>
              </w:rPr>
              <w:t xml:space="preserve"> и</w:t>
            </w:r>
            <w:r w:rsidRPr="00766DA5">
              <w:rPr>
                <w:rFonts w:ascii="Times New Roman" w:hAnsi="Times New Roman" w:cs="Times New Roman"/>
                <w:sz w:val="24"/>
                <w:szCs w:val="24"/>
              </w:rPr>
              <w:t xml:space="preserve"> извършени услуги;</w:t>
            </w:r>
          </w:p>
          <w:p w14:paraId="5461291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4. разходите са извършени законосъобразно съгласно приложимото право на Европейския съюз и българското законодателство;</w:t>
            </w:r>
          </w:p>
          <w:p w14:paraId="2E737962"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1F046664" w14:textId="66B78CB2"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6. за направените разходи е налична одитна следа</w:t>
            </w:r>
            <w:r w:rsidR="00794B99" w:rsidRPr="00766DA5">
              <w:rPr>
                <w:rFonts w:ascii="Times New Roman" w:hAnsi="Times New Roman" w:cs="Times New Roman"/>
                <w:sz w:val="24"/>
                <w:szCs w:val="24"/>
              </w:rPr>
              <w:t>,</w:t>
            </w:r>
            <w:r w:rsidRPr="00766DA5">
              <w:rPr>
                <w:rFonts w:ascii="Times New Roman" w:hAnsi="Times New Roman" w:cs="Times New Roman"/>
                <w:sz w:val="24"/>
                <w:szCs w:val="24"/>
              </w:rPr>
              <w:t xml:space="preserve">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06D8D03D"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7. разходите са съобразени с приложимите правила за предоставяне на държавни помощи (когато е приложимо).</w:t>
            </w:r>
          </w:p>
          <w:p w14:paraId="46B979B2" w14:textId="77777777" w:rsidR="004D2FF2"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Доколкото друго не е предвидено, разходите са допустими, ако са платени в срока за допустимост на разходите за съответния програмен период - трябва да са направени и платени между 01 януари 2014 г. и 31 декември 2023 г.</w:t>
            </w:r>
          </w:p>
          <w:p w14:paraId="20DF5465" w14:textId="77777777" w:rsidR="00BC5A86" w:rsidRPr="00766DA5" w:rsidRDefault="00BC5A86" w:rsidP="00622456">
            <w:pPr>
              <w:spacing w:after="120"/>
              <w:jc w:val="both"/>
              <w:rPr>
                <w:rFonts w:ascii="Times New Roman" w:hAnsi="Times New Roman" w:cs="Times New Roman"/>
                <w:sz w:val="24"/>
                <w:szCs w:val="24"/>
              </w:rPr>
            </w:pPr>
          </w:p>
          <w:p w14:paraId="3AF41AA7" w14:textId="277DD19E" w:rsidR="009A7071" w:rsidRPr="00BC5A86" w:rsidRDefault="00BC5A86" w:rsidP="00622456">
            <w:pPr>
              <w:spacing w:after="120"/>
              <w:jc w:val="both"/>
              <w:rPr>
                <w:rFonts w:ascii="Times New Roman" w:hAnsi="Times New Roman" w:cs="Times New Roman"/>
                <w:b/>
                <w:sz w:val="24"/>
                <w:szCs w:val="24"/>
              </w:rPr>
            </w:pPr>
            <w:r w:rsidRPr="00BC5A86">
              <w:rPr>
                <w:rFonts w:ascii="Times New Roman" w:hAnsi="Times New Roman" w:cs="Times New Roman"/>
                <w:b/>
                <w:sz w:val="24"/>
                <w:szCs w:val="24"/>
              </w:rPr>
              <w:t>Допълнителни условия за допустимост на разходите:</w:t>
            </w:r>
          </w:p>
          <w:p w14:paraId="41AF3FB3" w14:textId="7D7B0276" w:rsidR="009A7071" w:rsidRDefault="009A7071"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r w:rsidR="00721CF5">
              <w:rPr>
                <w:rFonts w:ascii="Times New Roman" w:hAnsi="Times New Roman" w:cs="Times New Roman"/>
                <w:sz w:val="24"/>
                <w:szCs w:val="24"/>
              </w:rPr>
              <w:t xml:space="preserve"> съгласно </w:t>
            </w:r>
            <w:r w:rsidR="008E189A">
              <w:rPr>
                <w:rFonts w:ascii="Times New Roman" w:hAnsi="Times New Roman" w:cs="Times New Roman"/>
                <w:sz w:val="24"/>
                <w:szCs w:val="24"/>
              </w:rPr>
              <w:t xml:space="preserve">чл. 33 </w:t>
            </w:r>
            <w:r w:rsidR="008E189A" w:rsidRPr="008E189A">
              <w:rPr>
                <w:rFonts w:ascii="Times New Roman" w:hAnsi="Times New Roman" w:cs="Times New Roman"/>
                <w:sz w:val="24"/>
                <w:szCs w:val="24"/>
              </w:rPr>
              <w:t>на Р</w:t>
            </w:r>
            <w:r w:rsidR="00FC047E">
              <w:rPr>
                <w:rFonts w:ascii="Times New Roman" w:hAnsi="Times New Roman" w:cs="Times New Roman"/>
                <w:sz w:val="24"/>
                <w:szCs w:val="24"/>
              </w:rPr>
              <w:t>егламент</w:t>
            </w:r>
            <w:r w:rsidR="008E189A" w:rsidRPr="008E189A">
              <w:rPr>
                <w:rFonts w:ascii="Times New Roman" w:hAnsi="Times New Roman" w:cs="Times New Roman"/>
                <w:sz w:val="24"/>
                <w:szCs w:val="24"/>
              </w:rPr>
              <w:t xml:space="preserve"> (ЕС, </w:t>
            </w:r>
            <w:proofErr w:type="spellStart"/>
            <w:r w:rsidR="008E189A" w:rsidRPr="008E189A">
              <w:rPr>
                <w:rFonts w:ascii="Times New Roman" w:hAnsi="Times New Roman" w:cs="Times New Roman"/>
                <w:sz w:val="24"/>
                <w:szCs w:val="24"/>
              </w:rPr>
              <w:t>Евратом</w:t>
            </w:r>
            <w:proofErr w:type="spellEnd"/>
            <w:r w:rsidR="008E189A" w:rsidRPr="008E189A">
              <w:rPr>
                <w:rFonts w:ascii="Times New Roman" w:hAnsi="Times New Roman" w:cs="Times New Roman"/>
                <w:sz w:val="24"/>
                <w:szCs w:val="24"/>
              </w:rPr>
              <w:t xml:space="preserve">) 2018/1046 </w:t>
            </w:r>
            <w:r w:rsidR="00721CF5" w:rsidRPr="00721CF5">
              <w:rPr>
                <w:rFonts w:ascii="Times New Roman" w:hAnsi="Times New Roman" w:cs="Times New Roman"/>
                <w:sz w:val="24"/>
                <w:szCs w:val="24"/>
              </w:rPr>
              <w:t>на Европейския парламент и на Съвета</w:t>
            </w:r>
            <w:r w:rsidR="00721CF5">
              <w:rPr>
                <w:rFonts w:ascii="Times New Roman" w:hAnsi="Times New Roman" w:cs="Times New Roman"/>
                <w:sz w:val="24"/>
                <w:szCs w:val="24"/>
              </w:rPr>
              <w:t>:</w:t>
            </w:r>
          </w:p>
          <w:p w14:paraId="7B2B975B"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1CF5">
              <w:rPr>
                <w:rFonts w:ascii="Times New Roman" w:hAnsi="Times New Roman" w:cs="Times New Roman"/>
                <w:sz w:val="24"/>
                <w:szCs w:val="24"/>
              </w:rPr>
              <w:t>принципът на икономичност изисква ресурсите за осъществяване на дейностите да бъдат осигурени своевременно, в подходящо количество и качество и при най-добра цена</w:t>
            </w:r>
            <w:r>
              <w:rPr>
                <w:rFonts w:ascii="Times New Roman" w:hAnsi="Times New Roman" w:cs="Times New Roman"/>
                <w:sz w:val="24"/>
                <w:szCs w:val="24"/>
              </w:rPr>
              <w:t>;</w:t>
            </w:r>
          </w:p>
          <w:p w14:paraId="525A7C63"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ефикасност се отнася до най-доброто съотношение между използваните ресурси и постигнатите резултати;</w:t>
            </w:r>
          </w:p>
          <w:p w14:paraId="7462C564" w14:textId="77777777" w:rsidR="00721CF5" w:rsidRPr="0038522B"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ефективност се отнася до осъществяването на набелязаните конкретни цели и постигането на планираните резултати.</w:t>
            </w:r>
          </w:p>
          <w:p w14:paraId="0C3B8EF5" w14:textId="77777777" w:rsidR="004D2FF2" w:rsidRDefault="00512410"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 xml:space="preserve">Заложените разходи следва да съответстват на представените пазарни цени. </w:t>
            </w:r>
          </w:p>
          <w:p w14:paraId="7F185741" w14:textId="6FABAF98" w:rsidR="004B08D2" w:rsidRDefault="00512410" w:rsidP="00622456">
            <w:pPr>
              <w:spacing w:after="120"/>
              <w:jc w:val="both"/>
              <w:rPr>
                <w:rFonts w:ascii="Times New Roman" w:hAnsi="Times New Roman" w:cs="Times New Roman"/>
                <w:sz w:val="24"/>
                <w:szCs w:val="24"/>
              </w:rPr>
            </w:pPr>
            <w:r w:rsidRPr="00DD1095">
              <w:rPr>
                <w:rFonts w:ascii="Times New Roman" w:hAnsi="Times New Roman" w:cs="Times New Roman"/>
                <w:sz w:val="24"/>
                <w:szCs w:val="24"/>
              </w:rPr>
              <w:t xml:space="preserve">2. </w:t>
            </w:r>
            <w:r w:rsidR="004B08D2" w:rsidRPr="004B08D2">
              <w:rPr>
                <w:rFonts w:ascii="Times New Roman" w:hAnsi="Times New Roman" w:cs="Times New Roman"/>
                <w:sz w:val="24"/>
                <w:szCs w:val="24"/>
              </w:rPr>
              <w:t xml:space="preserve">Да бъдат извършени след датата на сключване на административния договор за предоставяне на БФП и до изтичане на крайния срок на изпълнение на договора, но не </w:t>
            </w:r>
            <w:r w:rsidR="00E13BFB">
              <w:rPr>
                <w:rFonts w:ascii="Times New Roman" w:hAnsi="Times New Roman" w:cs="Times New Roman"/>
                <w:sz w:val="24"/>
                <w:szCs w:val="24"/>
              </w:rPr>
              <w:t>по-късно от 31.12.2023 г.</w:t>
            </w:r>
            <w:r w:rsidR="004B08D2" w:rsidRPr="004B08D2">
              <w:rPr>
                <w:rFonts w:ascii="Times New Roman" w:hAnsi="Times New Roman" w:cs="Times New Roman"/>
                <w:sz w:val="24"/>
                <w:szCs w:val="24"/>
              </w:rPr>
              <w:t xml:space="preserve"> Разплащането на разходите може да бъде извършвано до представянето на окончателен отчет, но не по-късно от 1 месец след приключване на проектните дейности.  </w:t>
            </w:r>
          </w:p>
          <w:p w14:paraId="3C3806E4"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3.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4C6D2F2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4.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w:t>
            </w:r>
            <w:r>
              <w:rPr>
                <w:rFonts w:ascii="Times New Roman" w:hAnsi="Times New Roman" w:cs="Times New Roman"/>
                <w:sz w:val="24"/>
                <w:szCs w:val="24"/>
              </w:rPr>
              <w:t>.</w:t>
            </w:r>
          </w:p>
          <w:p w14:paraId="13B681E0"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5. Да са отразени в счетоводната документация на бенефициента чрез отделни счетоводни аналитични сметки или в отделна счетоводна система.</w:t>
            </w:r>
          </w:p>
          <w:p w14:paraId="5BA12346"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 xml:space="preserve">6. Да могат да се установят и проверят, да бъдат подкрепени от оригинални </w:t>
            </w:r>
            <w:proofErr w:type="spellStart"/>
            <w:r w:rsidRPr="00C3508D">
              <w:rPr>
                <w:rFonts w:ascii="Times New Roman" w:hAnsi="Times New Roman" w:cs="Times New Roman"/>
                <w:sz w:val="24"/>
                <w:szCs w:val="24"/>
              </w:rPr>
              <w:t>разходо</w:t>
            </w:r>
            <w:proofErr w:type="spellEnd"/>
            <w:r w:rsidRPr="00C3508D">
              <w:rPr>
                <w:rFonts w:ascii="Times New Roman" w:hAnsi="Times New Roman" w:cs="Times New Roman"/>
                <w:sz w:val="24"/>
                <w:szCs w:val="24"/>
              </w:rPr>
              <w:t>-оправдателни документи.</w:t>
            </w:r>
          </w:p>
          <w:p w14:paraId="4FD31769" w14:textId="5C33586B" w:rsidR="00512410" w:rsidRPr="00C3508D" w:rsidRDefault="00512410" w:rsidP="00E13BFB">
            <w:pPr>
              <w:jc w:val="both"/>
              <w:rPr>
                <w:rFonts w:ascii="Times New Roman" w:hAnsi="Times New Roman" w:cs="Times New Roman"/>
                <w:sz w:val="24"/>
                <w:szCs w:val="24"/>
              </w:rPr>
            </w:pPr>
            <w:r w:rsidRPr="00C3508D">
              <w:rPr>
                <w:rFonts w:ascii="Times New Roman" w:hAnsi="Times New Roman" w:cs="Times New Roman"/>
                <w:sz w:val="24"/>
                <w:szCs w:val="24"/>
              </w:rPr>
              <w:t>7. Да са за дейности, определени и извърше</w:t>
            </w:r>
            <w:r w:rsidR="00D6193B">
              <w:rPr>
                <w:rFonts w:ascii="Times New Roman" w:hAnsi="Times New Roman" w:cs="Times New Roman"/>
                <w:sz w:val="24"/>
                <w:szCs w:val="24"/>
              </w:rPr>
              <w:t>ни под отговорността на МИГ</w:t>
            </w:r>
            <w:r w:rsidR="00E13BFB">
              <w:rPr>
                <w:rFonts w:ascii="Times New Roman" w:hAnsi="Times New Roman" w:cs="Times New Roman"/>
                <w:sz w:val="24"/>
                <w:szCs w:val="24"/>
              </w:rPr>
              <w:t xml:space="preserve"> Свиленград </w:t>
            </w:r>
            <w:r w:rsidR="000E7575">
              <w:rPr>
                <w:rFonts w:ascii="Times New Roman" w:hAnsi="Times New Roman" w:cs="Times New Roman"/>
                <w:sz w:val="24"/>
                <w:szCs w:val="24"/>
              </w:rPr>
              <w:t>Ареал</w:t>
            </w:r>
            <w:r w:rsidRPr="00C3508D">
              <w:rPr>
                <w:rFonts w:ascii="Times New Roman" w:hAnsi="Times New Roman" w:cs="Times New Roman"/>
                <w:sz w:val="24"/>
                <w:szCs w:val="24"/>
              </w:rPr>
              <w:t>,</w:t>
            </w:r>
            <w:r>
              <w:rPr>
                <w:rFonts w:ascii="Times New Roman" w:hAnsi="Times New Roman" w:cs="Times New Roman"/>
                <w:sz w:val="24"/>
                <w:szCs w:val="24"/>
              </w:rPr>
              <w:t xml:space="preserve"> </w:t>
            </w:r>
            <w:r w:rsidRPr="00C3508D">
              <w:rPr>
                <w:rFonts w:ascii="Times New Roman" w:hAnsi="Times New Roman" w:cs="Times New Roman"/>
                <w:sz w:val="24"/>
                <w:szCs w:val="24"/>
              </w:rPr>
              <w:t>Управляващия орган и съгласно критериите за подбор на операции, одобрени от Комитета за наблюдение.</w:t>
            </w:r>
          </w:p>
          <w:p w14:paraId="7035EEF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8. Да са за реално доставени продукти и извършени услуги.</w:t>
            </w:r>
          </w:p>
          <w:p w14:paraId="4D023889" w14:textId="0A0D5937" w:rsidR="001C6F03" w:rsidRDefault="00512410" w:rsidP="00622456">
            <w:pPr>
              <w:spacing w:after="120"/>
              <w:jc w:val="both"/>
              <w:rPr>
                <w:rFonts w:ascii="Times New Roman" w:hAnsi="Times New Roman" w:cs="Times New Roman"/>
                <w:sz w:val="24"/>
                <w:szCs w:val="24"/>
              </w:rPr>
            </w:pPr>
            <w:r>
              <w:rPr>
                <w:rFonts w:ascii="Times New Roman" w:hAnsi="Times New Roman" w:cs="Times New Roman"/>
                <w:sz w:val="24"/>
                <w:szCs w:val="24"/>
              </w:rPr>
              <w:t>9. Да</w:t>
            </w:r>
            <w:r w:rsidRPr="00323867">
              <w:rPr>
                <w:rFonts w:ascii="Times New Roman" w:hAnsi="Times New Roman" w:cs="Times New Roman"/>
                <w:sz w:val="24"/>
                <w:szCs w:val="24"/>
              </w:rPr>
              <w:t xml:space="preserve"> са съобразени с приложимите правила за п</w:t>
            </w:r>
            <w:r w:rsidR="00E13BFB">
              <w:rPr>
                <w:rFonts w:ascii="Times New Roman" w:hAnsi="Times New Roman" w:cs="Times New Roman"/>
                <w:sz w:val="24"/>
                <w:szCs w:val="24"/>
              </w:rPr>
              <w:t xml:space="preserve">редоставяне на държавни помощи, </w:t>
            </w:r>
            <w:r>
              <w:rPr>
                <w:rFonts w:ascii="Times New Roman" w:hAnsi="Times New Roman" w:cs="Times New Roman"/>
                <w:sz w:val="24"/>
                <w:szCs w:val="24"/>
              </w:rPr>
              <w:t>ако е приложимо.</w:t>
            </w:r>
          </w:p>
          <w:p w14:paraId="3670D5FA" w14:textId="77777777" w:rsidR="00AD731B" w:rsidRDefault="00AD731B" w:rsidP="00622456">
            <w:pPr>
              <w:spacing w:after="120"/>
              <w:jc w:val="both"/>
              <w:rPr>
                <w:rFonts w:ascii="Times New Roman" w:hAnsi="Times New Roman" w:cs="Times New Roman"/>
                <w:b/>
                <w:sz w:val="24"/>
                <w:szCs w:val="24"/>
              </w:rPr>
            </w:pPr>
          </w:p>
          <w:p w14:paraId="693FC3F3" w14:textId="5409303D" w:rsidR="001C6F03" w:rsidRDefault="001C6F03" w:rsidP="00622456">
            <w:pPr>
              <w:spacing w:after="120"/>
              <w:jc w:val="both"/>
              <w:rPr>
                <w:rFonts w:ascii="Times New Roman" w:hAnsi="Times New Roman" w:cs="Times New Roman"/>
                <w:sz w:val="24"/>
                <w:szCs w:val="24"/>
              </w:rPr>
            </w:pPr>
            <w:r w:rsidRPr="001C6F03">
              <w:rPr>
                <w:rFonts w:ascii="Times New Roman" w:hAnsi="Times New Roman" w:cs="Times New Roman"/>
                <w:b/>
                <w:sz w:val="24"/>
                <w:szCs w:val="24"/>
              </w:rPr>
              <w:t>ВАЖНО!</w:t>
            </w:r>
            <w:r w:rsidRPr="001C6F03">
              <w:rPr>
                <w:rFonts w:ascii="Times New Roman" w:hAnsi="Times New Roman" w:cs="Times New Roman"/>
                <w:sz w:val="24"/>
                <w:szCs w:val="24"/>
              </w:rPr>
              <w:t xml:space="preserve"> 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1C6F03">
              <w:rPr>
                <w:rFonts w:ascii="Times New Roman" w:hAnsi="Times New Roman" w:cs="Times New Roman"/>
                <w:sz w:val="24"/>
                <w:szCs w:val="24"/>
              </w:rPr>
              <w:t>маргинализираните</w:t>
            </w:r>
            <w:proofErr w:type="spellEnd"/>
            <w:r w:rsidRPr="001C6F03">
              <w:rPr>
                <w:rFonts w:ascii="Times New Roman" w:hAnsi="Times New Roman" w:cs="Times New Roman"/>
                <w:sz w:val="24"/>
                <w:szCs w:val="24"/>
              </w:rPr>
              <w:t xml:space="preserve"> групи.</w:t>
            </w:r>
          </w:p>
          <w:p w14:paraId="21CD99AF" w14:textId="77777777" w:rsidR="00AD731B" w:rsidRDefault="00AD731B" w:rsidP="00622456">
            <w:pPr>
              <w:spacing w:after="120"/>
              <w:jc w:val="both"/>
              <w:rPr>
                <w:rFonts w:ascii="Times New Roman" w:hAnsi="Times New Roman" w:cs="Times New Roman"/>
                <w:b/>
                <w:sz w:val="24"/>
                <w:szCs w:val="24"/>
              </w:rPr>
            </w:pPr>
          </w:p>
          <w:p w14:paraId="422A3AEB" w14:textId="260A6A44" w:rsidR="00DC359E" w:rsidRPr="00DC359E"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DC359E" w:rsidRPr="00DC359E">
              <w:rPr>
                <w:rFonts w:ascii="Times New Roman" w:hAnsi="Times New Roman" w:cs="Times New Roman"/>
                <w:b/>
                <w:sz w:val="24"/>
                <w:szCs w:val="24"/>
              </w:rPr>
              <w:t>.2. Бюджет</w:t>
            </w:r>
          </w:p>
          <w:p w14:paraId="6923235C" w14:textId="77777777" w:rsidR="00DC359E" w:rsidRDefault="00DC359E"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Бюджетът (</w:t>
            </w:r>
            <w:r w:rsidRPr="005F1A7A">
              <w:rPr>
                <w:rFonts w:ascii="Times New Roman" w:hAnsi="Times New Roman" w:cs="Times New Roman"/>
                <w:sz w:val="24"/>
                <w:szCs w:val="24"/>
              </w:rPr>
              <w:t xml:space="preserve">т. </w:t>
            </w:r>
            <w:r w:rsidRPr="007D1555">
              <w:rPr>
                <w:rFonts w:ascii="Times New Roman" w:hAnsi="Times New Roman" w:cs="Times New Roman"/>
                <w:sz w:val="24"/>
                <w:szCs w:val="24"/>
              </w:rPr>
              <w:t>5</w:t>
            </w:r>
            <w:r w:rsidRPr="005F1A7A">
              <w:rPr>
                <w:rFonts w:ascii="Times New Roman" w:hAnsi="Times New Roman" w:cs="Times New Roman"/>
                <w:sz w:val="24"/>
                <w:szCs w:val="24"/>
              </w:rPr>
              <w:t xml:space="preserve"> от</w:t>
            </w:r>
            <w:r w:rsidRPr="00C3508D">
              <w:rPr>
                <w:rFonts w:ascii="Times New Roman" w:hAnsi="Times New Roman" w:cs="Times New Roman"/>
                <w:sz w:val="24"/>
                <w:szCs w:val="24"/>
              </w:rPr>
              <w:t xml:space="preserve"> </w:t>
            </w:r>
            <w:r>
              <w:rPr>
                <w:rFonts w:ascii="Times New Roman" w:hAnsi="Times New Roman" w:cs="Times New Roman"/>
                <w:sz w:val="24"/>
                <w:szCs w:val="24"/>
              </w:rPr>
              <w:t>ф</w:t>
            </w:r>
            <w:r w:rsidRPr="00C3508D">
              <w:rPr>
                <w:rFonts w:ascii="Times New Roman" w:hAnsi="Times New Roman" w:cs="Times New Roman"/>
                <w:sz w:val="24"/>
                <w:szCs w:val="24"/>
              </w:rPr>
              <w:t>ормуляра за кандидатстване) трябва да отразява допустимите разходи, които са свързани с изпълнението на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Бюджетът  представлява предварителна оценка на очакваните разходи и трябва точно да отговаря на стойността, посочена в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 xml:space="preserve">Стойността на допустимите разходи трябва да се основава на европейското и българското законодателство, да </w:t>
            </w:r>
            <w:r w:rsidRPr="00DC359E">
              <w:rPr>
                <w:rFonts w:ascii="Times New Roman" w:hAnsi="Times New Roman" w:cs="Times New Roman"/>
                <w:sz w:val="24"/>
                <w:szCs w:val="24"/>
              </w:rPr>
              <w:lastRenderedPageBreak/>
              <w:t>се базира на нормативно определени размери или на реални пазарни цени и да е в съответствие с предвижданите за финансиране дейности.</w:t>
            </w:r>
          </w:p>
          <w:p w14:paraId="678D9B73" w14:textId="77777777" w:rsidR="00AD731B" w:rsidRDefault="00AD731B" w:rsidP="00622456">
            <w:pPr>
              <w:spacing w:after="120"/>
              <w:jc w:val="both"/>
              <w:rPr>
                <w:rFonts w:ascii="Times New Roman" w:hAnsi="Times New Roman" w:cs="Times New Roman"/>
                <w:b/>
                <w:sz w:val="24"/>
                <w:szCs w:val="24"/>
              </w:rPr>
            </w:pPr>
          </w:p>
          <w:p w14:paraId="75B50E3C" w14:textId="249AA57E" w:rsidR="00BC5A86" w:rsidRDefault="00412CA9" w:rsidP="00622456">
            <w:pPr>
              <w:spacing w:after="120"/>
              <w:jc w:val="both"/>
              <w:rPr>
                <w:rFonts w:ascii="Times New Roman" w:hAnsi="Times New Roman" w:cs="Times New Roman"/>
                <w:sz w:val="24"/>
                <w:szCs w:val="24"/>
              </w:rPr>
            </w:pPr>
            <w:r w:rsidRPr="00412CA9">
              <w:rPr>
                <w:rFonts w:ascii="Times New Roman" w:hAnsi="Times New Roman" w:cs="Times New Roman"/>
                <w:b/>
                <w:sz w:val="24"/>
                <w:szCs w:val="24"/>
              </w:rPr>
              <w:t>ВАЖНО!</w:t>
            </w:r>
            <w:r w:rsidRPr="00412CA9">
              <w:rPr>
                <w:rFonts w:ascii="Times New Roman" w:hAnsi="Times New Roman" w:cs="Times New Roman"/>
                <w:sz w:val="24"/>
                <w:szCs w:val="24"/>
              </w:rPr>
              <w:t xml:space="preserve"> 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w:t>
            </w:r>
          </w:p>
          <w:p w14:paraId="0340E40F" w14:textId="7016547B" w:rsidR="00412CA9" w:rsidRPr="0067595B" w:rsidRDefault="00412CA9"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Относно третирането на ДДС по проц</w:t>
            </w:r>
            <w:r w:rsidR="00BC5A86">
              <w:rPr>
                <w:rFonts w:ascii="Times New Roman" w:hAnsi="Times New Roman" w:cs="Times New Roman"/>
                <w:sz w:val="24"/>
                <w:szCs w:val="24"/>
              </w:rPr>
              <w:t>едурите за подбор на проекти се</w:t>
            </w:r>
            <w:r w:rsidRPr="00C3508D">
              <w:rPr>
                <w:rFonts w:ascii="Times New Roman" w:hAnsi="Times New Roman" w:cs="Times New Roman"/>
                <w:sz w:val="24"/>
                <w:szCs w:val="24"/>
              </w:rPr>
              <w:t xml:space="preserve"> прилага</w:t>
            </w:r>
            <w:r w:rsidR="00BC5A86">
              <w:rPr>
                <w:rFonts w:ascii="Times New Roman" w:hAnsi="Times New Roman" w:cs="Times New Roman"/>
                <w:sz w:val="24"/>
                <w:szCs w:val="24"/>
              </w:rPr>
              <w:t>т</w:t>
            </w:r>
            <w:r w:rsidRPr="00C3508D">
              <w:rPr>
                <w:rFonts w:ascii="Times New Roman" w:hAnsi="Times New Roman" w:cs="Times New Roman"/>
                <w:sz w:val="24"/>
                <w:szCs w:val="24"/>
              </w:rPr>
              <w:t xml:space="preserve"> Указанията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 в приложенията към Условията за изпълнение за всяка процедура за подбор на </w:t>
            </w:r>
            <w:r w:rsidRPr="0067595B">
              <w:rPr>
                <w:rFonts w:ascii="Times New Roman" w:hAnsi="Times New Roman" w:cs="Times New Roman"/>
                <w:sz w:val="24"/>
                <w:szCs w:val="24"/>
              </w:rPr>
              <w:t>проекти (ДНФ № 3/23.12.2016 на Министерство на финансите относно третиране на ДДС)</w:t>
            </w:r>
            <w:r w:rsidR="006E247F" w:rsidRPr="0067595B">
              <w:rPr>
                <w:rFonts w:ascii="Times New Roman" w:hAnsi="Times New Roman" w:cs="Times New Roman"/>
                <w:sz w:val="24"/>
                <w:szCs w:val="24"/>
              </w:rPr>
              <w:t xml:space="preserve">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XV</w:t>
            </w:r>
            <w:r w:rsidR="006E247F" w:rsidRPr="0067595B">
              <w:rPr>
                <w:rFonts w:ascii="Times New Roman" w:hAnsi="Times New Roman" w:cs="Times New Roman"/>
                <w:sz w:val="24"/>
                <w:szCs w:val="24"/>
              </w:rPr>
              <w:t>)</w:t>
            </w:r>
            <w:r w:rsidRPr="0067595B">
              <w:rPr>
                <w:rFonts w:ascii="Times New Roman" w:hAnsi="Times New Roman" w:cs="Times New Roman"/>
                <w:sz w:val="24"/>
                <w:szCs w:val="24"/>
              </w:rPr>
              <w:t>.</w:t>
            </w:r>
          </w:p>
          <w:p w14:paraId="6B79BC0F" w14:textId="77777777" w:rsidR="00721CF5" w:rsidRPr="00721CF5" w:rsidRDefault="00721CF5" w:rsidP="00622456">
            <w:pPr>
              <w:spacing w:after="120"/>
              <w:jc w:val="both"/>
              <w:rPr>
                <w:rFonts w:ascii="Times New Roman" w:hAnsi="Times New Roman" w:cs="Times New Roman"/>
                <w:b/>
                <w:sz w:val="24"/>
                <w:szCs w:val="24"/>
              </w:rPr>
            </w:pPr>
            <w:r w:rsidRPr="00721CF5">
              <w:rPr>
                <w:rFonts w:ascii="Times New Roman" w:hAnsi="Times New Roman" w:cs="Times New Roman"/>
                <w:b/>
                <w:sz w:val="24"/>
                <w:szCs w:val="24"/>
              </w:rPr>
              <w:t>Разход, който не е обоснован, трябва да бъде премахнат от бюджета на проекта служебно от Комисията за подбор.</w:t>
            </w:r>
          </w:p>
          <w:p w14:paraId="363FD2D0" w14:textId="6DDA40C2" w:rsidR="00721CF5" w:rsidRPr="007B0AFE"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С цел определяне на реалистичността на предвидените разходи кандидатът следва да приложи към Формуляра за кандидатстване оферта/и и/или извлечение от каталог на производител/доставчик и/или проучване в интернет за всяка категория разход, когато е приложимо. </w:t>
            </w:r>
            <w:r w:rsidR="00A4745B">
              <w:rPr>
                <w:rFonts w:ascii="Times New Roman" w:hAnsi="Times New Roman" w:cs="Times New Roman"/>
                <w:sz w:val="24"/>
                <w:szCs w:val="24"/>
              </w:rPr>
              <w:t xml:space="preserve">За интернет прочуване следва да се предоставят </w:t>
            </w:r>
            <w:proofErr w:type="spellStart"/>
            <w:r w:rsidR="00A4745B">
              <w:rPr>
                <w:rFonts w:ascii="Times New Roman" w:hAnsi="Times New Roman" w:cs="Times New Roman"/>
                <w:sz w:val="24"/>
                <w:szCs w:val="24"/>
              </w:rPr>
              <w:t>хиперлинкове</w:t>
            </w:r>
            <w:proofErr w:type="spellEnd"/>
            <w:r w:rsidR="00A4745B">
              <w:rPr>
                <w:rFonts w:ascii="Times New Roman" w:hAnsi="Times New Roman" w:cs="Times New Roman"/>
                <w:sz w:val="24"/>
                <w:szCs w:val="24"/>
              </w:rPr>
              <w:t xml:space="preserve"> с посочен</w:t>
            </w:r>
            <w:r w:rsidR="00A82796">
              <w:rPr>
                <w:rFonts w:ascii="Times New Roman" w:hAnsi="Times New Roman" w:cs="Times New Roman"/>
                <w:sz w:val="24"/>
                <w:szCs w:val="24"/>
              </w:rPr>
              <w:t>и</w:t>
            </w:r>
            <w:r w:rsidR="00A4745B">
              <w:rPr>
                <w:rFonts w:ascii="Times New Roman" w:hAnsi="Times New Roman" w:cs="Times New Roman"/>
                <w:sz w:val="24"/>
                <w:szCs w:val="24"/>
              </w:rPr>
              <w:t xml:space="preserve"> дата и час на влизане </w:t>
            </w:r>
            <w:r w:rsidR="00A4745B">
              <w:t xml:space="preserve"> </w:t>
            </w:r>
            <w:r w:rsidR="00A4745B" w:rsidRPr="00A4745B">
              <w:rPr>
                <w:rFonts w:ascii="Times New Roman" w:hAnsi="Times New Roman" w:cs="Times New Roman"/>
                <w:sz w:val="24"/>
                <w:szCs w:val="24"/>
              </w:rPr>
              <w:t>към съответни интернет базирани източници</w:t>
            </w:r>
            <w:r w:rsidR="00A82796">
              <w:rPr>
                <w:rFonts w:ascii="Times New Roman" w:hAnsi="Times New Roman" w:cs="Times New Roman"/>
                <w:sz w:val="24"/>
                <w:szCs w:val="24"/>
              </w:rPr>
              <w:t xml:space="preserve">. </w:t>
            </w:r>
            <w:r w:rsidRPr="00FD1EFB">
              <w:rPr>
                <w:rFonts w:ascii="Times New Roman" w:hAnsi="Times New Roman" w:cs="Times New Roman"/>
                <w:sz w:val="24"/>
                <w:szCs w:val="24"/>
              </w:rPr>
              <w:t>В случаите, когато кандидатът (и след допълнит</w:t>
            </w:r>
            <w:r w:rsidR="001C6F03" w:rsidRPr="00FD1EFB">
              <w:rPr>
                <w:rFonts w:ascii="Times New Roman" w:hAnsi="Times New Roman" w:cs="Times New Roman"/>
                <w:sz w:val="24"/>
                <w:szCs w:val="24"/>
              </w:rPr>
              <w:t>елно изискване) не е представил</w:t>
            </w:r>
            <w:r w:rsidRPr="00FD1EFB">
              <w:rPr>
                <w:rFonts w:ascii="Times New Roman" w:hAnsi="Times New Roman" w:cs="Times New Roman"/>
                <w:sz w:val="24"/>
                <w:szCs w:val="24"/>
              </w:rPr>
              <w:t xml:space="preserve"> в изискуемия вид посочените документи, съответният разход ще бъде премахнат от бюджета на проекта служебно от Комисията за подбор. Горепосочените документи са индикативни и служат за оценка на реалистичността на заложените в бюджета на проектното предложение разходи.</w:t>
            </w:r>
          </w:p>
          <w:p w14:paraId="49875120" w14:textId="5788C071" w:rsidR="00721CF5"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Заложените разходи следва да съответстват на представените пазарни цени.</w:t>
            </w:r>
            <w:r w:rsidR="00F57DA2">
              <w:rPr>
                <w:rFonts w:ascii="Times New Roman" w:hAnsi="Times New Roman" w:cs="Times New Roman"/>
                <w:sz w:val="24"/>
                <w:szCs w:val="24"/>
              </w:rPr>
              <w:t xml:space="preserve"> </w:t>
            </w:r>
          </w:p>
          <w:p w14:paraId="6740111D" w14:textId="77777777" w:rsidR="00721CF5" w:rsidRDefault="00721CF5" w:rsidP="00622456">
            <w:pPr>
              <w:spacing w:after="120"/>
              <w:jc w:val="both"/>
              <w:rPr>
                <w:rFonts w:ascii="Times New Roman" w:hAnsi="Times New Roman" w:cs="Times New Roman"/>
                <w:sz w:val="24"/>
                <w:szCs w:val="24"/>
              </w:rPr>
            </w:pPr>
          </w:p>
          <w:p w14:paraId="0D9A7547" w14:textId="2A3BC4D9" w:rsidR="00721CF5" w:rsidRPr="005D2910" w:rsidRDefault="004F5D84" w:rsidP="00622456">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14</w:t>
            </w:r>
            <w:r w:rsidR="00721CF5" w:rsidRPr="005D2910">
              <w:rPr>
                <w:rFonts w:ascii="Times New Roman" w:hAnsi="Times New Roman" w:cs="Times New Roman"/>
                <w:b/>
                <w:sz w:val="24"/>
                <w:szCs w:val="24"/>
              </w:rPr>
              <w:t>.3. Допустими категории разходи</w:t>
            </w:r>
          </w:p>
          <w:p w14:paraId="63DED768" w14:textId="3C5263FF" w:rsidR="00F576D2" w:rsidRPr="005D2910" w:rsidRDefault="00F576D2" w:rsidP="00F576D2">
            <w:pPr>
              <w:spacing w:after="120"/>
              <w:jc w:val="both"/>
              <w:rPr>
                <w:rFonts w:ascii="Times New Roman" w:hAnsi="Times New Roman" w:cs="Times New Roman"/>
                <w:b/>
                <w:sz w:val="24"/>
                <w:szCs w:val="24"/>
              </w:rPr>
            </w:pPr>
            <w:r w:rsidRPr="005D2910">
              <w:rPr>
                <w:rFonts w:ascii="Times New Roman" w:hAnsi="Times New Roman" w:cs="Times New Roman"/>
                <w:sz w:val="24"/>
                <w:szCs w:val="24"/>
              </w:rPr>
              <w:t xml:space="preserve"> </w:t>
            </w:r>
            <w:r w:rsidRPr="005D2910">
              <w:rPr>
                <w:rFonts w:ascii="Times New Roman" w:hAnsi="Times New Roman" w:cs="Times New Roman"/>
                <w:b/>
                <w:sz w:val="24"/>
                <w:szCs w:val="24"/>
              </w:rPr>
              <w:t xml:space="preserve">Всички описани по-долу категории разходи са допустими при размер на БФП от 100 001 лв. до 391 166 лв. За бюджетите с размер на БФП до 100 000 лв. се прилагат специални правила, описани в т. 14.3.1. </w:t>
            </w:r>
          </w:p>
          <w:p w14:paraId="2F60985B" w14:textId="77777777" w:rsidR="00516027" w:rsidRPr="00E13BFB" w:rsidRDefault="00516027" w:rsidP="00516027">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ВАЖНО!</w:t>
            </w:r>
          </w:p>
          <w:p w14:paraId="27C1B486" w14:textId="77777777" w:rsidR="00516027" w:rsidRPr="00516027"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t>За проекти, при които безвъзмездната финансова помощ не надвишава левовата равностойност на 100 000 EUR(195 583 лв.) се прилагат разпоредбите на чл.67, параграф 2а и параграф 4 от Регламент 1303/2013 г.:</w:t>
            </w:r>
          </w:p>
          <w:p w14:paraId="4D374DDF"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 xml:space="preserve">-2а. За операции или проекти които не попадат в обхвата на параграф 4, първо изречение и които получават подкрепа от ЕФРР и ЕСФ, безвъзмездните средства и възстановимата помощ, при които публичната подкрепа не надвишава 100 000 EUR, се предоставят под формата на стандартни таблици за разходите на единица продукт, еднократни суми или единни ставки, с изключение на операциите които се ползват от подкрепа в рамките на държавна помощ, която не представлява помощ  </w:t>
            </w:r>
            <w:proofErr w:type="spellStart"/>
            <w:r w:rsidRPr="005D2910">
              <w:rPr>
                <w:rFonts w:ascii="Times New Roman" w:hAnsi="Times New Roman" w:cs="Times New Roman"/>
                <w:i/>
                <w:sz w:val="24"/>
                <w:szCs w:val="24"/>
              </w:rPr>
              <w:t>de</w:t>
            </w:r>
            <w:proofErr w:type="spellEnd"/>
            <w:r w:rsidRPr="005D2910">
              <w:rPr>
                <w:rFonts w:ascii="Times New Roman" w:hAnsi="Times New Roman" w:cs="Times New Roman"/>
                <w:i/>
                <w:sz w:val="24"/>
                <w:szCs w:val="24"/>
              </w:rPr>
              <w:t xml:space="preserve"> </w:t>
            </w:r>
            <w:proofErr w:type="spellStart"/>
            <w:r w:rsidRPr="005D2910">
              <w:rPr>
                <w:rFonts w:ascii="Times New Roman" w:hAnsi="Times New Roman" w:cs="Times New Roman"/>
                <w:i/>
                <w:sz w:val="24"/>
                <w:szCs w:val="24"/>
              </w:rPr>
              <w:t>minimis</w:t>
            </w:r>
            <w:proofErr w:type="spellEnd"/>
            <w:r w:rsidRPr="005D2910">
              <w:rPr>
                <w:rFonts w:ascii="Times New Roman" w:hAnsi="Times New Roman" w:cs="Times New Roman"/>
                <w:i/>
                <w:sz w:val="24"/>
                <w:szCs w:val="24"/>
              </w:rPr>
              <w:t>.</w:t>
            </w:r>
          </w:p>
          <w:p w14:paraId="5DB35201"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lastRenderedPageBreak/>
              <w:t>При използването на финансиране с единна ставка категориите разходи, за които се прилага единната ставка, може да бъдат възстановявани в съответствие с параграф 1, първа алинея, буква а).</w:t>
            </w:r>
          </w:p>
          <w:p w14:paraId="435DE314"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-4. Когато дадена операция или проект, който е част от операция, се осъществява изключително чрез възлагане на обществена поръчка за строителство, стоки или услуги се прилага само параграф 1, първа алинея, букви а) и д). Когато възлагането на обществената поръчка в рамките на дадена операция или проект, част от операция, е ограничено само до определени категории разходи могат да бъдат прилагани всички възможности, посочени в параграф 1, за цялата операция или проект, който е част от операция.</w:t>
            </w:r>
          </w:p>
          <w:p w14:paraId="03DD53A1" w14:textId="172DBE8F" w:rsidR="00516027" w:rsidRPr="00516027" w:rsidRDefault="00516027" w:rsidP="00516027">
            <w:pPr>
              <w:spacing w:after="120"/>
              <w:jc w:val="both"/>
              <w:rPr>
                <w:rFonts w:ascii="Times New Roman" w:hAnsi="Times New Roman" w:cs="Times New Roman"/>
                <w:sz w:val="24"/>
                <w:szCs w:val="24"/>
              </w:rPr>
            </w:pPr>
            <w:r w:rsidRPr="00ED177F">
              <w:rPr>
                <w:rFonts w:ascii="Times New Roman" w:hAnsi="Times New Roman" w:cs="Times New Roman"/>
                <w:sz w:val="24"/>
                <w:szCs w:val="24"/>
              </w:rPr>
              <w:t>Във връзка с горепосочените разпоредби и текста в Приложение XIV</w:t>
            </w:r>
            <w:r w:rsidR="00D13737" w:rsidRPr="00ED177F">
              <w:rPr>
                <w:rFonts w:ascii="Times New Roman" w:hAnsi="Times New Roman" w:cs="Times New Roman"/>
                <w:sz w:val="24"/>
                <w:szCs w:val="24"/>
                <w:lang w:val="en-US"/>
              </w:rPr>
              <w:t xml:space="preserve"> </w:t>
            </w:r>
            <w:r w:rsidRPr="00ED177F">
              <w:rPr>
                <w:rFonts w:ascii="Times New Roman" w:hAnsi="Times New Roman" w:cs="Times New Roman"/>
                <w:sz w:val="24"/>
                <w:szCs w:val="24"/>
              </w:rPr>
              <w:t>(Определяне на единна ставка за финансиране на дейностите за организация и управление при</w:t>
            </w:r>
            <w:r w:rsidR="00257AA9" w:rsidRPr="00ED177F">
              <w:rPr>
                <w:rFonts w:ascii="Times New Roman" w:hAnsi="Times New Roman" w:cs="Times New Roman"/>
                <w:sz w:val="24"/>
                <w:szCs w:val="24"/>
              </w:rPr>
              <w:t xml:space="preserve"> </w:t>
            </w:r>
            <w:r w:rsidRPr="00ED177F">
              <w:rPr>
                <w:rFonts w:ascii="Times New Roman" w:hAnsi="Times New Roman" w:cs="Times New Roman"/>
                <w:sz w:val="24"/>
                <w:szCs w:val="24"/>
              </w:rPr>
              <w:t>процедури за конкурентен подбор и директно предоставяне на приоритетни оси 2 и 3 но ОП НОИР чрез прилагане на Националната методология, приета с Решение на МС № 2</w:t>
            </w:r>
            <w:r w:rsidR="00D13737" w:rsidRPr="00ED177F">
              <w:rPr>
                <w:rFonts w:ascii="Times New Roman" w:hAnsi="Times New Roman" w:cs="Times New Roman"/>
                <w:sz w:val="24"/>
                <w:szCs w:val="24"/>
              </w:rPr>
              <w:t>53 от 3 май 2017 г.),  за проектите с размер на безвъзмездна финансова помощ</w:t>
            </w:r>
            <w:r w:rsidRPr="00ED177F">
              <w:rPr>
                <w:rFonts w:ascii="Times New Roman" w:hAnsi="Times New Roman" w:cs="Times New Roman"/>
                <w:sz w:val="24"/>
                <w:szCs w:val="24"/>
              </w:rPr>
              <w:t xml:space="preserve"> под 100 000 лв. </w:t>
            </w:r>
            <w:r w:rsidR="00D13737" w:rsidRPr="00ED177F">
              <w:rPr>
                <w:rFonts w:ascii="Times New Roman" w:hAnsi="Times New Roman" w:cs="Times New Roman"/>
                <w:sz w:val="24"/>
                <w:szCs w:val="24"/>
              </w:rPr>
              <w:t>ще се прилага единна ставка от 15% от допустимите преки разходи за персонал следва, че за проектите с размер на БФП под 100 000 лв. безвъзмездната помощ се предоставя само под формата на стандартни таблици за разходите за единица продукт, еднократни суми или единни ставки.</w:t>
            </w:r>
          </w:p>
          <w:p w14:paraId="3FD2F9D7" w14:textId="5AACE2C8" w:rsidR="00516027"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t>В тази връзка бюджетите на проектите с размер на БФП под 100 000 лв. се определят по специални правила, подробно описани в т. 14.3.1. СПЕЦИАЛНИ ПРАВИЛА за проекти с размер на БФП до 100 000 лв.</w:t>
            </w:r>
          </w:p>
          <w:p w14:paraId="3584F2CA" w14:textId="5A0ADDF2" w:rsidR="00E80960" w:rsidRPr="002B1899" w:rsidRDefault="00E80960" w:rsidP="00516027">
            <w:pPr>
              <w:spacing w:after="120"/>
              <w:jc w:val="both"/>
              <w:rPr>
                <w:rFonts w:ascii="Times New Roman" w:hAnsi="Times New Roman" w:cs="Times New Roman"/>
                <w:sz w:val="24"/>
                <w:szCs w:val="24"/>
              </w:rPr>
            </w:pPr>
          </w:p>
          <w:p w14:paraId="31707170" w14:textId="68416F65" w:rsidR="00F576D2"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b/>
                <w:sz w:val="24"/>
                <w:szCs w:val="24"/>
              </w:rPr>
              <w:t xml:space="preserve">14.3.1. СПЕЦИАЛНИ ПРАВИЛА за проекти с размер на БФП до 100 000 лв.  </w:t>
            </w:r>
            <w:r w:rsidRPr="002B1899">
              <w:rPr>
                <w:rFonts w:ascii="Times New Roman" w:hAnsi="Times New Roman" w:cs="Times New Roman"/>
                <w:i/>
                <w:sz w:val="24"/>
                <w:szCs w:val="24"/>
              </w:rPr>
              <w:t xml:space="preserve">(тези правила се прилагат за всички проектни предложения, за които оценителната комисия е одобрила размер на допустимите разходи до 100 000 лв.)  </w:t>
            </w:r>
          </w:p>
          <w:p w14:paraId="315B6051" w14:textId="4F730563" w:rsidR="00E80960" w:rsidRDefault="00E80960" w:rsidP="00F576D2">
            <w:pPr>
              <w:spacing w:after="120"/>
              <w:jc w:val="both"/>
              <w:rPr>
                <w:rFonts w:ascii="Times New Roman" w:hAnsi="Times New Roman" w:cs="Times New Roman"/>
                <w:i/>
                <w:sz w:val="24"/>
                <w:szCs w:val="24"/>
              </w:rPr>
            </w:pPr>
          </w:p>
          <w:p w14:paraId="0AA295B6" w14:textId="30F358A6" w:rsidR="00E80960" w:rsidRPr="00B74CD5" w:rsidRDefault="00E80960" w:rsidP="00F576D2">
            <w:pPr>
              <w:spacing w:after="120"/>
              <w:jc w:val="both"/>
              <w:rPr>
                <w:rFonts w:ascii="Times New Roman" w:hAnsi="Times New Roman" w:cs="Times New Roman"/>
                <w:b/>
                <w:sz w:val="28"/>
                <w:szCs w:val="28"/>
                <w:u w:val="single"/>
              </w:rPr>
            </w:pPr>
            <w:r w:rsidRPr="00B74CD5">
              <w:rPr>
                <w:rFonts w:ascii="Times New Roman" w:hAnsi="Times New Roman" w:cs="Times New Roman"/>
                <w:b/>
                <w:sz w:val="28"/>
                <w:szCs w:val="28"/>
                <w:u w:val="single"/>
              </w:rPr>
              <w:t xml:space="preserve">Номерацията в т. 14.3.1 следва номерацията на секция </w:t>
            </w:r>
            <w:r w:rsidR="00B74CD5" w:rsidRPr="00B74CD5">
              <w:rPr>
                <w:rFonts w:ascii="Times New Roman" w:hAnsi="Times New Roman" w:cs="Times New Roman"/>
                <w:b/>
                <w:sz w:val="28"/>
                <w:szCs w:val="28"/>
                <w:u w:val="single"/>
              </w:rPr>
              <w:t>„Бюджет“ в ИСУН</w:t>
            </w:r>
          </w:p>
          <w:p w14:paraId="51FB8808" w14:textId="3113E2A5"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За проекти с размер на БФП до 100 000 лв. се прилагат само опростени варианти на разходите и в този случай бюджетът се определя по един от следните два варианта:</w:t>
            </w:r>
          </w:p>
          <w:p w14:paraId="000FD8E8" w14:textId="77777777" w:rsidR="008F66A6" w:rsidRPr="002B1899"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i/>
                <w:sz w:val="24"/>
                <w:szCs w:val="24"/>
              </w:rPr>
              <w:t xml:space="preserve">Вариант 1 </w:t>
            </w:r>
          </w:p>
          <w:p w14:paraId="631784E3" w14:textId="6B3C36D1" w:rsidR="00221898"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ПРЕКИ РАЗХОДИ</w:t>
            </w:r>
          </w:p>
          <w:p w14:paraId="68ABC20B" w14:textId="02FEF50F"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I. РАЗХОДИ ЗА ПЕРСОНАЛ/УЧАСТН</w:t>
            </w:r>
            <w:r w:rsidR="00F9048D" w:rsidRPr="002B1899">
              <w:rPr>
                <w:rFonts w:ascii="Times New Roman" w:hAnsi="Times New Roman" w:cs="Times New Roman"/>
                <w:sz w:val="24"/>
                <w:szCs w:val="24"/>
              </w:rPr>
              <w:t xml:space="preserve">ИЦИ В ИЗПЪЛНЕНИЕ НА ДЕЙНОСТИТЕ </w:t>
            </w:r>
          </w:p>
          <w:p w14:paraId="3C07B72E" w14:textId="4AB3CED9" w:rsidR="00221898" w:rsidRPr="00F6718D" w:rsidRDefault="007A35C7"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rPr>
              <w:t>1.</w:t>
            </w:r>
            <w:r w:rsidR="00F576D2" w:rsidRPr="00F6718D">
              <w:rPr>
                <w:rFonts w:ascii="Times New Roman" w:hAnsi="Times New Roman" w:cs="Times New Roman"/>
                <w:sz w:val="24"/>
                <w:szCs w:val="24"/>
              </w:rPr>
              <w:t xml:space="preserve">Разходи за възнаграждения, както и осигурителните и здравноосигурителните вноски за сметка на осигурителя съгласно националното законодателство. </w:t>
            </w:r>
          </w:p>
          <w:p w14:paraId="6F133232" w14:textId="4FB0FC70" w:rsidR="004C6583" w:rsidRPr="00F6718D" w:rsidRDefault="004C6583" w:rsidP="00221898">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 ИСУН кандидатът попълва в раздел </w:t>
            </w:r>
            <w:r w:rsidRPr="00F6718D">
              <w:rPr>
                <w:rFonts w:ascii="Times New Roman" w:hAnsi="Times New Roman" w:cs="Times New Roman"/>
                <w:i/>
                <w:sz w:val="24"/>
                <w:szCs w:val="24"/>
                <w:lang w:val="en-US"/>
              </w:rPr>
              <w:t>I</w:t>
            </w:r>
            <w:r w:rsidRPr="00F6718D">
              <w:rPr>
                <w:rFonts w:ascii="Times New Roman" w:hAnsi="Times New Roman" w:cs="Times New Roman"/>
                <w:i/>
                <w:sz w:val="24"/>
                <w:szCs w:val="24"/>
              </w:rPr>
              <w:t>. РАЗХОДИ ЗА ПЕРСОНАЛ в бюджетен ред 1 ЗА ПРОЕКТИ ДО 100 000 ЛВ. ВАРИАНТ 1-Разходи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3DC20F16" w14:textId="2A5D4E29" w:rsidR="00221898" w:rsidRPr="00F6718D" w:rsidRDefault="00B74CD5"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VI</w:t>
            </w:r>
            <w:r w:rsidR="005D2910" w:rsidRPr="00F6718D">
              <w:rPr>
                <w:rFonts w:ascii="Times New Roman" w:hAnsi="Times New Roman" w:cs="Times New Roman"/>
                <w:sz w:val="24"/>
                <w:szCs w:val="24"/>
                <w:lang w:val="en-US"/>
              </w:rPr>
              <w:t>.</w:t>
            </w:r>
            <w:r w:rsidR="00F576D2" w:rsidRPr="00F6718D">
              <w:rPr>
                <w:rFonts w:ascii="Times New Roman" w:hAnsi="Times New Roman" w:cs="Times New Roman"/>
                <w:sz w:val="24"/>
                <w:szCs w:val="24"/>
              </w:rPr>
              <w:t>НЕПРЕКИ РАЗХОДИ</w:t>
            </w:r>
            <w:r w:rsidR="00F6718D">
              <w:rPr>
                <w:rFonts w:ascii="Times New Roman" w:hAnsi="Times New Roman" w:cs="Times New Roman"/>
                <w:sz w:val="24"/>
                <w:szCs w:val="24"/>
              </w:rPr>
              <w:t>/</w:t>
            </w:r>
            <w:bookmarkStart w:id="0" w:name="_GoBack"/>
            <w:bookmarkEnd w:id="0"/>
            <w:r w:rsidR="00E86907" w:rsidRPr="00F6718D">
              <w:rPr>
                <w:rFonts w:ascii="Times New Roman" w:hAnsi="Times New Roman" w:cs="Times New Roman"/>
                <w:sz w:val="24"/>
                <w:szCs w:val="24"/>
              </w:rPr>
              <w:t>ЕДИННА СТАВКА</w:t>
            </w:r>
          </w:p>
          <w:p w14:paraId="20400D65" w14:textId="6D6FA0FB" w:rsidR="00F576D2" w:rsidRPr="00F6718D" w:rsidRDefault="007A35C7"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rPr>
              <w:lastRenderedPageBreak/>
              <w:t xml:space="preserve">  </w:t>
            </w:r>
            <w:r w:rsidR="00F576D2" w:rsidRPr="00F6718D">
              <w:rPr>
                <w:rFonts w:ascii="Times New Roman" w:hAnsi="Times New Roman" w:cs="Times New Roman"/>
                <w:sz w:val="24"/>
                <w:szCs w:val="24"/>
              </w:rPr>
              <w:t xml:space="preserve">Изчисляват се чрез прилагане на единна ставка в размер на 15 % от допустимите преки разходи за персонал (разходите в бюджетен ред 1). </w:t>
            </w:r>
          </w:p>
          <w:p w14:paraId="6E7FB7EA" w14:textId="1073942C" w:rsidR="004C6583" w:rsidRPr="00F6718D" w:rsidRDefault="004C6583" w:rsidP="00221898">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В ИСУН кандидатът попълва в раздел VI. НЕПРЕКИ РАЗХОДИ</w:t>
            </w:r>
            <w:r w:rsidR="005533BF" w:rsidRPr="00F6718D">
              <w:rPr>
                <w:rFonts w:ascii="Times New Roman" w:hAnsi="Times New Roman" w:cs="Times New Roman"/>
                <w:i/>
                <w:sz w:val="24"/>
                <w:szCs w:val="24"/>
              </w:rPr>
              <w:t xml:space="preserve"> в бюджетен ред 18</w:t>
            </w:r>
            <w:r w:rsidRPr="00F6718D">
              <w:rPr>
                <w:rFonts w:ascii="Times New Roman" w:hAnsi="Times New Roman" w:cs="Times New Roman"/>
                <w:i/>
                <w:sz w:val="24"/>
                <w:szCs w:val="24"/>
              </w:rPr>
              <w:t xml:space="preserve"> ЗА ПРОЕКТИ ДО 100 00</w:t>
            </w:r>
            <w:r w:rsidR="005533BF" w:rsidRPr="00F6718D">
              <w:rPr>
                <w:rFonts w:ascii="Times New Roman" w:hAnsi="Times New Roman" w:cs="Times New Roman"/>
                <w:i/>
                <w:sz w:val="24"/>
                <w:szCs w:val="24"/>
              </w:rPr>
              <w:t>0 ЛВ. ВАРИАНТ 1-Непреки разходи, изчисляват се чрез прилагане на единна ставка в размер на 15% от допустимите преки разходи за персонала</w:t>
            </w:r>
            <w:r w:rsidR="005533BF" w:rsidRPr="00F6718D">
              <w:rPr>
                <w:rFonts w:ascii="Times New Roman" w:hAnsi="Times New Roman" w:cs="Times New Roman"/>
                <w:i/>
                <w:sz w:val="24"/>
                <w:szCs w:val="24"/>
                <w:lang w:val="en-US"/>
              </w:rPr>
              <w:t>(</w:t>
            </w:r>
            <w:r w:rsidR="005533BF" w:rsidRPr="00F6718D">
              <w:rPr>
                <w:rFonts w:ascii="Times New Roman" w:hAnsi="Times New Roman" w:cs="Times New Roman"/>
                <w:i/>
                <w:sz w:val="24"/>
                <w:szCs w:val="24"/>
              </w:rPr>
              <w:t>разходите в бюджетен ред 1</w:t>
            </w:r>
            <w:r w:rsidR="005533BF" w:rsidRPr="00F6718D">
              <w:rPr>
                <w:rFonts w:ascii="Times New Roman" w:hAnsi="Times New Roman" w:cs="Times New Roman"/>
                <w:i/>
                <w:sz w:val="24"/>
                <w:szCs w:val="24"/>
                <w:lang w:val="en-US"/>
              </w:rPr>
              <w:t>)</w:t>
            </w:r>
            <w:r w:rsidR="005533BF" w:rsidRPr="00F6718D">
              <w:rPr>
                <w:rFonts w:ascii="Times New Roman" w:hAnsi="Times New Roman" w:cs="Times New Roman"/>
                <w:i/>
                <w:sz w:val="24"/>
                <w:szCs w:val="24"/>
              </w:rPr>
              <w:t xml:space="preserve"> включително и разходите за информация и комуникация.</w:t>
            </w:r>
          </w:p>
          <w:p w14:paraId="3BEFA045" w14:textId="77777777" w:rsidR="00221898" w:rsidRPr="00F6718D" w:rsidRDefault="00221898"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Вариант 2 </w:t>
            </w:r>
          </w:p>
          <w:p w14:paraId="5E8337A5" w14:textId="77777777"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ПРЕКИ РАЗХОДИ </w:t>
            </w:r>
          </w:p>
          <w:p w14:paraId="76982EAA" w14:textId="77777777"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I. РАЗХОДИ ЗА ПЕРСОНАЛ/УЧАСТНИЦИ В ИЗПЪЛНЕНИЕ НА ДЕЙНОСТИТЕ</w:t>
            </w:r>
          </w:p>
          <w:p w14:paraId="10E7001E" w14:textId="51C423DD"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 </w:t>
            </w:r>
            <w:r w:rsidR="00B74CD5" w:rsidRPr="00F6718D">
              <w:rPr>
                <w:rFonts w:ascii="Times New Roman" w:hAnsi="Times New Roman" w:cs="Times New Roman"/>
                <w:sz w:val="24"/>
                <w:szCs w:val="24"/>
              </w:rPr>
              <w:t>2</w:t>
            </w:r>
            <w:r w:rsidR="001007E3" w:rsidRPr="00F6718D">
              <w:rPr>
                <w:rFonts w:ascii="Times New Roman" w:hAnsi="Times New Roman" w:cs="Times New Roman"/>
                <w:sz w:val="24"/>
                <w:szCs w:val="24"/>
                <w:lang w:val="en-US"/>
              </w:rPr>
              <w:t>.</w:t>
            </w:r>
            <w:r w:rsidR="005D2910" w:rsidRPr="00F6718D">
              <w:rPr>
                <w:rFonts w:ascii="Times New Roman" w:hAnsi="Times New Roman" w:cs="Times New Roman"/>
                <w:sz w:val="24"/>
                <w:szCs w:val="24"/>
                <w:lang w:val="en-US"/>
              </w:rPr>
              <w:t xml:space="preserve"> </w:t>
            </w:r>
            <w:r w:rsidRPr="00F6718D">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31341233" w14:textId="51BFAC35" w:rsidR="005533BF" w:rsidRPr="00F6718D" w:rsidRDefault="005533BF"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В ИСУН кандидатът попълва в раздел</w:t>
            </w:r>
            <w:r w:rsidRPr="00F6718D">
              <w:rPr>
                <w:rFonts w:ascii="Times New Roman" w:hAnsi="Times New Roman" w:cs="Times New Roman"/>
                <w:i/>
                <w:sz w:val="24"/>
                <w:szCs w:val="24"/>
                <w:lang w:val="en-US"/>
              </w:rPr>
              <w:t xml:space="preserve"> I</w:t>
            </w:r>
            <w:r w:rsidRPr="00F6718D">
              <w:rPr>
                <w:rFonts w:ascii="Times New Roman" w:hAnsi="Times New Roman" w:cs="Times New Roman"/>
                <w:i/>
                <w:sz w:val="24"/>
                <w:szCs w:val="24"/>
              </w:rPr>
              <w:t xml:space="preserve"> . РАЗХОДИ ЗА ПЕРСОНАЛ в бюджетен ред 2 ЗА ПРОЕКТИ ДО 100 000 ЛВ. ВАРИАНТ 2-Разходи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72187B97" w14:textId="10F6ADD5"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 </w:t>
            </w:r>
            <w:r w:rsidR="00B74CD5" w:rsidRPr="00F6718D">
              <w:rPr>
                <w:rFonts w:ascii="Times New Roman" w:hAnsi="Times New Roman" w:cs="Times New Roman"/>
                <w:sz w:val="24"/>
                <w:szCs w:val="24"/>
                <w:lang w:val="en-US"/>
              </w:rPr>
              <w:t>4</w:t>
            </w:r>
            <w:r w:rsidRPr="00F6718D">
              <w:rPr>
                <w:rFonts w:ascii="Times New Roman" w:hAnsi="Times New Roman" w:cs="Times New Roman"/>
                <w:sz w:val="24"/>
                <w:szCs w:val="24"/>
              </w:rPr>
              <w:t xml:space="preserve">. Разходи за командировки, съгласно Наредбата за командировките в страната. </w:t>
            </w:r>
          </w:p>
          <w:p w14:paraId="72727BAA" w14:textId="0CA481ED"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.1</w:t>
            </w:r>
            <w:r w:rsidR="00221898" w:rsidRPr="00F6718D">
              <w:rPr>
                <w:rFonts w:ascii="Times New Roman" w:hAnsi="Times New Roman" w:cs="Times New Roman"/>
                <w:sz w:val="24"/>
                <w:szCs w:val="24"/>
              </w:rPr>
              <w:t xml:space="preserve"> Разходи за „пътни“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 xml:space="preserve">. </w:t>
            </w:r>
          </w:p>
          <w:p w14:paraId="41CE17C0" w14:textId="37A81173"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.2</w:t>
            </w:r>
            <w:r w:rsidR="007A35C7" w:rsidRPr="00F6718D">
              <w:rPr>
                <w:rFonts w:ascii="Times New Roman" w:hAnsi="Times New Roman" w:cs="Times New Roman"/>
                <w:sz w:val="24"/>
                <w:szCs w:val="24"/>
                <w:lang w:val="en-US"/>
              </w:rPr>
              <w:t xml:space="preserve"> </w:t>
            </w:r>
            <w:r w:rsidR="00221898" w:rsidRPr="00F6718D">
              <w:rPr>
                <w:rFonts w:ascii="Times New Roman" w:hAnsi="Times New Roman" w:cs="Times New Roman"/>
                <w:sz w:val="24"/>
                <w:szCs w:val="24"/>
              </w:rPr>
              <w:t xml:space="preserve">Разходи за „дневни“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w:t>
            </w:r>
          </w:p>
          <w:p w14:paraId="1059FEE4" w14:textId="50511E35"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.3</w:t>
            </w:r>
            <w:r w:rsidR="007A35C7" w:rsidRPr="00F6718D">
              <w:rPr>
                <w:rFonts w:ascii="Times New Roman" w:hAnsi="Times New Roman" w:cs="Times New Roman"/>
                <w:sz w:val="24"/>
                <w:szCs w:val="24"/>
                <w:lang w:val="en-US"/>
              </w:rPr>
              <w:t xml:space="preserve"> </w:t>
            </w:r>
            <w:r w:rsidR="00221898" w:rsidRPr="00F6718D">
              <w:rPr>
                <w:rFonts w:ascii="Times New Roman" w:hAnsi="Times New Roman" w:cs="Times New Roman"/>
                <w:sz w:val="24"/>
                <w:szCs w:val="24"/>
              </w:rPr>
              <w:t xml:space="preserve">Разходи за „квартирни“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 xml:space="preserve">. </w:t>
            </w:r>
          </w:p>
          <w:p w14:paraId="62EAA77C" w14:textId="0A9B5FB4" w:rsidR="00F576D2"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4</w:t>
            </w:r>
            <w:r w:rsidR="00E44F47" w:rsidRPr="00F6718D">
              <w:rPr>
                <w:rFonts w:ascii="Times New Roman" w:hAnsi="Times New Roman" w:cs="Times New Roman"/>
                <w:sz w:val="24"/>
                <w:szCs w:val="24"/>
                <w:lang w:val="en-US"/>
              </w:rPr>
              <w:t>.4</w:t>
            </w:r>
            <w:r w:rsidR="00221898" w:rsidRPr="00F6718D">
              <w:rPr>
                <w:rFonts w:ascii="Times New Roman" w:hAnsi="Times New Roman" w:cs="Times New Roman"/>
                <w:sz w:val="24"/>
                <w:szCs w:val="24"/>
              </w:rPr>
              <w:t xml:space="preserve"> Пътни разходи за лицата от допустимите целеви групи. (извън случаите, в които е предоставен организиран транспорт).</w:t>
            </w:r>
          </w:p>
          <w:p w14:paraId="7AC4787A" w14:textId="20CFD2A8" w:rsidR="005533BF" w:rsidRPr="00F6718D" w:rsidRDefault="005533BF"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 ИСУН кандидатът попълва в раздел I. РАЗХОДИ ЗА ПЕРСОНАЛ в бюджетен ред 4 ЗА </w:t>
            </w:r>
            <w:r w:rsidR="00B56F11" w:rsidRPr="00F6718D">
              <w:rPr>
                <w:rFonts w:ascii="Times New Roman" w:hAnsi="Times New Roman" w:cs="Times New Roman"/>
                <w:i/>
                <w:sz w:val="24"/>
                <w:szCs w:val="24"/>
              </w:rPr>
              <w:t>ПРОЕКТИ ДО 100 000 ЛВ. ВАРИАНТ 2</w:t>
            </w:r>
            <w:r w:rsidRPr="00F6718D">
              <w:rPr>
                <w:rFonts w:ascii="Times New Roman" w:hAnsi="Times New Roman" w:cs="Times New Roman"/>
                <w:i/>
                <w:sz w:val="24"/>
                <w:szCs w:val="24"/>
              </w:rPr>
              <w:t xml:space="preserve">-Разходи за </w:t>
            </w:r>
            <w:r w:rsidR="00B56F11" w:rsidRPr="00F6718D">
              <w:rPr>
                <w:rFonts w:ascii="Times New Roman" w:hAnsi="Times New Roman" w:cs="Times New Roman"/>
                <w:i/>
                <w:sz w:val="24"/>
                <w:szCs w:val="24"/>
              </w:rPr>
              <w:t xml:space="preserve">командировки, съгласно Наредбата за командировките в страната </w:t>
            </w:r>
            <w:r w:rsidR="00B56F11" w:rsidRPr="00F6718D">
              <w:rPr>
                <w:rFonts w:ascii="Times New Roman" w:hAnsi="Times New Roman" w:cs="Times New Roman"/>
                <w:i/>
                <w:sz w:val="24"/>
                <w:szCs w:val="24"/>
                <w:lang w:val="en-US"/>
              </w:rPr>
              <w:t>(</w:t>
            </w:r>
            <w:r w:rsidR="00B56F11" w:rsidRPr="00F6718D">
              <w:rPr>
                <w:rFonts w:ascii="Times New Roman" w:hAnsi="Times New Roman" w:cs="Times New Roman"/>
                <w:i/>
                <w:sz w:val="24"/>
                <w:szCs w:val="24"/>
              </w:rPr>
              <w:t>дневни, пътни и квартирни</w:t>
            </w:r>
            <w:r w:rsidR="00B56F11" w:rsidRPr="00F6718D">
              <w:rPr>
                <w:rFonts w:ascii="Times New Roman" w:hAnsi="Times New Roman" w:cs="Times New Roman"/>
                <w:i/>
                <w:sz w:val="24"/>
                <w:szCs w:val="24"/>
                <w:lang w:val="en-US"/>
              </w:rPr>
              <w:t>)</w:t>
            </w:r>
            <w:r w:rsidR="00B56F11" w:rsidRPr="00F6718D">
              <w:rPr>
                <w:rFonts w:ascii="Times New Roman" w:hAnsi="Times New Roman" w:cs="Times New Roman"/>
                <w:i/>
                <w:sz w:val="24"/>
                <w:szCs w:val="24"/>
              </w:rPr>
              <w:t xml:space="preserve"> на лицата включени в т.2 и пътни разходи за лицата от допустимите целеви групи(извън случаите, в които е предоставен организиран транспорт)</w:t>
            </w:r>
            <w:r w:rsidR="00B74CD5" w:rsidRPr="00F6718D">
              <w:rPr>
                <w:rFonts w:ascii="Times New Roman" w:hAnsi="Times New Roman" w:cs="Times New Roman"/>
                <w:i/>
                <w:sz w:val="24"/>
                <w:szCs w:val="24"/>
              </w:rPr>
              <w:t xml:space="preserve"> общата сума за разходите по т.4.1., 4.2., 4.3., и 4</w:t>
            </w:r>
            <w:r w:rsidR="00B56F11" w:rsidRPr="00F6718D">
              <w:rPr>
                <w:rFonts w:ascii="Times New Roman" w:hAnsi="Times New Roman" w:cs="Times New Roman"/>
                <w:i/>
                <w:sz w:val="24"/>
                <w:szCs w:val="24"/>
              </w:rPr>
              <w:t xml:space="preserve">.4. В секция 7. План за изпълнение/Дейности по проекта кандидатът описва разходите за всяко бюджетно перо като в Детайлна разбивка на разходите кандидатът попълва сумите по  </w:t>
            </w:r>
            <w:r w:rsidR="00B74CD5" w:rsidRPr="00F6718D">
              <w:rPr>
                <w:rFonts w:ascii="Times New Roman" w:hAnsi="Times New Roman" w:cs="Times New Roman"/>
                <w:i/>
                <w:sz w:val="24"/>
                <w:szCs w:val="24"/>
              </w:rPr>
              <w:t xml:space="preserve"> т.4.1., 4.2., 4.3., и 4</w:t>
            </w:r>
            <w:r w:rsidR="00B56F11" w:rsidRPr="00F6718D">
              <w:rPr>
                <w:rFonts w:ascii="Times New Roman" w:hAnsi="Times New Roman" w:cs="Times New Roman"/>
                <w:i/>
                <w:sz w:val="24"/>
                <w:szCs w:val="24"/>
              </w:rPr>
              <w:t>.4</w:t>
            </w:r>
            <w:r w:rsidR="0069123E" w:rsidRPr="00F6718D">
              <w:rPr>
                <w:rFonts w:ascii="Times New Roman" w:hAnsi="Times New Roman" w:cs="Times New Roman"/>
                <w:i/>
                <w:sz w:val="24"/>
                <w:szCs w:val="24"/>
              </w:rPr>
              <w:t>. съгласно таблицата.</w:t>
            </w:r>
          </w:p>
          <w:p w14:paraId="402FFE0A" w14:textId="251E3316" w:rsidR="00221898" w:rsidRPr="002B1899" w:rsidRDefault="00B75A06"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 xml:space="preserve">II. </w:t>
            </w:r>
            <w:r w:rsidR="00221898" w:rsidRPr="00F6718D">
              <w:rPr>
                <w:rFonts w:ascii="Times New Roman" w:hAnsi="Times New Roman" w:cs="Times New Roman"/>
                <w:sz w:val="24"/>
                <w:szCs w:val="24"/>
              </w:rPr>
              <w:t>ДРУГИ РАЗХОДИ</w:t>
            </w:r>
            <w:r w:rsidR="00E86907" w:rsidRPr="00F6718D">
              <w:rPr>
                <w:rFonts w:ascii="Times New Roman" w:hAnsi="Times New Roman" w:cs="Times New Roman"/>
                <w:sz w:val="24"/>
                <w:szCs w:val="24"/>
              </w:rPr>
              <w:t>/ЕДИННА СТАВКА</w:t>
            </w:r>
          </w:p>
          <w:p w14:paraId="77555377" w14:textId="6CA68DE7"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Изчисляват се чрез прилагане на единна ставка в размер на 40 % от допустимите преки разходи за персонал (разходите в бюджетен ред </w:t>
            </w:r>
            <w:r w:rsidR="0082690B">
              <w:rPr>
                <w:rFonts w:ascii="Times New Roman" w:hAnsi="Times New Roman" w:cs="Times New Roman"/>
                <w:sz w:val="24"/>
                <w:szCs w:val="24"/>
                <w:lang w:val="en-US"/>
              </w:rPr>
              <w:t>2</w:t>
            </w:r>
            <w:r w:rsidRPr="002B1899">
              <w:rPr>
                <w:rFonts w:ascii="Times New Roman" w:hAnsi="Times New Roman" w:cs="Times New Roman"/>
                <w:sz w:val="24"/>
                <w:szCs w:val="24"/>
              </w:rPr>
              <w:t xml:space="preserve">). </w:t>
            </w:r>
          </w:p>
          <w:p w14:paraId="7160B138" w14:textId="16A87CF4" w:rsidR="00221898"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В другите разходи, изчислени чрез прилагане на единната ставка, се включват всички допустими разходи за изпълнение на проекта (различни от разходите по бюджетен ред </w:t>
            </w:r>
            <w:r w:rsidR="0082690B">
              <w:rPr>
                <w:rFonts w:ascii="Times New Roman" w:hAnsi="Times New Roman" w:cs="Times New Roman"/>
                <w:sz w:val="24"/>
                <w:szCs w:val="24"/>
                <w:lang w:val="en-US"/>
              </w:rPr>
              <w:t>2</w:t>
            </w:r>
            <w:r w:rsidRPr="005D2910">
              <w:rPr>
                <w:rFonts w:ascii="Times New Roman" w:hAnsi="Times New Roman" w:cs="Times New Roman"/>
                <w:sz w:val="24"/>
                <w:szCs w:val="24"/>
              </w:rPr>
              <w:t xml:space="preserve"> и </w:t>
            </w:r>
            <w:r w:rsidR="0082690B">
              <w:rPr>
                <w:rFonts w:ascii="Times New Roman" w:hAnsi="Times New Roman" w:cs="Times New Roman"/>
                <w:sz w:val="24"/>
                <w:szCs w:val="24"/>
                <w:lang w:val="en-US"/>
              </w:rPr>
              <w:t>4</w:t>
            </w:r>
            <w:r w:rsidRPr="005D2910">
              <w:rPr>
                <w:rFonts w:ascii="Times New Roman" w:hAnsi="Times New Roman" w:cs="Times New Roman"/>
                <w:sz w:val="24"/>
                <w:szCs w:val="24"/>
              </w:rPr>
              <w:t>),</w:t>
            </w:r>
            <w:r w:rsidRPr="002B1899">
              <w:rPr>
                <w:rFonts w:ascii="Times New Roman" w:hAnsi="Times New Roman" w:cs="Times New Roman"/>
                <w:sz w:val="24"/>
                <w:szCs w:val="24"/>
              </w:rPr>
              <w:t xml:space="preserve"> включително и непреките разходи за организация и управление.</w:t>
            </w:r>
          </w:p>
          <w:p w14:paraId="64990D4E" w14:textId="37C7C948" w:rsidR="00354163" w:rsidRDefault="00354163" w:rsidP="00F576D2">
            <w:pPr>
              <w:spacing w:after="120"/>
              <w:jc w:val="both"/>
              <w:rPr>
                <w:rFonts w:ascii="Times New Roman" w:hAnsi="Times New Roman" w:cs="Times New Roman"/>
                <w:i/>
                <w:sz w:val="24"/>
                <w:szCs w:val="24"/>
              </w:rPr>
            </w:pPr>
            <w:r w:rsidRPr="00354163">
              <w:rPr>
                <w:rFonts w:ascii="Times New Roman" w:hAnsi="Times New Roman" w:cs="Times New Roman"/>
                <w:i/>
                <w:sz w:val="24"/>
                <w:szCs w:val="24"/>
                <w:lang w:val="en-US"/>
              </w:rPr>
              <w:t xml:space="preserve">В ИСУН </w:t>
            </w:r>
            <w:proofErr w:type="spellStart"/>
            <w:r w:rsidRPr="00354163">
              <w:rPr>
                <w:rFonts w:ascii="Times New Roman" w:hAnsi="Times New Roman" w:cs="Times New Roman"/>
                <w:i/>
                <w:sz w:val="24"/>
                <w:szCs w:val="24"/>
                <w:lang w:val="en-US"/>
              </w:rPr>
              <w:t>кандидатът</w:t>
            </w:r>
            <w:proofErr w:type="spellEnd"/>
            <w:r w:rsidRPr="00354163">
              <w:rPr>
                <w:rFonts w:ascii="Times New Roman" w:hAnsi="Times New Roman" w:cs="Times New Roman"/>
                <w:i/>
                <w:sz w:val="24"/>
                <w:szCs w:val="24"/>
                <w:lang w:val="en-US"/>
              </w:rPr>
              <w:t xml:space="preserve"> </w:t>
            </w:r>
            <w:proofErr w:type="spellStart"/>
            <w:r w:rsidRPr="00354163">
              <w:rPr>
                <w:rFonts w:ascii="Times New Roman" w:hAnsi="Times New Roman" w:cs="Times New Roman"/>
                <w:i/>
                <w:sz w:val="24"/>
                <w:szCs w:val="24"/>
                <w:lang w:val="en-US"/>
              </w:rPr>
              <w:t>попълва</w:t>
            </w:r>
            <w:proofErr w:type="spellEnd"/>
            <w:r w:rsidRPr="00354163">
              <w:rPr>
                <w:rFonts w:ascii="Times New Roman" w:hAnsi="Times New Roman" w:cs="Times New Roman"/>
                <w:i/>
                <w:sz w:val="24"/>
                <w:szCs w:val="24"/>
                <w:lang w:val="en-US"/>
              </w:rPr>
              <w:t xml:space="preserve"> в </w:t>
            </w:r>
            <w:proofErr w:type="spellStart"/>
            <w:r w:rsidRPr="00354163">
              <w:rPr>
                <w:rFonts w:ascii="Times New Roman" w:hAnsi="Times New Roman" w:cs="Times New Roman"/>
                <w:i/>
                <w:sz w:val="24"/>
                <w:szCs w:val="24"/>
                <w:lang w:val="en-US"/>
              </w:rPr>
              <w:t>раздел</w:t>
            </w:r>
            <w:proofErr w:type="spellEnd"/>
            <w:r w:rsidRPr="00354163">
              <w:rPr>
                <w:rFonts w:ascii="Times New Roman" w:hAnsi="Times New Roman" w:cs="Times New Roman"/>
                <w:i/>
                <w:sz w:val="24"/>
                <w:szCs w:val="24"/>
                <w:lang w:val="en-US"/>
              </w:rPr>
              <w:t xml:space="preserve"> I</w:t>
            </w:r>
            <w:r>
              <w:rPr>
                <w:rFonts w:ascii="Times New Roman" w:hAnsi="Times New Roman" w:cs="Times New Roman"/>
                <w:i/>
                <w:sz w:val="24"/>
                <w:szCs w:val="24"/>
                <w:lang w:val="en-US"/>
              </w:rPr>
              <w:t>I. ЕДИННА СТАВКА</w:t>
            </w:r>
            <w:r w:rsidRPr="00354163">
              <w:rPr>
                <w:rFonts w:ascii="Times New Roman" w:hAnsi="Times New Roman" w:cs="Times New Roman"/>
                <w:i/>
                <w:sz w:val="24"/>
                <w:szCs w:val="24"/>
                <w:lang w:val="en-US"/>
              </w:rPr>
              <w:t xml:space="preserve"> в </w:t>
            </w:r>
            <w:proofErr w:type="spellStart"/>
            <w:r w:rsidRPr="00354163">
              <w:rPr>
                <w:rFonts w:ascii="Times New Roman" w:hAnsi="Times New Roman" w:cs="Times New Roman"/>
                <w:i/>
                <w:sz w:val="24"/>
                <w:szCs w:val="24"/>
                <w:lang w:val="en-US"/>
              </w:rPr>
              <w:t>бюджетен</w:t>
            </w:r>
            <w:proofErr w:type="spellEnd"/>
            <w:r w:rsidRPr="00354163">
              <w:rPr>
                <w:rFonts w:ascii="Times New Roman" w:hAnsi="Times New Roman" w:cs="Times New Roman"/>
                <w:i/>
                <w:sz w:val="24"/>
                <w:szCs w:val="24"/>
                <w:lang w:val="en-US"/>
              </w:rPr>
              <w:t xml:space="preserve"> </w:t>
            </w:r>
            <w:proofErr w:type="spellStart"/>
            <w:r w:rsidRPr="00354163">
              <w:rPr>
                <w:rFonts w:ascii="Times New Roman" w:hAnsi="Times New Roman" w:cs="Times New Roman"/>
                <w:i/>
                <w:sz w:val="24"/>
                <w:szCs w:val="24"/>
                <w:lang w:val="en-US"/>
              </w:rPr>
              <w:t>ред</w:t>
            </w:r>
            <w:proofErr w:type="spellEnd"/>
            <w:r w:rsidRPr="00354163">
              <w:rPr>
                <w:rFonts w:ascii="Times New Roman" w:hAnsi="Times New Roman" w:cs="Times New Roman"/>
                <w:i/>
                <w:sz w:val="24"/>
                <w:szCs w:val="24"/>
                <w:lang w:val="en-US"/>
              </w:rPr>
              <w:t xml:space="preserve"> </w:t>
            </w:r>
            <w:r>
              <w:rPr>
                <w:rFonts w:ascii="Times New Roman" w:hAnsi="Times New Roman" w:cs="Times New Roman"/>
                <w:i/>
                <w:sz w:val="24"/>
                <w:szCs w:val="24"/>
              </w:rPr>
              <w:t>6.</w:t>
            </w:r>
            <w:r w:rsidRPr="00354163">
              <w:rPr>
                <w:rFonts w:ascii="Times New Roman" w:hAnsi="Times New Roman" w:cs="Times New Roman"/>
                <w:i/>
                <w:sz w:val="24"/>
                <w:szCs w:val="24"/>
                <w:lang w:val="en-US"/>
              </w:rPr>
              <w:t xml:space="preserve"> ЗА ПРОЕКТИ ДО 100 000 ЛВ. ВАРИАНТ 2-</w:t>
            </w:r>
            <w:r>
              <w:rPr>
                <w:rFonts w:ascii="Times New Roman" w:hAnsi="Times New Roman" w:cs="Times New Roman"/>
                <w:i/>
                <w:sz w:val="24"/>
                <w:szCs w:val="24"/>
              </w:rPr>
              <w:t xml:space="preserve">Други разходи, включващи всички допустими разходи за изпълнение на проекта </w:t>
            </w:r>
            <w:r>
              <w:rPr>
                <w:rFonts w:ascii="Times New Roman" w:hAnsi="Times New Roman" w:cs="Times New Roman"/>
                <w:i/>
                <w:sz w:val="24"/>
                <w:szCs w:val="24"/>
                <w:lang w:val="en-US"/>
              </w:rPr>
              <w:t>(</w:t>
            </w:r>
            <w:r>
              <w:rPr>
                <w:rFonts w:ascii="Times New Roman" w:hAnsi="Times New Roman" w:cs="Times New Roman"/>
                <w:i/>
                <w:sz w:val="24"/>
                <w:szCs w:val="24"/>
              </w:rPr>
              <w:t>различн</w:t>
            </w:r>
            <w:r w:rsidR="0082690B">
              <w:rPr>
                <w:rFonts w:ascii="Times New Roman" w:hAnsi="Times New Roman" w:cs="Times New Roman"/>
                <w:i/>
                <w:sz w:val="24"/>
                <w:szCs w:val="24"/>
              </w:rPr>
              <w:t>и от разходите по бюджетен ред 2 и 4</w:t>
            </w:r>
            <w:proofErr w:type="gramStart"/>
            <w:r>
              <w:rPr>
                <w:rFonts w:ascii="Times New Roman" w:hAnsi="Times New Roman" w:cs="Times New Roman"/>
                <w:i/>
                <w:sz w:val="24"/>
                <w:szCs w:val="24"/>
              </w:rPr>
              <w:t>.</w:t>
            </w:r>
            <w:r>
              <w:rPr>
                <w:rFonts w:ascii="Times New Roman" w:hAnsi="Times New Roman" w:cs="Times New Roman"/>
                <w:i/>
                <w:sz w:val="24"/>
                <w:szCs w:val="24"/>
                <w:lang w:val="en-US"/>
              </w:rPr>
              <w:t>)</w:t>
            </w:r>
            <w:r>
              <w:rPr>
                <w:rFonts w:ascii="Times New Roman" w:hAnsi="Times New Roman" w:cs="Times New Roman"/>
                <w:i/>
                <w:sz w:val="24"/>
                <w:szCs w:val="24"/>
              </w:rPr>
              <w:t>включително</w:t>
            </w:r>
            <w:proofErr w:type="gramEnd"/>
            <w:r>
              <w:rPr>
                <w:rFonts w:ascii="Times New Roman" w:hAnsi="Times New Roman" w:cs="Times New Roman"/>
                <w:i/>
                <w:sz w:val="24"/>
                <w:szCs w:val="24"/>
              </w:rPr>
              <w:t xml:space="preserve"> и непреките разходи </w:t>
            </w:r>
            <w:r>
              <w:rPr>
                <w:rFonts w:ascii="Times New Roman" w:hAnsi="Times New Roman" w:cs="Times New Roman"/>
                <w:i/>
                <w:sz w:val="24"/>
                <w:szCs w:val="24"/>
              </w:rPr>
              <w:lastRenderedPageBreak/>
              <w:t xml:space="preserve">за организация и управление и за информация и комуникация. Изчисляват се чрез прилагане на единна ставка в размер на 40% от допустимите преки разходи за персонал </w:t>
            </w:r>
            <w:r w:rsidRPr="00354163">
              <w:rPr>
                <w:rFonts w:ascii="Times New Roman" w:hAnsi="Times New Roman" w:cs="Times New Roman"/>
                <w:i/>
                <w:sz w:val="24"/>
                <w:szCs w:val="24"/>
              </w:rPr>
              <w:t>(</w:t>
            </w:r>
            <w:r w:rsidR="0082690B">
              <w:rPr>
                <w:rFonts w:ascii="Times New Roman" w:hAnsi="Times New Roman" w:cs="Times New Roman"/>
                <w:i/>
                <w:sz w:val="24"/>
                <w:szCs w:val="24"/>
              </w:rPr>
              <w:t>разходите по бюджетен ред 2</w:t>
            </w:r>
            <w:r w:rsidRPr="00354163">
              <w:rPr>
                <w:rFonts w:ascii="Times New Roman" w:hAnsi="Times New Roman" w:cs="Times New Roman"/>
                <w:i/>
                <w:sz w:val="24"/>
                <w:szCs w:val="24"/>
              </w:rPr>
              <w:t>.)</w:t>
            </w:r>
          </w:p>
          <w:p w14:paraId="503B2166" w14:textId="7A90D88F" w:rsidR="009946DB" w:rsidRDefault="009946DB" w:rsidP="00F576D2">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Допустимите преки разходи за персонал са разходите в бюджетен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1 за вариант 1 и бюджетен ред 2. За вариант 2 „Разходи за възнаграждения, както и осигурителни и здравноосигурителни вноски за сметка на осигурителя съгласно националното законодателство. </w:t>
            </w:r>
            <w:r w:rsidR="000205F0">
              <w:rPr>
                <w:rFonts w:ascii="Times New Roman" w:hAnsi="Times New Roman" w:cs="Times New Roman"/>
                <w:i/>
                <w:sz w:val="24"/>
                <w:szCs w:val="24"/>
              </w:rPr>
              <w:t>с</w:t>
            </w:r>
            <w:r>
              <w:rPr>
                <w:rFonts w:ascii="Times New Roman" w:hAnsi="Times New Roman" w:cs="Times New Roman"/>
                <w:i/>
                <w:sz w:val="24"/>
                <w:szCs w:val="24"/>
              </w:rPr>
              <w:t xml:space="preserve">ъгласно </w:t>
            </w:r>
            <w:r w:rsidR="00EE468E" w:rsidRPr="00EE468E">
              <w:rPr>
                <w:rFonts w:ascii="Times New Roman" w:hAnsi="Times New Roman" w:cs="Times New Roman"/>
                <w:i/>
                <w:sz w:val="24"/>
                <w:szCs w:val="24"/>
              </w:rPr>
              <w:t>§</w:t>
            </w:r>
            <w:r w:rsidR="00EE468E">
              <w:rPr>
                <w:rFonts w:ascii="Times New Roman" w:hAnsi="Times New Roman" w:cs="Times New Roman"/>
                <w:i/>
                <w:sz w:val="24"/>
                <w:szCs w:val="24"/>
              </w:rPr>
              <w:t>1, т. 8 от Допълнителната разпоредба на ПМС</w:t>
            </w:r>
            <w:r w:rsidR="000205F0">
              <w:rPr>
                <w:rFonts w:ascii="Times New Roman" w:hAnsi="Times New Roman" w:cs="Times New Roman"/>
                <w:i/>
                <w:sz w:val="24"/>
                <w:szCs w:val="24"/>
              </w:rPr>
              <w:t xml:space="preserve"> № 189/2016</w:t>
            </w:r>
            <w:r w:rsidR="006F7C5F">
              <w:rPr>
                <w:rFonts w:ascii="Times New Roman" w:hAnsi="Times New Roman" w:cs="Times New Roman"/>
                <w:i/>
                <w:sz w:val="24"/>
                <w:szCs w:val="24"/>
              </w:rPr>
              <w:t>: „Разходи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0E92366D" w14:textId="34D0B6AF" w:rsidR="006F7C5F" w:rsidRPr="006F7C5F" w:rsidRDefault="006F7C5F" w:rsidP="00F576D2">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За преките допустими разходи по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„Разходи за възнаграждения, както и осигурителните и здравноосигурителните вноски за сметка на осигурителя съгласно националното законодателство“, се прилага 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 2014-2020г. </w:t>
            </w:r>
            <w:r>
              <w:rPr>
                <w:rFonts w:ascii="Times New Roman" w:hAnsi="Times New Roman" w:cs="Times New Roman"/>
                <w:i/>
                <w:sz w:val="24"/>
                <w:szCs w:val="24"/>
                <w:lang w:val="en-US"/>
              </w:rPr>
              <w:t>(</w:t>
            </w:r>
            <w:r>
              <w:rPr>
                <w:rFonts w:ascii="Times New Roman" w:hAnsi="Times New Roman" w:cs="Times New Roman"/>
                <w:i/>
                <w:sz w:val="24"/>
                <w:szCs w:val="24"/>
              </w:rPr>
              <w:t>актуализирани стойности, приложими за периода след 01.09.2019г.</w:t>
            </w:r>
            <w:r>
              <w:rPr>
                <w:rFonts w:ascii="Times New Roman" w:hAnsi="Times New Roman" w:cs="Times New Roman"/>
                <w:i/>
                <w:sz w:val="24"/>
                <w:szCs w:val="24"/>
                <w:lang w:val="en-US"/>
              </w:rPr>
              <w:t>)-</w:t>
            </w:r>
            <w:r>
              <w:rPr>
                <w:rFonts w:ascii="Times New Roman" w:hAnsi="Times New Roman" w:cs="Times New Roman"/>
                <w:i/>
                <w:sz w:val="24"/>
                <w:szCs w:val="24"/>
              </w:rPr>
              <w:t xml:space="preserve">Приложение </w:t>
            </w:r>
            <w:r>
              <w:rPr>
                <w:rFonts w:ascii="Times New Roman" w:hAnsi="Times New Roman" w:cs="Times New Roman"/>
                <w:i/>
                <w:sz w:val="24"/>
                <w:szCs w:val="24"/>
                <w:lang w:val="en-US"/>
              </w:rPr>
              <w:t>XIII</w:t>
            </w:r>
            <w:r>
              <w:rPr>
                <w:rFonts w:ascii="Times New Roman" w:hAnsi="Times New Roman" w:cs="Times New Roman"/>
                <w:i/>
                <w:sz w:val="24"/>
                <w:szCs w:val="24"/>
              </w:rPr>
              <w:t>.</w:t>
            </w:r>
          </w:p>
          <w:p w14:paraId="3A268D5F" w14:textId="2740C94A" w:rsidR="00221898"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При проектни предложения с бюджет над 100 000 лв., при които обаче след приключване на оценяването одобреният бюджет е намален и е в размер до 100 000 лв. включително, оценителната комисия служебно ще приведе бюджета на проекта към един от посочените по-горе два варианта (този, който е по-благоприятен за бенефициента). При това трансформиране оценителната комисия изчислява единните ставки въз основа на първоначално одобрените разходи, като изчислените стойности не може да надхвърлят посочените максимални проценти – 15 % (вариант 1) и 40 % (вариант 2). В зависимост от конкретните стойности на одобрените разходи е възможно окончателният бюджет (приведен към вариант 1 или вариант 2) да бъде по-нисък в сравнение с първоначално одобрения бюджет.</w:t>
            </w:r>
          </w:p>
          <w:p w14:paraId="0F2EA4D6" w14:textId="77777777" w:rsidR="005D2910" w:rsidRDefault="005D2910" w:rsidP="005D2910">
            <w:pPr>
              <w:rPr>
                <w:rFonts w:ascii="Times New Roman" w:hAnsi="Times New Roman" w:cs="Times New Roman"/>
                <w:b/>
                <w:sz w:val="24"/>
                <w:szCs w:val="24"/>
              </w:rPr>
            </w:pPr>
            <w:r w:rsidRPr="005D2910">
              <w:rPr>
                <w:rFonts w:ascii="Times New Roman" w:hAnsi="Times New Roman" w:cs="Times New Roman"/>
                <w:b/>
                <w:sz w:val="24"/>
                <w:szCs w:val="24"/>
              </w:rPr>
              <w:t>ВАЖНО!</w:t>
            </w:r>
          </w:p>
          <w:p w14:paraId="6295CF8F" w14:textId="12317A54" w:rsidR="005D2910" w:rsidRPr="005D2910" w:rsidRDefault="005D2910" w:rsidP="005D2910">
            <w:pPr>
              <w:rPr>
                <w:rFonts w:ascii="Times New Roman" w:hAnsi="Times New Roman" w:cs="Times New Roman"/>
                <w:sz w:val="24"/>
                <w:szCs w:val="24"/>
              </w:rPr>
            </w:pPr>
            <w:r w:rsidRPr="005D2910">
              <w:rPr>
                <w:rFonts w:ascii="Times New Roman" w:hAnsi="Times New Roman" w:cs="Times New Roman"/>
                <w:sz w:val="24"/>
                <w:szCs w:val="24"/>
              </w:rPr>
              <w:t xml:space="preserve"> При кандидатстване с проектни предложения с размер на БФП до 100 хил. лв. се попълва Приложение </w:t>
            </w:r>
            <w:proofErr w:type="spellStart"/>
            <w:r w:rsidRPr="005D2910">
              <w:rPr>
                <w:rFonts w:ascii="Times New Roman" w:hAnsi="Times New Roman" w:cs="Times New Roman"/>
                <w:sz w:val="24"/>
                <w:szCs w:val="24"/>
              </w:rPr>
              <w:t>VIIа</w:t>
            </w:r>
            <w:proofErr w:type="spellEnd"/>
            <w:r w:rsidRPr="005D2910">
              <w:rPr>
                <w:rFonts w:ascii="Times New Roman" w:hAnsi="Times New Roman" w:cs="Times New Roman"/>
                <w:sz w:val="24"/>
                <w:szCs w:val="24"/>
              </w:rPr>
              <w:t xml:space="preserve"> „Детайлна разбивка на разходите за проекти на стойност до 100 </w:t>
            </w:r>
            <w:proofErr w:type="spellStart"/>
            <w:r w:rsidRPr="005D2910">
              <w:rPr>
                <w:rFonts w:ascii="Times New Roman" w:hAnsi="Times New Roman" w:cs="Times New Roman"/>
                <w:sz w:val="24"/>
                <w:szCs w:val="24"/>
              </w:rPr>
              <w:t>хил.лв</w:t>
            </w:r>
            <w:proofErr w:type="spellEnd"/>
            <w:r w:rsidRPr="005D2910">
              <w:rPr>
                <w:rFonts w:ascii="Times New Roman" w:hAnsi="Times New Roman" w:cs="Times New Roman"/>
                <w:sz w:val="24"/>
                <w:szCs w:val="24"/>
              </w:rPr>
              <w:t xml:space="preserve">.“  </w:t>
            </w:r>
          </w:p>
          <w:p w14:paraId="54E97746" w14:textId="460B73DF" w:rsidR="00760EF2" w:rsidRPr="005D2910" w:rsidRDefault="00760EF2" w:rsidP="00F576D2">
            <w:pPr>
              <w:spacing w:after="120"/>
              <w:jc w:val="both"/>
              <w:rPr>
                <w:rFonts w:ascii="Times New Roman" w:hAnsi="Times New Roman" w:cs="Times New Roman"/>
                <w:color w:val="FF0000"/>
                <w:sz w:val="24"/>
                <w:szCs w:val="24"/>
              </w:rPr>
            </w:pPr>
          </w:p>
          <w:p w14:paraId="7B76DF8A" w14:textId="34D7C691" w:rsidR="00221898" w:rsidRPr="00964E08" w:rsidRDefault="008F66A6" w:rsidP="00F576D2">
            <w:pPr>
              <w:spacing w:after="120"/>
              <w:jc w:val="both"/>
              <w:rPr>
                <w:rFonts w:ascii="Times New Roman" w:hAnsi="Times New Roman" w:cs="Times New Roman"/>
                <w:b/>
                <w:sz w:val="24"/>
                <w:szCs w:val="24"/>
              </w:rPr>
            </w:pPr>
            <w:r w:rsidRPr="00964E08">
              <w:rPr>
                <w:rFonts w:ascii="Times New Roman" w:hAnsi="Times New Roman" w:cs="Times New Roman"/>
                <w:b/>
                <w:sz w:val="24"/>
                <w:szCs w:val="24"/>
              </w:rPr>
              <w:t>14.3.2.  Категории допустими разходи при размер на БФП от 100 001 лв. до 391 166 лв.</w:t>
            </w:r>
          </w:p>
          <w:p w14:paraId="7991EC45" w14:textId="77777777" w:rsidR="00130BC3" w:rsidRPr="00964E08" w:rsidRDefault="00130BC3"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t>I. РАЗХОДИ ЗА ПЕРСОНАЛ/УЧАСТНИЦИ В ИЗПЪЛНЕНИЕ НА ДЕЙНОСТИТЕ</w:t>
            </w:r>
          </w:p>
          <w:p w14:paraId="6E221E35" w14:textId="3897BD88"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3</w:t>
            </w:r>
            <w:r w:rsidR="00130BC3" w:rsidRPr="00964E08">
              <w:rPr>
                <w:rFonts w:ascii="Times New Roman" w:hAnsi="Times New Roman" w:cs="Times New Roman"/>
                <w:sz w:val="24"/>
                <w:szCs w:val="24"/>
              </w:rPr>
              <w:t>.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6123B346" w14:textId="77777777" w:rsidR="000205F0" w:rsidRDefault="000205F0" w:rsidP="00622456">
            <w:pPr>
              <w:spacing w:after="120"/>
              <w:jc w:val="both"/>
              <w:rPr>
                <w:rFonts w:ascii="Times New Roman" w:hAnsi="Times New Roman" w:cs="Times New Roman"/>
                <w:i/>
                <w:sz w:val="24"/>
                <w:szCs w:val="24"/>
              </w:rPr>
            </w:pPr>
            <w:r w:rsidRPr="000205F0">
              <w:rPr>
                <w:rFonts w:ascii="Times New Roman" w:hAnsi="Times New Roman" w:cs="Times New Roman"/>
                <w:i/>
                <w:sz w:val="24"/>
                <w:szCs w:val="24"/>
              </w:rPr>
              <w:t>Допустимите преки разходи</w:t>
            </w:r>
            <w:r>
              <w:rPr>
                <w:rFonts w:ascii="Times New Roman" w:hAnsi="Times New Roman" w:cs="Times New Roman"/>
                <w:i/>
                <w:sz w:val="24"/>
                <w:szCs w:val="24"/>
              </w:rPr>
              <w:t xml:space="preserve"> за персонал са разходите в бюджетен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3. Разходи за възнаграждения, както и осигурителни и здравноосигурителни вноски за сметка на осигурителя </w:t>
            </w:r>
            <w:r w:rsidRPr="000205F0">
              <w:rPr>
                <w:rFonts w:ascii="Times New Roman" w:hAnsi="Times New Roman" w:cs="Times New Roman"/>
                <w:i/>
                <w:sz w:val="24"/>
                <w:szCs w:val="24"/>
              </w:rPr>
              <w:t>съгласно §1, т. 8 от Допълнителн</w:t>
            </w:r>
            <w:r>
              <w:rPr>
                <w:rFonts w:ascii="Times New Roman" w:hAnsi="Times New Roman" w:cs="Times New Roman"/>
                <w:i/>
                <w:sz w:val="24"/>
                <w:szCs w:val="24"/>
              </w:rPr>
              <w:t>ата разпоредба на ПМС № 189/201;</w:t>
            </w:r>
          </w:p>
          <w:p w14:paraId="1B6ABDAA" w14:textId="77777777" w:rsidR="000205F0" w:rsidRDefault="000205F0" w:rsidP="00622456">
            <w:pPr>
              <w:spacing w:after="120"/>
              <w:jc w:val="both"/>
              <w:rPr>
                <w:rFonts w:ascii="Times New Roman" w:hAnsi="Times New Roman" w:cs="Times New Roman"/>
                <w:i/>
                <w:sz w:val="24"/>
                <w:szCs w:val="24"/>
              </w:rPr>
            </w:pPr>
            <w:r w:rsidRPr="000205F0">
              <w:rPr>
                <w:rFonts w:ascii="Times New Roman" w:hAnsi="Times New Roman" w:cs="Times New Roman"/>
                <w:i/>
                <w:sz w:val="24"/>
                <w:szCs w:val="24"/>
              </w:rPr>
              <w:lastRenderedPageBreak/>
              <w:t xml:space="preserve"> „Разходи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2DEDBCEF" w14:textId="67C24C9E"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130BC3" w:rsidRPr="005D2910">
              <w:rPr>
                <w:rFonts w:ascii="Times New Roman" w:hAnsi="Times New Roman" w:cs="Times New Roman"/>
                <w:sz w:val="24"/>
                <w:szCs w:val="24"/>
              </w:rPr>
              <w:t>. Разходи за командировки, съгласно Наредбата за командировките в страната.</w:t>
            </w:r>
          </w:p>
          <w:p w14:paraId="1475E309" w14:textId="6E15606D"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.1</w:t>
            </w:r>
            <w:r w:rsidR="0048619C" w:rsidRPr="005D2910">
              <w:rPr>
                <w:rFonts w:ascii="Times New Roman" w:hAnsi="Times New Roman" w:cs="Times New Roman"/>
                <w:sz w:val="24"/>
                <w:szCs w:val="24"/>
                <w:lang w:val="en-US"/>
              </w:rPr>
              <w:t xml:space="preserve">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пътни“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09938B51" w14:textId="45040F53"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 xml:space="preserve">.2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дневни“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7C545AFE" w14:textId="6161516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 xml:space="preserve">.3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квартирни“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4B33C7CC" w14:textId="15FF9ECA" w:rsidR="00130BC3" w:rsidRPr="00E160F5"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.4</w:t>
            </w:r>
            <w:r w:rsidR="00E44F47">
              <w:rPr>
                <w:rFonts w:ascii="Times New Roman" w:hAnsi="Times New Roman" w:cs="Times New Roman"/>
                <w:sz w:val="24"/>
                <w:szCs w:val="24"/>
                <w:lang w:val="en-US"/>
              </w:rPr>
              <w:t xml:space="preserve"> </w:t>
            </w:r>
            <w:r w:rsidR="00130BC3" w:rsidRPr="00E160F5">
              <w:rPr>
                <w:rFonts w:ascii="Times New Roman" w:hAnsi="Times New Roman" w:cs="Times New Roman"/>
                <w:sz w:val="24"/>
                <w:szCs w:val="24"/>
              </w:rPr>
              <w:t>Пътни разходи за лицата от допустимите целеви групи. (извън случаите, в които е</w:t>
            </w:r>
          </w:p>
          <w:p w14:paraId="1C84AAF6" w14:textId="77777777" w:rsidR="00130BC3" w:rsidRPr="00E542A9" w:rsidRDefault="00130BC3"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предоставен организиран транспорт).</w:t>
            </w:r>
          </w:p>
          <w:p w14:paraId="289F6EA5" w14:textId="77777777" w:rsidR="00130BC3" w:rsidRDefault="00130BC3" w:rsidP="00622456">
            <w:pPr>
              <w:spacing w:after="120"/>
              <w:jc w:val="both"/>
              <w:rPr>
                <w:rFonts w:ascii="Times New Roman" w:hAnsi="Times New Roman" w:cs="Times New Roman"/>
                <w:sz w:val="24"/>
                <w:szCs w:val="24"/>
              </w:rPr>
            </w:pPr>
          </w:p>
          <w:p w14:paraId="07646A2A" w14:textId="7A7EA410"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I</w:t>
            </w:r>
            <w:r w:rsidR="0082690B">
              <w:rPr>
                <w:rFonts w:ascii="Times New Roman" w:hAnsi="Times New Roman" w:cs="Times New Roman"/>
                <w:sz w:val="24"/>
                <w:szCs w:val="24"/>
                <w:lang w:val="en-US"/>
              </w:rPr>
              <w:t>I</w:t>
            </w:r>
            <w:r w:rsidRPr="005D2910">
              <w:rPr>
                <w:rFonts w:ascii="Times New Roman" w:hAnsi="Times New Roman" w:cs="Times New Roman"/>
                <w:sz w:val="24"/>
                <w:szCs w:val="24"/>
              </w:rPr>
              <w:t>I. РАЗХОДИ ЗА МАТЕРИАЛИ</w:t>
            </w:r>
          </w:p>
          <w:p w14:paraId="324985E8" w14:textId="74050AD6"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7</w:t>
            </w:r>
            <w:r w:rsidR="00130BC3" w:rsidRPr="005D2910">
              <w:rPr>
                <w:rFonts w:ascii="Times New Roman" w:hAnsi="Times New Roman" w:cs="Times New Roman"/>
                <w:sz w:val="24"/>
                <w:szCs w:val="24"/>
              </w:rPr>
              <w:t>. Разходи за канцеларски материали и офис консумативи.</w:t>
            </w:r>
          </w:p>
          <w:p w14:paraId="49A2D50C" w14:textId="57B2B12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8</w:t>
            </w:r>
            <w:r w:rsidR="00130BC3" w:rsidRPr="005D2910">
              <w:rPr>
                <w:rFonts w:ascii="Times New Roman" w:hAnsi="Times New Roman" w:cs="Times New Roman"/>
                <w:sz w:val="24"/>
                <w:szCs w:val="24"/>
              </w:rPr>
              <w:t>. Разходи за дидактически материали (учебна литература, помагала, учебни и спортни</w:t>
            </w:r>
          </w:p>
          <w:p w14:paraId="06D3F6F1"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пособия и др.).</w:t>
            </w:r>
          </w:p>
          <w:p w14:paraId="0CB53D44" w14:textId="609861EE"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9</w:t>
            </w:r>
            <w:r w:rsidR="00130BC3" w:rsidRPr="005D2910">
              <w:rPr>
                <w:rFonts w:ascii="Times New Roman" w:hAnsi="Times New Roman" w:cs="Times New Roman"/>
                <w:sz w:val="24"/>
                <w:szCs w:val="24"/>
              </w:rPr>
              <w:t>. Разходи за оборудване и обзавеждане</w:t>
            </w:r>
            <w:r w:rsidR="008E4375" w:rsidRPr="005D2910">
              <w:rPr>
                <w:rFonts w:ascii="Times New Roman" w:hAnsi="Times New Roman" w:cs="Times New Roman"/>
                <w:sz w:val="24"/>
                <w:szCs w:val="24"/>
              </w:rPr>
              <w:t xml:space="preserve"> (активи на стойност под прага на същественост)</w:t>
            </w:r>
            <w:r w:rsidR="00130BC3" w:rsidRPr="005D2910">
              <w:rPr>
                <w:rFonts w:ascii="Times New Roman" w:hAnsi="Times New Roman" w:cs="Times New Roman"/>
                <w:sz w:val="24"/>
                <w:szCs w:val="24"/>
              </w:rPr>
              <w:t>.</w:t>
            </w:r>
          </w:p>
          <w:p w14:paraId="1FFC18A5" w14:textId="171E2F46"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10.</w:t>
            </w:r>
            <w:r w:rsidR="00130BC3" w:rsidRPr="005D2910">
              <w:rPr>
                <w:rFonts w:ascii="Times New Roman" w:hAnsi="Times New Roman" w:cs="Times New Roman"/>
                <w:sz w:val="24"/>
                <w:szCs w:val="24"/>
              </w:rPr>
              <w:t xml:space="preserve"> Разходи за гориво (за служебен транспорт на организацията - бенефициент за изпълнение на дейности по проекта).</w:t>
            </w:r>
            <w:r w:rsidR="00130BC3" w:rsidRPr="005D2910">
              <w:rPr>
                <w:rFonts w:ascii="Times New Roman" w:hAnsi="Times New Roman" w:cs="Times New Roman"/>
                <w:sz w:val="24"/>
                <w:szCs w:val="24"/>
              </w:rPr>
              <w:cr/>
            </w:r>
          </w:p>
          <w:p w14:paraId="254A3B99" w14:textId="77627411"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I</w:t>
            </w:r>
            <w:r w:rsidR="0082690B">
              <w:rPr>
                <w:rFonts w:ascii="Times New Roman" w:hAnsi="Times New Roman" w:cs="Times New Roman"/>
                <w:sz w:val="24"/>
                <w:szCs w:val="24"/>
                <w:lang w:val="en-US"/>
              </w:rPr>
              <w:t>V</w:t>
            </w:r>
            <w:r w:rsidRPr="005D2910">
              <w:rPr>
                <w:rFonts w:ascii="Times New Roman" w:hAnsi="Times New Roman" w:cs="Times New Roman"/>
                <w:sz w:val="24"/>
                <w:szCs w:val="24"/>
              </w:rPr>
              <w:t>. РАЗХОДИ ЗА УСЛУГИ</w:t>
            </w:r>
          </w:p>
          <w:p w14:paraId="2BDD2544" w14:textId="3E3789AB"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w:t>
            </w:r>
            <w:r w:rsidR="001007E3">
              <w:rPr>
                <w:rFonts w:ascii="Times New Roman" w:hAnsi="Times New Roman" w:cs="Times New Roman"/>
                <w:sz w:val="24"/>
                <w:szCs w:val="24"/>
              </w:rPr>
              <w:t>1</w:t>
            </w:r>
            <w:r w:rsidRPr="005D2910">
              <w:rPr>
                <w:rFonts w:ascii="Times New Roman" w:hAnsi="Times New Roman" w:cs="Times New Roman"/>
                <w:sz w:val="24"/>
                <w:szCs w:val="24"/>
              </w:rPr>
              <w:t>. Разходи за организиран транспорт при изпълнение на дейностите по проекта, където е приложимо.</w:t>
            </w:r>
          </w:p>
          <w:p w14:paraId="5DEB5C85" w14:textId="52146C17" w:rsidR="00130BC3" w:rsidRPr="00E160F5"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2. Режийни разходи</w:t>
            </w:r>
            <w:r w:rsidR="00130BC3" w:rsidRPr="00E160F5">
              <w:rPr>
                <w:rFonts w:ascii="Times New Roman" w:hAnsi="Times New Roman" w:cs="Times New Roman"/>
                <w:sz w:val="24"/>
                <w:szCs w:val="24"/>
              </w:rPr>
              <w:t xml:space="preserve"> за помещенията, в които ще се изпълняват дейности по проекта</w:t>
            </w:r>
          </w:p>
          <w:p w14:paraId="31ADD1EE" w14:textId="77777777" w:rsidR="00A4522B" w:rsidRDefault="00130BC3" w:rsidP="00622456">
            <w:pPr>
              <w:pStyle w:val="af2"/>
              <w:spacing w:line="360" w:lineRule="auto"/>
              <w:rPr>
                <w:rFonts w:ascii="Times New Roman" w:hAnsi="Times New Roman" w:cs="Times New Roman"/>
                <w:sz w:val="24"/>
                <w:szCs w:val="24"/>
              </w:rPr>
            </w:pPr>
            <w:r w:rsidRPr="00E160F5">
              <w:rPr>
                <w:rFonts w:ascii="Times New Roman" w:hAnsi="Times New Roman" w:cs="Times New Roman"/>
                <w:sz w:val="24"/>
                <w:szCs w:val="24"/>
              </w:rPr>
              <w:t>(разходи за електрически ток, студена вода, отопление, почистване и др.).</w:t>
            </w:r>
            <w:r w:rsidR="00A4522B">
              <w:rPr>
                <w:rFonts w:ascii="Times New Roman" w:hAnsi="Times New Roman" w:cs="Times New Roman"/>
                <w:sz w:val="24"/>
                <w:szCs w:val="24"/>
              </w:rPr>
              <w:t xml:space="preserve"> </w:t>
            </w:r>
          </w:p>
          <w:p w14:paraId="0255485D" w14:textId="77777777" w:rsidR="00A4522B" w:rsidRPr="00A4522B" w:rsidRDefault="00A4522B" w:rsidP="00622456">
            <w:pPr>
              <w:pStyle w:val="af2"/>
              <w:spacing w:line="360" w:lineRule="auto"/>
              <w:jc w:val="both"/>
            </w:pPr>
            <w:r w:rsidRPr="00EC7327">
              <w:rPr>
                <w:rFonts w:ascii="Times New Roman" w:hAnsi="Times New Roman" w:cs="Times New Roman"/>
                <w:sz w:val="24"/>
                <w:szCs w:val="24"/>
              </w:rPr>
              <w:t>При извършването на режийни разходи, измервателните уреди трябва да позволяват безспорно отнасяне на извършените разходи към определените помещения за дейности по проекта. Когато измервателните уреди отчитат потребление и за други помещения следва да бъде разработена методика за отделяне на разходите по проекта.</w:t>
            </w:r>
          </w:p>
          <w:p w14:paraId="7BC3ED46" w14:textId="01A0D60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3. Разходи за изграждане на образователна ИКТ среда (окабеляване на стаи/кабинети,</w:t>
            </w:r>
          </w:p>
          <w:p w14:paraId="2672895F"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свързаност на сървър с компютри в мрежа и др.) в училищата и детските градини.</w:t>
            </w:r>
          </w:p>
          <w:p w14:paraId="130CCD91" w14:textId="5A020215"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4. Разходи за застраховки за лицата от допустимите целеви групи, където е приложимо.</w:t>
            </w:r>
          </w:p>
          <w:p w14:paraId="6D36F529" w14:textId="2E433420"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w:t>
            </w:r>
            <w:r w:rsidR="00130BC3" w:rsidRPr="005D2910">
              <w:rPr>
                <w:rFonts w:ascii="Times New Roman" w:hAnsi="Times New Roman" w:cs="Times New Roman"/>
                <w:sz w:val="24"/>
                <w:szCs w:val="24"/>
              </w:rPr>
              <w:t>5. Разходи за хранене в детските градини и училищата</w:t>
            </w:r>
            <w:r w:rsidR="00FB4B2D" w:rsidRPr="005D2910">
              <w:rPr>
                <w:rFonts w:ascii="Times New Roman" w:hAnsi="Times New Roman" w:cs="Times New Roman"/>
                <w:sz w:val="24"/>
                <w:szCs w:val="24"/>
              </w:rPr>
              <w:t xml:space="preserve"> (</w:t>
            </w:r>
            <w:r w:rsidR="00FD1EFB" w:rsidRPr="005D2910">
              <w:rPr>
                <w:rFonts w:ascii="Times New Roman" w:hAnsi="Times New Roman" w:cs="Times New Roman"/>
                <w:sz w:val="24"/>
                <w:szCs w:val="24"/>
              </w:rPr>
              <w:t>н</w:t>
            </w:r>
            <w:r w:rsidR="00D41CF1" w:rsidRPr="005D2910">
              <w:rPr>
                <w:rFonts w:ascii="Times New Roman" w:hAnsi="Times New Roman" w:cs="Times New Roman"/>
                <w:sz w:val="24"/>
                <w:szCs w:val="24"/>
              </w:rPr>
              <w:t xml:space="preserve">апример: </w:t>
            </w:r>
            <w:r w:rsidR="00FB4B2D" w:rsidRPr="005D2910">
              <w:rPr>
                <w:rFonts w:ascii="Times New Roman" w:hAnsi="Times New Roman" w:cs="Times New Roman"/>
                <w:sz w:val="24"/>
                <w:szCs w:val="24"/>
              </w:rPr>
              <w:t>суха храна/пакет за занимания</w:t>
            </w:r>
            <w:r w:rsidR="00D41CF1" w:rsidRPr="005D2910">
              <w:rPr>
                <w:rFonts w:ascii="Times New Roman" w:hAnsi="Times New Roman" w:cs="Times New Roman"/>
                <w:sz w:val="24"/>
                <w:szCs w:val="24"/>
              </w:rPr>
              <w:t>, свър</w:t>
            </w:r>
            <w:r w:rsidR="00D41CF1" w:rsidRPr="00FD1EFB">
              <w:rPr>
                <w:rFonts w:ascii="Times New Roman" w:hAnsi="Times New Roman" w:cs="Times New Roman"/>
                <w:sz w:val="24"/>
                <w:szCs w:val="24"/>
              </w:rPr>
              <w:t>зани с дейности в изпълнение на проекта</w:t>
            </w:r>
            <w:r w:rsidR="00FB4B2D" w:rsidRPr="00FD1EFB">
              <w:rPr>
                <w:rFonts w:ascii="Times New Roman" w:hAnsi="Times New Roman" w:cs="Times New Roman"/>
                <w:sz w:val="24"/>
                <w:szCs w:val="24"/>
              </w:rPr>
              <w:t>)</w:t>
            </w:r>
            <w:r w:rsidR="00130BC3" w:rsidRPr="00FD1EFB">
              <w:rPr>
                <w:rFonts w:ascii="Times New Roman" w:hAnsi="Times New Roman" w:cs="Times New Roman"/>
                <w:sz w:val="24"/>
                <w:szCs w:val="24"/>
              </w:rPr>
              <w:t>.</w:t>
            </w:r>
          </w:p>
          <w:p w14:paraId="3AC5D3FC" w14:textId="77777777" w:rsidR="004357A7" w:rsidRDefault="004357A7" w:rsidP="00622456">
            <w:pPr>
              <w:spacing w:after="120"/>
              <w:jc w:val="both"/>
              <w:rPr>
                <w:rFonts w:ascii="Times New Roman" w:hAnsi="Times New Roman" w:cs="Times New Roman"/>
                <w:sz w:val="24"/>
                <w:szCs w:val="24"/>
              </w:rPr>
            </w:pPr>
          </w:p>
          <w:p w14:paraId="1EBCAD3A" w14:textId="484DCF58"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V. РАЗХОДИ ЗА ПРОВЕЖДАНЕ И УЧАСТИЕ В МЕРОПРИЯТИЯ</w:t>
            </w:r>
          </w:p>
          <w:p w14:paraId="474E524D" w14:textId="48CF4773"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w:t>
            </w:r>
            <w:r w:rsidR="001007E3">
              <w:rPr>
                <w:rFonts w:ascii="Times New Roman" w:hAnsi="Times New Roman" w:cs="Times New Roman"/>
                <w:sz w:val="24"/>
                <w:szCs w:val="24"/>
              </w:rPr>
              <w:t>6</w:t>
            </w:r>
            <w:r w:rsidR="00130BC3" w:rsidRPr="005D2910">
              <w:rPr>
                <w:rFonts w:ascii="Times New Roman" w:hAnsi="Times New Roman" w:cs="Times New Roman"/>
                <w:sz w:val="24"/>
                <w:szCs w:val="24"/>
              </w:rPr>
              <w:t>. Разходи за организиране и провеждане на мероприятия за лицата от целевите групи.</w:t>
            </w:r>
          </w:p>
          <w:p w14:paraId="22B831B6" w14:textId="48FD3B51"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17</w:t>
            </w:r>
            <w:r w:rsidR="00A91E51" w:rsidRPr="005D2910">
              <w:rPr>
                <w:rFonts w:ascii="Times New Roman" w:hAnsi="Times New Roman" w:cs="Times New Roman"/>
                <w:sz w:val="24"/>
                <w:szCs w:val="24"/>
                <w:lang w:val="en-US"/>
              </w:rPr>
              <w:t>.</w:t>
            </w:r>
            <w:r w:rsidR="00130BC3" w:rsidRPr="005D2910">
              <w:rPr>
                <w:rFonts w:ascii="Times New Roman" w:hAnsi="Times New Roman" w:cs="Times New Roman"/>
                <w:sz w:val="24"/>
                <w:szCs w:val="24"/>
              </w:rPr>
              <w:t xml:space="preserve"> </w:t>
            </w:r>
            <w:r w:rsidR="00130BC3" w:rsidRPr="00E160F5">
              <w:rPr>
                <w:rFonts w:ascii="Times New Roman" w:hAnsi="Times New Roman" w:cs="Times New Roman"/>
                <w:sz w:val="24"/>
                <w:szCs w:val="24"/>
              </w:rPr>
              <w:t>Разходи за участие в мероприятия на лицата от целевите групи.</w:t>
            </w:r>
          </w:p>
          <w:p w14:paraId="0F57CF83" w14:textId="77777777" w:rsidR="00130BC3" w:rsidRDefault="00130BC3" w:rsidP="00622456">
            <w:pPr>
              <w:spacing w:after="120"/>
              <w:jc w:val="both"/>
              <w:rPr>
                <w:rFonts w:ascii="Times New Roman" w:hAnsi="Times New Roman" w:cs="Times New Roman"/>
                <w:sz w:val="24"/>
                <w:szCs w:val="24"/>
              </w:rPr>
            </w:pPr>
          </w:p>
          <w:p w14:paraId="58E6BE65" w14:textId="40B9798E" w:rsidR="005F254B" w:rsidRDefault="005F254B"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V</w:t>
            </w:r>
            <w:r w:rsidR="0082690B">
              <w:rPr>
                <w:rFonts w:ascii="Times New Roman" w:hAnsi="Times New Roman" w:cs="Times New Roman"/>
                <w:sz w:val="24"/>
                <w:szCs w:val="24"/>
                <w:lang w:val="en-US"/>
              </w:rPr>
              <w:t>I</w:t>
            </w:r>
            <w:r w:rsidRPr="005D2910">
              <w:rPr>
                <w:rFonts w:ascii="Times New Roman" w:hAnsi="Times New Roman" w:cs="Times New Roman"/>
                <w:sz w:val="24"/>
                <w:szCs w:val="24"/>
              </w:rPr>
              <w:t>.</w:t>
            </w:r>
            <w:r w:rsidRPr="00622456">
              <w:rPr>
                <w:rFonts w:ascii="Times New Roman" w:hAnsi="Times New Roman" w:cs="Times New Roman"/>
                <w:sz w:val="24"/>
                <w:szCs w:val="24"/>
              </w:rPr>
              <w:t xml:space="preserve"> НЕПРЕКИ РАЗХОДИ </w:t>
            </w:r>
          </w:p>
          <w:p w14:paraId="4F42AF36" w14:textId="103B5E12" w:rsidR="00611E87" w:rsidRPr="00193BBD" w:rsidRDefault="00193BBD" w:rsidP="00622456">
            <w:pPr>
              <w:spacing w:after="120"/>
              <w:jc w:val="both"/>
              <w:rPr>
                <w:rFonts w:ascii="Times New Roman" w:hAnsi="Times New Roman" w:cs="Times New Roman"/>
                <w:sz w:val="24"/>
                <w:szCs w:val="24"/>
              </w:rPr>
            </w:pPr>
            <w:r w:rsidRPr="00193BBD">
              <w:rPr>
                <w:rFonts w:ascii="Times New Roman" w:hAnsi="Times New Roman" w:cs="Times New Roman"/>
                <w:sz w:val="24"/>
                <w:szCs w:val="24"/>
              </w:rPr>
              <w:t>Непреките разходи включват разходите за организация и управление на проекта</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например разходи за възнаграждения за екипа за организация и управление на проекта, за командировки на екипа, за канцеларски материали и консумативи, режийни разходи за офис-електрически ток, вода, отопление и др., наем на офис</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 xml:space="preserve"> и разходи за информация и комуникация на проекта.</w:t>
            </w:r>
          </w:p>
          <w:p w14:paraId="6A1580E8" w14:textId="354AAB85" w:rsidR="0037471A" w:rsidRPr="003311B7" w:rsidRDefault="0037471A" w:rsidP="00622456">
            <w:pPr>
              <w:spacing w:after="120"/>
              <w:jc w:val="both"/>
              <w:rPr>
                <w:rFonts w:ascii="Times New Roman" w:eastAsia="Calibri" w:hAnsi="Times New Roman" w:cs="Times New Roman"/>
                <w:sz w:val="24"/>
                <w:szCs w:val="24"/>
              </w:rPr>
            </w:pPr>
            <w:r w:rsidRPr="0037471A">
              <w:rPr>
                <w:rFonts w:ascii="Times New Roman" w:eastAsia="Calibri" w:hAnsi="Times New Roman" w:cs="Times New Roman"/>
                <w:sz w:val="24"/>
                <w:szCs w:val="24"/>
              </w:rPr>
              <w:t>Изчисляват се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(1) буква (а</w:t>
            </w:r>
            <w:r w:rsidRPr="0077484F">
              <w:rPr>
                <w:rFonts w:ascii="Times New Roman" w:eastAsia="Calibri" w:hAnsi="Times New Roman" w:cs="Times New Roman"/>
                <w:sz w:val="24"/>
                <w:szCs w:val="24"/>
              </w:rPr>
              <w:t>) и (б) от Регламент</w:t>
            </w:r>
            <w:r w:rsidRPr="0037471A">
              <w:rPr>
                <w:rFonts w:ascii="Times New Roman" w:eastAsia="Calibri" w:hAnsi="Times New Roman" w:cs="Times New Roman"/>
                <w:sz w:val="24"/>
                <w:szCs w:val="24"/>
              </w:rPr>
              <w:t xml:space="preserve"> 1303/2013 г.</w:t>
            </w:r>
          </w:p>
          <w:p w14:paraId="6E6AC193" w14:textId="55601277" w:rsidR="0037471A" w:rsidRDefault="0037471A" w:rsidP="00C37CE9">
            <w:pPr>
              <w:pStyle w:val="a3"/>
              <w:numPr>
                <w:ilvl w:val="0"/>
                <w:numId w:val="13"/>
              </w:numPr>
              <w:rPr>
                <w:rFonts w:ascii="Times New Roman" w:hAnsi="Times New Roman" w:cs="Times New Roman"/>
                <w:b/>
                <w:sz w:val="24"/>
                <w:szCs w:val="24"/>
                <w:u w:val="single"/>
              </w:rPr>
            </w:pPr>
            <w:r w:rsidRPr="002B1899">
              <w:rPr>
                <w:rFonts w:ascii="Times New Roman" w:hAnsi="Times New Roman" w:cs="Times New Roman"/>
                <w:sz w:val="24"/>
                <w:szCs w:val="24"/>
              </w:rPr>
              <w:t>За проекти с</w:t>
            </w:r>
            <w:r w:rsidRPr="002B1899">
              <w:rPr>
                <w:rFonts w:ascii="Times New Roman" w:hAnsi="Times New Roman" w:cs="Times New Roman"/>
                <w:b/>
                <w:sz w:val="24"/>
                <w:szCs w:val="24"/>
              </w:rPr>
              <w:t xml:space="preserve"> размер на БФП от 100 001 до 391 166 лв. БФП – единна ставка </w:t>
            </w:r>
            <w:r w:rsidR="002C7BB8" w:rsidRPr="002B1899">
              <w:rPr>
                <w:rFonts w:ascii="Times New Roman" w:hAnsi="Times New Roman" w:cs="Times New Roman"/>
                <w:b/>
                <w:sz w:val="24"/>
                <w:szCs w:val="24"/>
              </w:rPr>
              <w:t>до</w:t>
            </w:r>
            <w:r w:rsidRPr="002B1899">
              <w:rPr>
                <w:rFonts w:ascii="Times New Roman" w:hAnsi="Times New Roman" w:cs="Times New Roman"/>
                <w:b/>
                <w:sz w:val="24"/>
                <w:szCs w:val="24"/>
              </w:rPr>
              <w:t xml:space="preserve"> 12 % от </w:t>
            </w:r>
            <w:r w:rsidRPr="002B1899">
              <w:rPr>
                <w:rFonts w:ascii="Times New Roman" w:hAnsi="Times New Roman" w:cs="Times New Roman"/>
                <w:b/>
                <w:sz w:val="24"/>
                <w:szCs w:val="24"/>
                <w:u w:val="single"/>
              </w:rPr>
              <w:t>допустимите преки разходи за проекта</w:t>
            </w:r>
            <w:r w:rsidR="003311B7" w:rsidRPr="002B1899">
              <w:rPr>
                <w:rFonts w:ascii="Times New Roman" w:hAnsi="Times New Roman" w:cs="Times New Roman"/>
                <w:b/>
                <w:sz w:val="24"/>
                <w:szCs w:val="24"/>
                <w:u w:val="single"/>
              </w:rPr>
              <w:t>;</w:t>
            </w:r>
          </w:p>
          <w:p w14:paraId="61B13A6B" w14:textId="77777777" w:rsidR="00964E08" w:rsidRPr="002B1899" w:rsidRDefault="00964E08" w:rsidP="00964E08">
            <w:pPr>
              <w:pStyle w:val="a3"/>
              <w:rPr>
                <w:rFonts w:ascii="Times New Roman" w:hAnsi="Times New Roman" w:cs="Times New Roman"/>
                <w:b/>
                <w:sz w:val="24"/>
                <w:szCs w:val="24"/>
                <w:u w:val="single"/>
              </w:rPr>
            </w:pPr>
          </w:p>
          <w:p w14:paraId="12ADD5DB" w14:textId="4320BF9A" w:rsidR="00964E08" w:rsidRDefault="00964E08"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t>Допустимите преки разходи за персонал са разходите в б</w:t>
            </w:r>
            <w:r w:rsidR="001007E3">
              <w:rPr>
                <w:rFonts w:ascii="Times New Roman" w:hAnsi="Times New Roman" w:cs="Times New Roman"/>
                <w:sz w:val="24"/>
                <w:szCs w:val="24"/>
              </w:rPr>
              <w:t>юджетен раздел I, бюджетен ред 3</w:t>
            </w:r>
            <w:r w:rsidRPr="00964E08">
              <w:rPr>
                <w:rFonts w:ascii="Times New Roman" w:hAnsi="Times New Roman" w:cs="Times New Roman"/>
                <w:sz w:val="24"/>
                <w:szCs w:val="24"/>
              </w:rPr>
              <w:t>. Разходи за възнаграждения, както и осигурителните и здравноосигурителните вноски за сметка на осигурителя съгласно националното законодателство. Съгласно § 1, т. 8 от Допълнителната разпоредба на ПМС № 189/2016:</w:t>
            </w:r>
          </w:p>
          <w:p w14:paraId="27CC28A3" w14:textId="13C549D3" w:rsidR="00EC7327" w:rsidRPr="00964E08" w:rsidRDefault="00964E08" w:rsidP="00622456">
            <w:pPr>
              <w:spacing w:after="120"/>
              <w:jc w:val="both"/>
              <w:rPr>
                <w:rFonts w:ascii="Times New Roman" w:hAnsi="Times New Roman" w:cs="Times New Roman"/>
                <w:i/>
                <w:sz w:val="24"/>
                <w:szCs w:val="24"/>
              </w:rPr>
            </w:pPr>
            <w:r w:rsidRPr="00964E08">
              <w:rPr>
                <w:rFonts w:ascii="Times New Roman" w:hAnsi="Times New Roman" w:cs="Times New Roman"/>
                <w:sz w:val="24"/>
                <w:szCs w:val="24"/>
              </w:rPr>
              <w:t xml:space="preserve">  </w:t>
            </w:r>
            <w:r w:rsidRPr="00964E08">
              <w:rPr>
                <w:rFonts w:ascii="Times New Roman" w:hAnsi="Times New Roman" w:cs="Times New Roman"/>
                <w:i/>
                <w:sz w:val="24"/>
                <w:szCs w:val="24"/>
              </w:rPr>
              <w:t>"Разходи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23A309EE" w14:textId="70EDC55C" w:rsidR="00474A01" w:rsidRDefault="00474A01" w:rsidP="00622456">
            <w:pPr>
              <w:spacing w:after="120"/>
              <w:rPr>
                <w:rFonts w:ascii="Times New Roman" w:hAnsi="Times New Roman" w:cs="Times New Roman"/>
                <w:b/>
                <w:sz w:val="24"/>
                <w:szCs w:val="24"/>
              </w:rPr>
            </w:pPr>
            <w:r>
              <w:rPr>
                <w:rFonts w:ascii="Times New Roman" w:hAnsi="Times New Roman" w:cs="Times New Roman"/>
                <w:b/>
                <w:sz w:val="24"/>
                <w:szCs w:val="24"/>
              </w:rPr>
              <w:t>Д</w:t>
            </w:r>
            <w:r w:rsidRPr="00622456">
              <w:rPr>
                <w:rFonts w:ascii="Times New Roman" w:hAnsi="Times New Roman" w:cs="Times New Roman"/>
                <w:b/>
                <w:sz w:val="24"/>
                <w:szCs w:val="24"/>
              </w:rPr>
              <w:t>опустимите преки разходи за проектното предложение</w:t>
            </w:r>
            <w:r w:rsidRPr="00D53807" w:rsidDel="00474A01">
              <w:rPr>
                <w:rFonts w:ascii="Times New Roman" w:hAnsi="Times New Roman" w:cs="Times New Roman"/>
                <w:b/>
                <w:sz w:val="24"/>
                <w:szCs w:val="24"/>
              </w:rPr>
              <w:t xml:space="preserve"> </w:t>
            </w:r>
            <w:r w:rsidR="00D53CAA">
              <w:rPr>
                <w:rFonts w:ascii="Times New Roman" w:hAnsi="Times New Roman" w:cs="Times New Roman"/>
                <w:b/>
                <w:sz w:val="24"/>
                <w:szCs w:val="24"/>
              </w:rPr>
              <w:t xml:space="preserve">за проекти над 100 000 лева </w:t>
            </w:r>
            <w:r>
              <w:rPr>
                <w:rFonts w:ascii="Times New Roman" w:hAnsi="Times New Roman" w:cs="Times New Roman"/>
                <w:b/>
                <w:sz w:val="24"/>
                <w:szCs w:val="24"/>
              </w:rPr>
              <w:t xml:space="preserve">е </w:t>
            </w:r>
            <w:r w:rsidR="005F254B" w:rsidRPr="00D53807">
              <w:rPr>
                <w:rFonts w:ascii="Times New Roman" w:hAnsi="Times New Roman" w:cs="Times New Roman"/>
                <w:b/>
                <w:sz w:val="24"/>
                <w:szCs w:val="24"/>
              </w:rPr>
              <w:t>сумат</w:t>
            </w:r>
            <w:r w:rsidR="000205F0">
              <w:rPr>
                <w:rFonts w:ascii="Times New Roman" w:hAnsi="Times New Roman" w:cs="Times New Roman"/>
                <w:b/>
                <w:sz w:val="24"/>
                <w:szCs w:val="24"/>
              </w:rPr>
              <w:t xml:space="preserve">а от бюджетни раздели от I, </w:t>
            </w:r>
            <w:r w:rsidR="000205F0">
              <w:rPr>
                <w:rFonts w:ascii="Times New Roman" w:hAnsi="Times New Roman" w:cs="Times New Roman"/>
                <w:b/>
                <w:sz w:val="24"/>
                <w:szCs w:val="24"/>
                <w:lang w:val="en-US"/>
              </w:rPr>
              <w:t>III</w:t>
            </w:r>
            <w:r w:rsidR="00D53CAA">
              <w:rPr>
                <w:rFonts w:ascii="Times New Roman" w:hAnsi="Times New Roman" w:cs="Times New Roman"/>
                <w:b/>
                <w:sz w:val="24"/>
                <w:szCs w:val="24"/>
              </w:rPr>
              <w:t xml:space="preserve">, </w:t>
            </w:r>
            <w:r w:rsidR="00D53CAA">
              <w:rPr>
                <w:rFonts w:ascii="Times New Roman" w:hAnsi="Times New Roman" w:cs="Times New Roman"/>
                <w:b/>
                <w:sz w:val="24"/>
                <w:szCs w:val="24"/>
                <w:lang w:val="en-US"/>
              </w:rPr>
              <w:t xml:space="preserve">IV </w:t>
            </w:r>
            <w:r w:rsidR="000205F0">
              <w:rPr>
                <w:rFonts w:ascii="Times New Roman" w:hAnsi="Times New Roman" w:cs="Times New Roman"/>
                <w:b/>
                <w:sz w:val="24"/>
                <w:szCs w:val="24"/>
              </w:rPr>
              <w:t>и</w:t>
            </w:r>
            <w:r w:rsidR="000205F0">
              <w:rPr>
                <w:rFonts w:ascii="Times New Roman" w:hAnsi="Times New Roman" w:cs="Times New Roman"/>
                <w:b/>
                <w:sz w:val="24"/>
                <w:szCs w:val="24"/>
                <w:lang w:val="en-US"/>
              </w:rPr>
              <w:t xml:space="preserve"> V</w:t>
            </w:r>
            <w:r w:rsidR="005F254B" w:rsidRPr="00D53807">
              <w:rPr>
                <w:rFonts w:ascii="Times New Roman" w:hAnsi="Times New Roman" w:cs="Times New Roman"/>
                <w:b/>
                <w:sz w:val="24"/>
                <w:szCs w:val="24"/>
              </w:rPr>
              <w:t xml:space="preserve"> включително. </w:t>
            </w:r>
          </w:p>
          <w:p w14:paraId="415EC83A" w14:textId="70363EC0" w:rsidR="005F254B" w:rsidRPr="00D53807" w:rsidRDefault="005F254B" w:rsidP="00622456">
            <w:pPr>
              <w:spacing w:after="120"/>
              <w:jc w:val="both"/>
              <w:rPr>
                <w:rFonts w:ascii="Times New Roman" w:hAnsi="Times New Roman" w:cs="Times New Roman"/>
                <w:b/>
                <w:sz w:val="24"/>
                <w:szCs w:val="24"/>
              </w:rPr>
            </w:pPr>
            <w:r w:rsidRPr="00D53807">
              <w:rPr>
                <w:rFonts w:ascii="Times New Roman" w:hAnsi="Times New Roman" w:cs="Times New Roman"/>
                <w:b/>
                <w:sz w:val="24"/>
                <w:szCs w:val="24"/>
              </w:rPr>
              <w:t xml:space="preserve">Общата стойност на безвъзмездната финансова помощ включва планираните преки разходи плюс непреките разходи, определени </w:t>
            </w:r>
            <w:r w:rsidR="00474A01">
              <w:rPr>
                <w:rFonts w:ascii="Times New Roman" w:hAnsi="Times New Roman" w:cs="Times New Roman"/>
                <w:b/>
                <w:sz w:val="24"/>
                <w:szCs w:val="24"/>
              </w:rPr>
              <w:t>чрез прилагане на единна ставка</w:t>
            </w:r>
            <w:r w:rsidRPr="00D53807">
              <w:rPr>
                <w:rFonts w:ascii="Times New Roman" w:hAnsi="Times New Roman" w:cs="Times New Roman"/>
                <w:b/>
                <w:sz w:val="24"/>
                <w:szCs w:val="24"/>
              </w:rPr>
              <w:t xml:space="preserve">. </w:t>
            </w:r>
          </w:p>
          <w:p w14:paraId="34EC6451" w14:textId="72BECEFA" w:rsidR="00DE7C76" w:rsidRPr="0067595B" w:rsidRDefault="00D53807" w:rsidP="00622456">
            <w:pPr>
              <w:spacing w:after="120"/>
              <w:jc w:val="both"/>
              <w:rPr>
                <w:rFonts w:ascii="Times New Roman" w:hAnsi="Times New Roman" w:cs="Times New Roman"/>
                <w:sz w:val="24"/>
                <w:szCs w:val="24"/>
                <w:lang w:val="en-US"/>
              </w:rPr>
            </w:pPr>
            <w:r w:rsidRPr="00622456">
              <w:rPr>
                <w:rFonts w:ascii="Times New Roman" w:hAnsi="Times New Roman" w:cs="Times New Roman"/>
                <w:sz w:val="24"/>
                <w:szCs w:val="24"/>
              </w:rPr>
              <w:t xml:space="preserve">За преките допустими разходи по раздел </w:t>
            </w:r>
            <w:r w:rsidRPr="00622456">
              <w:rPr>
                <w:rFonts w:ascii="Times New Roman" w:hAnsi="Times New Roman" w:cs="Times New Roman"/>
                <w:sz w:val="24"/>
                <w:szCs w:val="24"/>
                <w:lang w:val="en-US"/>
              </w:rPr>
              <w:t>I</w:t>
            </w:r>
            <w:r w:rsidR="00474A01" w:rsidRPr="00622456">
              <w:rPr>
                <w:rFonts w:ascii="Times New Roman" w:hAnsi="Times New Roman" w:cs="Times New Roman"/>
                <w:sz w:val="24"/>
                <w:szCs w:val="24"/>
              </w:rPr>
              <w:t xml:space="preserve">, </w:t>
            </w:r>
            <w:r w:rsidR="000205F0">
              <w:rPr>
                <w:rFonts w:ascii="Times New Roman" w:hAnsi="Times New Roman" w:cs="Times New Roman"/>
                <w:sz w:val="24"/>
                <w:szCs w:val="24"/>
              </w:rPr>
              <w:t>т.3</w:t>
            </w:r>
            <w:r w:rsidR="00474A01" w:rsidRPr="00622456">
              <w:rPr>
                <w:rFonts w:ascii="Times New Roman" w:hAnsi="Times New Roman" w:cs="Times New Roman"/>
                <w:sz w:val="24"/>
                <w:szCs w:val="24"/>
              </w:rPr>
              <w:t>.</w:t>
            </w:r>
            <w:r w:rsidRPr="00622456">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r w:rsidR="00474A01" w:rsidRPr="00622456">
              <w:rPr>
                <w:rFonts w:ascii="Times New Roman" w:hAnsi="Times New Roman" w:cs="Times New Roman"/>
                <w:sz w:val="24"/>
                <w:szCs w:val="24"/>
              </w:rPr>
              <w:t>,</w:t>
            </w:r>
            <w:r w:rsidRPr="00E542A9">
              <w:rPr>
                <w:rFonts w:ascii="Times New Roman" w:hAnsi="Times New Roman" w:cs="Times New Roman"/>
                <w:sz w:val="24"/>
                <w:szCs w:val="24"/>
              </w:rPr>
              <w:t xml:space="preserve"> </w:t>
            </w:r>
            <w:r w:rsidRPr="00622456">
              <w:rPr>
                <w:rFonts w:ascii="Times New Roman" w:hAnsi="Times New Roman" w:cs="Times New Roman"/>
                <w:sz w:val="24"/>
                <w:szCs w:val="24"/>
              </w:rPr>
              <w:t xml:space="preserve">се прилага </w:t>
            </w:r>
            <w:r w:rsidR="00840358" w:rsidRPr="005D1BF7">
              <w:rPr>
                <w:rFonts w:ascii="Times New Roman" w:hAnsi="Times New Roman" w:cs="Times New Roman"/>
                <w:b/>
                <w:sz w:val="24"/>
                <w:szCs w:val="24"/>
              </w:rPr>
              <w:t>Стандартна</w:t>
            </w:r>
            <w:r w:rsidR="00474A01" w:rsidRPr="005D1BF7">
              <w:rPr>
                <w:rFonts w:ascii="Times New Roman" w:hAnsi="Times New Roman" w:cs="Times New Roman"/>
                <w:b/>
                <w:sz w:val="24"/>
                <w:szCs w:val="24"/>
              </w:rPr>
              <w:t>та</w:t>
            </w:r>
            <w:r w:rsidR="00840358" w:rsidRPr="005D1BF7">
              <w:rPr>
                <w:rFonts w:ascii="Times New Roman" w:hAnsi="Times New Roman" w:cs="Times New Roman"/>
                <w:b/>
                <w:sz w:val="24"/>
                <w:szCs w:val="24"/>
              </w:rPr>
              <w:t xml:space="preserve"> таблица за допустимия размер на почасовото възнаграждение на лицата</w:t>
            </w:r>
            <w:r w:rsidR="00840358" w:rsidRPr="00622456">
              <w:rPr>
                <w:rFonts w:ascii="Times New Roman" w:hAnsi="Times New Roman" w:cs="Times New Roman"/>
                <w:sz w:val="24"/>
                <w:szCs w:val="24"/>
              </w:rPr>
              <w:t xml:space="preserve">,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w:t>
            </w:r>
            <w:r w:rsidR="00840358" w:rsidRPr="0067595B">
              <w:rPr>
                <w:rFonts w:ascii="Times New Roman" w:hAnsi="Times New Roman" w:cs="Times New Roman"/>
                <w:sz w:val="24"/>
                <w:szCs w:val="24"/>
              </w:rPr>
              <w:t>интелигентен растеж“</w:t>
            </w:r>
            <w:r w:rsidR="00840358" w:rsidRPr="0067595B">
              <w:rPr>
                <w:rFonts w:ascii="Times New Roman" w:hAnsi="Times New Roman" w:cs="Times New Roman"/>
                <w:b/>
                <w:sz w:val="24"/>
                <w:szCs w:val="24"/>
              </w:rPr>
              <w:t xml:space="preserve"> </w:t>
            </w:r>
            <w:r w:rsidR="00536CA6" w:rsidRPr="0067595B">
              <w:rPr>
                <w:rFonts w:ascii="Times New Roman" w:hAnsi="Times New Roman" w:cs="Times New Roman"/>
                <w:sz w:val="24"/>
                <w:szCs w:val="24"/>
              </w:rPr>
              <w:t>2014-2020 г.</w:t>
            </w:r>
            <w:r w:rsidR="00536CA6" w:rsidRPr="0067595B">
              <w:rPr>
                <w:rFonts w:ascii="Times New Roman" w:hAnsi="Times New Roman" w:cs="Times New Roman"/>
                <w:b/>
                <w:sz w:val="24"/>
                <w:szCs w:val="24"/>
              </w:rPr>
              <w:t xml:space="preserve"> </w:t>
            </w:r>
            <w:r w:rsidR="00840358" w:rsidRPr="0067595B">
              <w:rPr>
                <w:rFonts w:ascii="Times New Roman" w:hAnsi="Times New Roman" w:cs="Times New Roman"/>
                <w:i/>
                <w:sz w:val="24"/>
                <w:szCs w:val="24"/>
              </w:rPr>
              <w:t>(актуализирани стойности, приложими за периода след 01.09.2018 г.)</w:t>
            </w:r>
            <w:r w:rsidR="00840358" w:rsidRPr="0067595B">
              <w:rPr>
                <w:rFonts w:ascii="Times New Roman" w:hAnsi="Times New Roman" w:cs="Times New Roman"/>
                <w:sz w:val="24"/>
                <w:szCs w:val="24"/>
              </w:rPr>
              <w:t xml:space="preserve"> – Приложение </w:t>
            </w:r>
            <w:r w:rsidR="009718AF" w:rsidRPr="0067595B">
              <w:rPr>
                <w:rFonts w:ascii="Times New Roman" w:hAnsi="Times New Roman" w:cs="Times New Roman"/>
                <w:sz w:val="24"/>
                <w:szCs w:val="24"/>
                <w:lang w:val="en-US"/>
              </w:rPr>
              <w:t xml:space="preserve">XIII. </w:t>
            </w:r>
          </w:p>
          <w:p w14:paraId="34056B63" w14:textId="4D590C41" w:rsidR="00840358" w:rsidRDefault="000205F0" w:rsidP="00622456">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Позициите за тази</w:t>
            </w:r>
            <w:r w:rsidR="00767526" w:rsidRPr="0067595B">
              <w:rPr>
                <w:rFonts w:ascii="Times New Roman" w:hAnsi="Times New Roman" w:cs="Times New Roman"/>
                <w:b/>
                <w:sz w:val="24"/>
                <w:szCs w:val="24"/>
              </w:rPr>
              <w:t xml:space="preserve"> процедура следва да са съобразени с планираните </w:t>
            </w:r>
            <w:r w:rsidR="00767526" w:rsidRPr="0030327A">
              <w:rPr>
                <w:rFonts w:ascii="Times New Roman" w:hAnsi="Times New Roman" w:cs="Times New Roman"/>
                <w:b/>
                <w:sz w:val="24"/>
                <w:szCs w:val="24"/>
              </w:rPr>
              <w:t>дейности и обосновани в проектното предложение</w:t>
            </w:r>
            <w:r w:rsidR="00767526">
              <w:rPr>
                <w:rFonts w:ascii="Times New Roman" w:hAnsi="Times New Roman" w:cs="Times New Roman"/>
                <w:sz w:val="24"/>
                <w:szCs w:val="24"/>
              </w:rPr>
              <w:t>.</w:t>
            </w:r>
          </w:p>
          <w:p w14:paraId="0D51F930" w14:textId="77777777" w:rsidR="00840358" w:rsidRPr="00840358" w:rsidRDefault="00840358" w:rsidP="00622456">
            <w:pPr>
              <w:spacing w:after="120"/>
              <w:jc w:val="both"/>
              <w:rPr>
                <w:rFonts w:ascii="Times New Roman" w:hAnsi="Times New Roman" w:cs="Times New Roman"/>
                <w:sz w:val="24"/>
                <w:szCs w:val="24"/>
              </w:rPr>
            </w:pPr>
          </w:p>
          <w:tbl>
            <w:tblPr>
              <w:tblW w:w="9087" w:type="dxa"/>
              <w:tblInd w:w="93" w:type="dxa"/>
              <w:tblLook w:val="04A0" w:firstRow="1" w:lastRow="0" w:firstColumn="1" w:lastColumn="0" w:noHBand="0" w:noVBand="1"/>
            </w:tblPr>
            <w:tblGrid>
              <w:gridCol w:w="582"/>
              <w:gridCol w:w="1985"/>
              <w:gridCol w:w="4961"/>
              <w:gridCol w:w="1559"/>
            </w:tblGrid>
            <w:tr w:rsidR="00840358" w:rsidRPr="0053269F" w14:paraId="161644C2" w14:textId="77777777" w:rsidTr="000634C1">
              <w:trPr>
                <w:trHeight w:val="536"/>
                <w:tblHeader/>
              </w:trPr>
              <w:tc>
                <w:tcPr>
                  <w:tcW w:w="582" w:type="dxa"/>
                  <w:tcBorders>
                    <w:top w:val="single" w:sz="12" w:space="0" w:color="auto"/>
                    <w:left w:val="single" w:sz="4" w:space="0" w:color="auto"/>
                    <w:bottom w:val="single" w:sz="12" w:space="0" w:color="auto"/>
                    <w:right w:val="single" w:sz="8" w:space="0" w:color="auto"/>
                  </w:tcBorders>
                  <w:shd w:val="clear" w:color="auto" w:fill="auto"/>
                  <w:hideMark/>
                </w:tcPr>
                <w:p w14:paraId="226377F7"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w:t>
                  </w:r>
                </w:p>
              </w:tc>
              <w:tc>
                <w:tcPr>
                  <w:tcW w:w="1985" w:type="dxa"/>
                  <w:tcBorders>
                    <w:top w:val="single" w:sz="12" w:space="0" w:color="auto"/>
                    <w:left w:val="nil"/>
                    <w:bottom w:val="single" w:sz="12" w:space="0" w:color="auto"/>
                    <w:right w:val="single" w:sz="8" w:space="0" w:color="auto"/>
                  </w:tcBorders>
                  <w:shd w:val="clear" w:color="auto" w:fill="auto"/>
                  <w:hideMark/>
                </w:tcPr>
                <w:p w14:paraId="5CFE004B"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Необходима експертиза</w:t>
                  </w:r>
                </w:p>
              </w:tc>
              <w:tc>
                <w:tcPr>
                  <w:tcW w:w="4961" w:type="dxa"/>
                  <w:tcBorders>
                    <w:top w:val="single" w:sz="12" w:space="0" w:color="auto"/>
                    <w:left w:val="nil"/>
                    <w:bottom w:val="single" w:sz="12" w:space="0" w:color="auto"/>
                    <w:right w:val="single" w:sz="8" w:space="0" w:color="auto"/>
                  </w:tcBorders>
                  <w:shd w:val="clear" w:color="auto" w:fill="auto"/>
                  <w:hideMark/>
                </w:tcPr>
                <w:p w14:paraId="175E149E" w14:textId="77777777" w:rsidR="00840358" w:rsidRPr="002F3304" w:rsidRDefault="00840358" w:rsidP="00622456">
                  <w:pPr>
                    <w:spacing w:after="120" w:line="240" w:lineRule="auto"/>
                    <w:rPr>
                      <w:rFonts w:ascii="Times New Roman" w:hAnsi="Times New Roman"/>
                      <w:sz w:val="20"/>
                      <w:szCs w:val="20"/>
                    </w:rPr>
                  </w:pPr>
                  <w:r w:rsidRPr="002F3304">
                    <w:rPr>
                      <w:rFonts w:ascii="Times New Roman" w:eastAsia="Times New Roman" w:hAnsi="Times New Roman"/>
                      <w:b/>
                      <w:bCs/>
                      <w:color w:val="000000"/>
                      <w:sz w:val="20"/>
                      <w:szCs w:val="20"/>
                    </w:rPr>
                    <w:t>Вид експерт</w:t>
                  </w:r>
                </w:p>
              </w:tc>
              <w:tc>
                <w:tcPr>
                  <w:tcW w:w="1559" w:type="dxa"/>
                  <w:tcBorders>
                    <w:top w:val="single" w:sz="12" w:space="0" w:color="auto"/>
                    <w:left w:val="nil"/>
                    <w:bottom w:val="single" w:sz="12" w:space="0" w:color="auto"/>
                    <w:right w:val="single" w:sz="8" w:space="0" w:color="auto"/>
                  </w:tcBorders>
                  <w:shd w:val="clear" w:color="auto" w:fill="auto"/>
                  <w:hideMark/>
                </w:tcPr>
                <w:p w14:paraId="0F499CEF" w14:textId="77777777" w:rsidR="00840358" w:rsidRPr="002F3304" w:rsidRDefault="00840358" w:rsidP="00622456">
                  <w:pPr>
                    <w:spacing w:after="120" w:line="240" w:lineRule="auto"/>
                    <w:jc w:val="center"/>
                    <w:rPr>
                      <w:rFonts w:ascii="Times New Roman" w:hAnsi="Times New Roman"/>
                      <w:sz w:val="20"/>
                      <w:szCs w:val="20"/>
                    </w:rPr>
                  </w:pPr>
                  <w:r w:rsidRPr="002F3304">
                    <w:rPr>
                      <w:rFonts w:ascii="Times New Roman" w:eastAsia="Times New Roman" w:hAnsi="Times New Roman"/>
                      <w:b/>
                      <w:bCs/>
                      <w:color w:val="000000"/>
                      <w:sz w:val="20"/>
                      <w:szCs w:val="20"/>
                    </w:rPr>
                    <w:t>Часова ставка в лева</w:t>
                  </w:r>
                  <w:r w:rsidRPr="002F3304">
                    <w:rPr>
                      <w:rFonts w:ascii="Times New Roman" w:eastAsia="Times New Roman" w:hAnsi="Times New Roman"/>
                      <w:color w:val="000000"/>
                      <w:sz w:val="20"/>
                      <w:szCs w:val="20"/>
                      <w:vertAlign w:val="superscript"/>
                    </w:rPr>
                    <w:footnoteReference w:id="2"/>
                  </w:r>
                </w:p>
              </w:tc>
            </w:tr>
            <w:tr w:rsidR="00840358" w:rsidRPr="0053269F" w14:paraId="0E4F6588" w14:textId="77777777" w:rsidTr="000634C1">
              <w:trPr>
                <w:trHeight w:val="47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F588856" w14:textId="77777777" w:rsidR="00840358" w:rsidRPr="00C85C7B" w:rsidRDefault="00840358" w:rsidP="00622456">
                  <w:pPr>
                    <w:spacing w:after="120" w:line="240" w:lineRule="auto"/>
                    <w:rPr>
                      <w:rFonts w:ascii="Times New Roman" w:eastAsia="Times New Roman" w:hAnsi="Times New Roman"/>
                      <w:b/>
                      <w:bCs/>
                      <w:color w:val="000000"/>
                      <w:sz w:val="20"/>
                      <w:szCs w:val="20"/>
                      <w:lang w:val="en-US"/>
                    </w:rPr>
                  </w:pPr>
                  <w:r w:rsidRPr="002F3304">
                    <w:rPr>
                      <w:rFonts w:ascii="Times New Roman" w:eastAsia="Times New Roman" w:hAnsi="Times New Roman"/>
                      <w:b/>
                      <w:bCs/>
                      <w:color w:val="000000"/>
                      <w:sz w:val="20"/>
                      <w:szCs w:val="20"/>
                      <w:lang w:val="en-US"/>
                    </w:rPr>
                    <w:t>1</w:t>
                  </w:r>
                  <w:r w:rsidRPr="002F3304">
                    <w:rPr>
                      <w:rFonts w:ascii="Times New Roman" w:eastAsia="Times New Roman" w:hAnsi="Times New Roman"/>
                      <w:b/>
                      <w:bCs/>
                      <w:color w:val="000000"/>
                      <w:sz w:val="20"/>
                      <w:szCs w:val="20"/>
                    </w:rPr>
                    <w:t> </w:t>
                  </w:r>
                </w:p>
              </w:tc>
              <w:tc>
                <w:tcPr>
                  <w:tcW w:w="1985" w:type="dxa"/>
                  <w:vMerge w:val="restart"/>
                  <w:tcBorders>
                    <w:top w:val="single" w:sz="12" w:space="0" w:color="auto"/>
                    <w:left w:val="nil"/>
                    <w:right w:val="single" w:sz="8" w:space="0" w:color="auto"/>
                  </w:tcBorders>
                  <w:shd w:val="clear" w:color="auto" w:fill="auto"/>
                  <w:hideMark/>
                </w:tcPr>
                <w:p w14:paraId="32733E7C"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Преподавател/</w:t>
                  </w:r>
                  <w:r>
                    <w:rPr>
                      <w:rFonts w:ascii="Times New Roman" w:eastAsia="Times New Roman" w:hAnsi="Times New Roman"/>
                      <w:b/>
                      <w:bCs/>
                      <w:color w:val="000000"/>
                      <w:sz w:val="20"/>
                      <w:szCs w:val="20"/>
                    </w:rPr>
                    <w:t xml:space="preserve"> </w:t>
                  </w:r>
                  <w:r w:rsidRPr="002F3304">
                    <w:rPr>
                      <w:rFonts w:ascii="Times New Roman" w:eastAsia="Times New Roman" w:hAnsi="Times New Roman"/>
                      <w:b/>
                      <w:bCs/>
                      <w:color w:val="000000"/>
                      <w:sz w:val="20"/>
                      <w:szCs w:val="20"/>
                    </w:rPr>
                    <w:t>учител</w:t>
                  </w:r>
                </w:p>
              </w:tc>
              <w:tc>
                <w:tcPr>
                  <w:tcW w:w="4961" w:type="dxa"/>
                  <w:tcBorders>
                    <w:top w:val="single" w:sz="12" w:space="0" w:color="auto"/>
                    <w:left w:val="nil"/>
                    <w:bottom w:val="nil"/>
                    <w:right w:val="single" w:sz="8" w:space="0" w:color="auto"/>
                  </w:tcBorders>
                  <w:shd w:val="clear" w:color="auto" w:fill="auto"/>
                  <w:hideMark/>
                </w:tcPr>
                <w:p w14:paraId="0A30DC9D"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4" w:space="0" w:color="auto"/>
                  </w:tcBorders>
                  <w:shd w:val="clear" w:color="auto" w:fill="auto"/>
                  <w:vAlign w:val="center"/>
                  <w:hideMark/>
                </w:tcPr>
                <w:p w14:paraId="0F8C240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14</w:t>
                  </w:r>
                </w:p>
              </w:tc>
            </w:tr>
            <w:tr w:rsidR="00840358" w:rsidRPr="0053269F" w14:paraId="182F75F2" w14:textId="77777777" w:rsidTr="000634C1">
              <w:trPr>
                <w:trHeight w:val="526"/>
              </w:trPr>
              <w:tc>
                <w:tcPr>
                  <w:tcW w:w="582" w:type="dxa"/>
                  <w:vMerge/>
                  <w:tcBorders>
                    <w:top w:val="nil"/>
                    <w:left w:val="single" w:sz="12" w:space="0" w:color="auto"/>
                    <w:bottom w:val="single" w:sz="12" w:space="0" w:color="000000"/>
                    <w:right w:val="single" w:sz="8" w:space="0" w:color="auto"/>
                  </w:tcBorders>
                  <w:vAlign w:val="center"/>
                  <w:hideMark/>
                </w:tcPr>
                <w:p w14:paraId="16F6DA57"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1722FD78" w14:textId="77777777" w:rsidR="00840358" w:rsidRPr="002F3304" w:rsidRDefault="00840358" w:rsidP="0077484F">
                  <w:pPr>
                    <w:spacing w:after="120" w:line="240" w:lineRule="auto"/>
                    <w:jc w:val="both"/>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3462B179"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3F305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20</w:t>
                  </w:r>
                </w:p>
              </w:tc>
            </w:tr>
            <w:tr w:rsidR="00840358" w:rsidRPr="0053269F" w14:paraId="40430599" w14:textId="77777777" w:rsidTr="000634C1">
              <w:trPr>
                <w:trHeight w:val="391"/>
              </w:trPr>
              <w:tc>
                <w:tcPr>
                  <w:tcW w:w="582" w:type="dxa"/>
                  <w:vMerge/>
                  <w:tcBorders>
                    <w:top w:val="nil"/>
                    <w:left w:val="single" w:sz="12" w:space="0" w:color="auto"/>
                    <w:bottom w:val="single" w:sz="12" w:space="0" w:color="auto"/>
                    <w:right w:val="single" w:sz="8" w:space="0" w:color="auto"/>
                  </w:tcBorders>
                  <w:vAlign w:val="center"/>
                  <w:hideMark/>
                </w:tcPr>
                <w:p w14:paraId="6FCC78B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23EE57C"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11F68F1B"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4" w:space="0" w:color="auto"/>
                  </w:tcBorders>
                  <w:shd w:val="clear" w:color="auto" w:fill="auto"/>
                  <w:vAlign w:val="center"/>
                  <w:hideMark/>
                </w:tcPr>
                <w:p w14:paraId="3ADCB61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30</w:t>
                  </w:r>
                </w:p>
              </w:tc>
            </w:tr>
            <w:tr w:rsidR="00840358" w:rsidRPr="0053269F" w14:paraId="0D50C8FF" w14:textId="77777777" w:rsidTr="000634C1">
              <w:trPr>
                <w:trHeight w:val="525"/>
              </w:trPr>
              <w:tc>
                <w:tcPr>
                  <w:tcW w:w="582" w:type="dxa"/>
                  <w:vMerge w:val="restart"/>
                  <w:tcBorders>
                    <w:top w:val="single" w:sz="12" w:space="0" w:color="auto"/>
                    <w:left w:val="single" w:sz="12" w:space="0" w:color="auto"/>
                    <w:bottom w:val="single" w:sz="4" w:space="0" w:color="auto"/>
                    <w:right w:val="single" w:sz="4" w:space="0" w:color="auto"/>
                  </w:tcBorders>
                  <w:shd w:val="clear" w:color="auto" w:fill="auto"/>
                  <w:hideMark/>
                </w:tcPr>
                <w:p w14:paraId="663A859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2</w:t>
                  </w:r>
                </w:p>
              </w:tc>
              <w:tc>
                <w:tcPr>
                  <w:tcW w:w="1985" w:type="dxa"/>
                  <w:vMerge w:val="restart"/>
                  <w:tcBorders>
                    <w:top w:val="single" w:sz="12" w:space="0" w:color="auto"/>
                    <w:left w:val="single" w:sz="4" w:space="0" w:color="auto"/>
                    <w:right w:val="single" w:sz="8" w:space="0" w:color="auto"/>
                  </w:tcBorders>
                  <w:shd w:val="clear" w:color="auto" w:fill="auto"/>
                  <w:hideMark/>
                </w:tcPr>
                <w:p w14:paraId="6E24B95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Експерт образователни дейности</w:t>
                  </w:r>
                </w:p>
              </w:tc>
              <w:tc>
                <w:tcPr>
                  <w:tcW w:w="4961" w:type="dxa"/>
                  <w:tcBorders>
                    <w:top w:val="single" w:sz="12" w:space="0" w:color="auto"/>
                    <w:left w:val="nil"/>
                    <w:right w:val="single" w:sz="8" w:space="0" w:color="auto"/>
                  </w:tcBorders>
                  <w:shd w:val="clear" w:color="auto" w:fill="auto"/>
                  <w:hideMark/>
                </w:tcPr>
                <w:p w14:paraId="11E8231E"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right w:val="single" w:sz="8" w:space="0" w:color="auto"/>
                  </w:tcBorders>
                  <w:shd w:val="clear" w:color="auto" w:fill="auto"/>
                  <w:vAlign w:val="center"/>
                  <w:hideMark/>
                </w:tcPr>
                <w:p w14:paraId="1197F2F8"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15</w:t>
                  </w:r>
                </w:p>
              </w:tc>
            </w:tr>
            <w:tr w:rsidR="00840358" w:rsidRPr="0053269F" w14:paraId="1A86E665" w14:textId="77777777" w:rsidTr="000634C1">
              <w:trPr>
                <w:trHeight w:val="543"/>
              </w:trPr>
              <w:tc>
                <w:tcPr>
                  <w:tcW w:w="582" w:type="dxa"/>
                  <w:vMerge/>
                  <w:tcBorders>
                    <w:top w:val="nil"/>
                    <w:left w:val="single" w:sz="12" w:space="0" w:color="auto"/>
                    <w:bottom w:val="single" w:sz="4" w:space="0" w:color="auto"/>
                    <w:right w:val="single" w:sz="4" w:space="0" w:color="auto"/>
                  </w:tcBorders>
                  <w:vAlign w:val="center"/>
                  <w:hideMark/>
                </w:tcPr>
                <w:p w14:paraId="6F3B9B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right w:val="single" w:sz="8" w:space="0" w:color="auto"/>
                  </w:tcBorders>
                  <w:shd w:val="clear" w:color="auto" w:fill="auto"/>
                  <w:hideMark/>
                </w:tcPr>
                <w:p w14:paraId="5CBFE46E"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8AB254E" w14:textId="77777777" w:rsidR="00840358" w:rsidRPr="00E542A9"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8C2F6E7"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w:t>
                  </w:r>
                </w:p>
              </w:tc>
            </w:tr>
            <w:tr w:rsidR="00840358" w:rsidRPr="0053269F" w14:paraId="32742A7B" w14:textId="77777777" w:rsidTr="000634C1">
              <w:trPr>
                <w:trHeight w:val="540"/>
              </w:trPr>
              <w:tc>
                <w:tcPr>
                  <w:tcW w:w="582" w:type="dxa"/>
                  <w:vMerge/>
                  <w:tcBorders>
                    <w:top w:val="nil"/>
                    <w:left w:val="single" w:sz="12" w:space="0" w:color="auto"/>
                    <w:bottom w:val="single" w:sz="12" w:space="0" w:color="auto"/>
                    <w:right w:val="single" w:sz="4" w:space="0" w:color="auto"/>
                  </w:tcBorders>
                  <w:vAlign w:val="center"/>
                  <w:hideMark/>
                </w:tcPr>
                <w:p w14:paraId="4441687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bottom w:val="single" w:sz="12" w:space="0" w:color="auto"/>
                    <w:right w:val="single" w:sz="8" w:space="0" w:color="auto"/>
                  </w:tcBorders>
                  <w:shd w:val="clear" w:color="auto" w:fill="auto"/>
                  <w:hideMark/>
                </w:tcPr>
                <w:p w14:paraId="1C506FED"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54E28567" w14:textId="77777777" w:rsidR="00840358" w:rsidRPr="002F3304" w:rsidRDefault="00840358" w:rsidP="0077484F">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Старши експерт – следва да притежава</w:t>
                  </w:r>
                </w:p>
                <w:p w14:paraId="1124A400"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45B456D6"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34</w:t>
                  </w:r>
                </w:p>
              </w:tc>
            </w:tr>
            <w:tr w:rsidR="00840358" w:rsidRPr="0053269F" w14:paraId="5E8102E6" w14:textId="77777777" w:rsidTr="000634C1">
              <w:trPr>
                <w:trHeight w:val="535"/>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2D8E8940"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3</w:t>
                  </w:r>
                </w:p>
              </w:tc>
              <w:tc>
                <w:tcPr>
                  <w:tcW w:w="1985" w:type="dxa"/>
                  <w:vMerge w:val="restart"/>
                  <w:tcBorders>
                    <w:top w:val="single" w:sz="12" w:space="0" w:color="auto"/>
                    <w:left w:val="nil"/>
                    <w:right w:val="single" w:sz="8" w:space="0" w:color="auto"/>
                  </w:tcBorders>
                  <w:shd w:val="clear" w:color="auto" w:fill="auto"/>
                  <w:hideMark/>
                </w:tcPr>
                <w:p w14:paraId="50342A8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ИТ експерт</w:t>
                  </w:r>
                </w:p>
              </w:tc>
              <w:tc>
                <w:tcPr>
                  <w:tcW w:w="4961" w:type="dxa"/>
                  <w:tcBorders>
                    <w:top w:val="single" w:sz="12" w:space="0" w:color="auto"/>
                    <w:left w:val="nil"/>
                    <w:bottom w:val="single" w:sz="8" w:space="0" w:color="auto"/>
                    <w:right w:val="single" w:sz="8" w:space="0" w:color="auto"/>
                  </w:tcBorders>
                  <w:shd w:val="clear" w:color="auto" w:fill="auto"/>
                  <w:hideMark/>
                </w:tcPr>
                <w:p w14:paraId="7C5135F1"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528F4CC5"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240736EF" w14:textId="77777777" w:rsidTr="000634C1">
              <w:trPr>
                <w:trHeight w:val="543"/>
              </w:trPr>
              <w:tc>
                <w:tcPr>
                  <w:tcW w:w="582" w:type="dxa"/>
                  <w:vMerge/>
                  <w:tcBorders>
                    <w:top w:val="nil"/>
                    <w:left w:val="single" w:sz="12" w:space="0" w:color="auto"/>
                    <w:bottom w:val="single" w:sz="12" w:space="0" w:color="000000"/>
                    <w:right w:val="single" w:sz="8" w:space="0" w:color="auto"/>
                  </w:tcBorders>
                  <w:vAlign w:val="center"/>
                  <w:hideMark/>
                </w:tcPr>
                <w:p w14:paraId="16590986"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70CF1698"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53A2B8E8"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49C8781"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7BFCE51B" w14:textId="77777777" w:rsidTr="000634C1">
              <w:trPr>
                <w:trHeight w:val="537"/>
              </w:trPr>
              <w:tc>
                <w:tcPr>
                  <w:tcW w:w="582" w:type="dxa"/>
                  <w:vMerge/>
                  <w:tcBorders>
                    <w:top w:val="nil"/>
                    <w:left w:val="single" w:sz="12" w:space="0" w:color="auto"/>
                    <w:bottom w:val="single" w:sz="12" w:space="0" w:color="auto"/>
                    <w:right w:val="single" w:sz="8" w:space="0" w:color="auto"/>
                  </w:tcBorders>
                  <w:vAlign w:val="center"/>
                  <w:hideMark/>
                </w:tcPr>
                <w:p w14:paraId="43D324D9"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63971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34BA649D"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6DB2B5F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DC11C15" w14:textId="77777777" w:rsidTr="000634C1">
              <w:trPr>
                <w:trHeight w:val="527"/>
              </w:trPr>
              <w:tc>
                <w:tcPr>
                  <w:tcW w:w="582" w:type="dxa"/>
                  <w:vMerge w:val="restart"/>
                  <w:tcBorders>
                    <w:top w:val="single" w:sz="12" w:space="0" w:color="auto"/>
                    <w:left w:val="single" w:sz="12" w:space="0" w:color="auto"/>
                    <w:bottom w:val="single" w:sz="4" w:space="0" w:color="auto"/>
                    <w:right w:val="single" w:sz="8" w:space="0" w:color="auto"/>
                  </w:tcBorders>
                  <w:shd w:val="clear" w:color="auto" w:fill="auto"/>
                  <w:hideMark/>
                </w:tcPr>
                <w:p w14:paraId="2FEE252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4</w:t>
                  </w:r>
                </w:p>
              </w:tc>
              <w:tc>
                <w:tcPr>
                  <w:tcW w:w="1985" w:type="dxa"/>
                  <w:vMerge w:val="restart"/>
                  <w:tcBorders>
                    <w:top w:val="single" w:sz="12" w:space="0" w:color="auto"/>
                    <w:left w:val="nil"/>
                    <w:right w:val="single" w:sz="8" w:space="0" w:color="auto"/>
                  </w:tcBorders>
                  <w:shd w:val="clear" w:color="auto" w:fill="auto"/>
                  <w:hideMark/>
                </w:tcPr>
                <w:p w14:paraId="5E1556F6"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Икономист</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3B601DE"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8728E12"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BC810A9" w14:textId="77777777" w:rsidTr="000634C1">
              <w:trPr>
                <w:trHeight w:val="549"/>
              </w:trPr>
              <w:tc>
                <w:tcPr>
                  <w:tcW w:w="582" w:type="dxa"/>
                  <w:vMerge/>
                  <w:tcBorders>
                    <w:top w:val="single" w:sz="12" w:space="0" w:color="000000"/>
                    <w:left w:val="single" w:sz="12" w:space="0" w:color="auto"/>
                    <w:bottom w:val="single" w:sz="4" w:space="0" w:color="auto"/>
                    <w:right w:val="single" w:sz="8" w:space="0" w:color="auto"/>
                  </w:tcBorders>
                  <w:vAlign w:val="center"/>
                  <w:hideMark/>
                </w:tcPr>
                <w:p w14:paraId="045F3FC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1E693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0AB75E7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7AFBBE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69D0DD25" w14:textId="77777777" w:rsidTr="000634C1">
              <w:trPr>
                <w:trHeight w:val="543"/>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753426BE"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CBF30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7DC3B45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57EAE7F1"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27</w:t>
                  </w:r>
                </w:p>
              </w:tc>
            </w:tr>
            <w:tr w:rsidR="00840358" w:rsidRPr="0053269F" w14:paraId="3200B035" w14:textId="77777777" w:rsidTr="000634C1">
              <w:trPr>
                <w:trHeight w:val="537"/>
              </w:trPr>
              <w:tc>
                <w:tcPr>
                  <w:tcW w:w="582" w:type="dxa"/>
                  <w:vMerge w:val="restart"/>
                  <w:tcBorders>
                    <w:top w:val="single" w:sz="12" w:space="0" w:color="auto"/>
                    <w:left w:val="single" w:sz="12" w:space="0" w:color="auto"/>
                    <w:bottom w:val="outset" w:sz="6" w:space="0" w:color="auto"/>
                    <w:right w:val="single" w:sz="8" w:space="0" w:color="auto"/>
                  </w:tcBorders>
                  <w:shd w:val="clear" w:color="auto" w:fill="auto"/>
                  <w:hideMark/>
                </w:tcPr>
                <w:p w14:paraId="0CC0B10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5</w:t>
                  </w:r>
                </w:p>
              </w:tc>
              <w:tc>
                <w:tcPr>
                  <w:tcW w:w="1985" w:type="dxa"/>
                  <w:vMerge w:val="restart"/>
                  <w:tcBorders>
                    <w:top w:val="single" w:sz="12" w:space="0" w:color="auto"/>
                    <w:left w:val="nil"/>
                    <w:right w:val="single" w:sz="8" w:space="0" w:color="auto"/>
                  </w:tcBorders>
                  <w:shd w:val="clear" w:color="auto" w:fill="auto"/>
                  <w:hideMark/>
                </w:tcPr>
                <w:p w14:paraId="57552D0B"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Юрист</w:t>
                  </w:r>
                </w:p>
              </w:tc>
              <w:tc>
                <w:tcPr>
                  <w:tcW w:w="4961" w:type="dxa"/>
                  <w:tcBorders>
                    <w:top w:val="single" w:sz="12" w:space="0" w:color="auto"/>
                    <w:left w:val="nil"/>
                    <w:bottom w:val="single" w:sz="8" w:space="0" w:color="auto"/>
                    <w:right w:val="single" w:sz="8" w:space="0" w:color="auto"/>
                  </w:tcBorders>
                  <w:shd w:val="clear" w:color="auto" w:fill="auto"/>
                  <w:hideMark/>
                </w:tcPr>
                <w:p w14:paraId="79ADD95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1D787A8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01F0FE55" w14:textId="77777777" w:rsidTr="000634C1">
              <w:trPr>
                <w:trHeight w:val="541"/>
              </w:trPr>
              <w:tc>
                <w:tcPr>
                  <w:tcW w:w="582" w:type="dxa"/>
                  <w:vMerge/>
                  <w:tcBorders>
                    <w:top w:val="outset" w:sz="6" w:space="0" w:color="auto"/>
                    <w:left w:val="single" w:sz="12" w:space="0" w:color="auto"/>
                    <w:bottom w:val="outset" w:sz="6" w:space="0" w:color="auto"/>
                    <w:right w:val="single" w:sz="8" w:space="0" w:color="auto"/>
                  </w:tcBorders>
                  <w:vAlign w:val="center"/>
                  <w:hideMark/>
                </w:tcPr>
                <w:p w14:paraId="5F74B91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1BECBCE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416FFAB"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5B2D98"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37E5AFE" w14:textId="77777777" w:rsidTr="000634C1">
              <w:trPr>
                <w:trHeight w:val="549"/>
              </w:trPr>
              <w:tc>
                <w:tcPr>
                  <w:tcW w:w="582" w:type="dxa"/>
                  <w:vMerge/>
                  <w:tcBorders>
                    <w:top w:val="outset" w:sz="6" w:space="0" w:color="auto"/>
                    <w:left w:val="single" w:sz="12" w:space="0" w:color="auto"/>
                    <w:bottom w:val="single" w:sz="12" w:space="0" w:color="auto"/>
                    <w:right w:val="single" w:sz="8" w:space="0" w:color="auto"/>
                  </w:tcBorders>
                  <w:vAlign w:val="center"/>
                  <w:hideMark/>
                </w:tcPr>
                <w:p w14:paraId="1559BBC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tcBorders>
                    <w:top w:val="nil"/>
                    <w:left w:val="nil"/>
                    <w:bottom w:val="single" w:sz="12" w:space="0" w:color="auto"/>
                    <w:right w:val="single" w:sz="8" w:space="0" w:color="auto"/>
                  </w:tcBorders>
                  <w:shd w:val="clear" w:color="auto" w:fill="auto"/>
                  <w:hideMark/>
                </w:tcPr>
                <w:p w14:paraId="2E84896C" w14:textId="77777777" w:rsidR="00840358" w:rsidRPr="00C85C7B" w:rsidRDefault="00840358" w:rsidP="0077484F">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 </w:t>
                  </w:r>
                </w:p>
              </w:tc>
              <w:tc>
                <w:tcPr>
                  <w:tcW w:w="4961" w:type="dxa"/>
                  <w:tcBorders>
                    <w:top w:val="nil"/>
                    <w:left w:val="nil"/>
                    <w:bottom w:val="single" w:sz="12" w:space="0" w:color="auto"/>
                    <w:right w:val="single" w:sz="8" w:space="0" w:color="auto"/>
                  </w:tcBorders>
                  <w:shd w:val="clear" w:color="auto" w:fill="auto"/>
                  <w:hideMark/>
                </w:tcPr>
                <w:p w14:paraId="2D98C875"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8" w:space="0" w:color="auto"/>
                    <w:right w:val="single" w:sz="8" w:space="0" w:color="auto"/>
                  </w:tcBorders>
                  <w:shd w:val="clear" w:color="auto" w:fill="auto"/>
                  <w:vAlign w:val="center"/>
                  <w:hideMark/>
                </w:tcPr>
                <w:p w14:paraId="594EEA4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39</w:t>
                  </w:r>
                </w:p>
              </w:tc>
            </w:tr>
            <w:tr w:rsidR="00840358" w:rsidRPr="0053269F" w14:paraId="55FC28AD" w14:textId="77777777" w:rsidTr="000634C1">
              <w:trPr>
                <w:trHeight w:val="51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1759AC3"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6</w:t>
                  </w:r>
                </w:p>
              </w:tc>
              <w:tc>
                <w:tcPr>
                  <w:tcW w:w="1985" w:type="dxa"/>
                  <w:vMerge w:val="restart"/>
                  <w:tcBorders>
                    <w:top w:val="single" w:sz="12" w:space="0" w:color="auto"/>
                    <w:left w:val="nil"/>
                    <w:right w:val="single" w:sz="8" w:space="0" w:color="auto"/>
                  </w:tcBorders>
                  <w:shd w:val="clear" w:color="auto" w:fill="auto"/>
                  <w:hideMark/>
                </w:tcPr>
                <w:p w14:paraId="77BF1888"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Инженер</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91D169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F94C9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1DE340B6" w14:textId="77777777" w:rsidTr="000634C1">
              <w:trPr>
                <w:trHeight w:val="480"/>
              </w:trPr>
              <w:tc>
                <w:tcPr>
                  <w:tcW w:w="582" w:type="dxa"/>
                  <w:vMerge/>
                  <w:tcBorders>
                    <w:top w:val="nil"/>
                    <w:left w:val="single" w:sz="12" w:space="0" w:color="auto"/>
                    <w:bottom w:val="single" w:sz="12" w:space="0" w:color="000000"/>
                    <w:right w:val="single" w:sz="8" w:space="0" w:color="auto"/>
                  </w:tcBorders>
                  <w:vAlign w:val="center"/>
                  <w:hideMark/>
                </w:tcPr>
                <w:p w14:paraId="45B15D5F"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057EE4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single" w:sz="8" w:space="0" w:color="auto"/>
                    <w:bottom w:val="single" w:sz="8" w:space="0" w:color="auto"/>
                    <w:right w:val="single" w:sz="8" w:space="0" w:color="auto"/>
                  </w:tcBorders>
                  <w:shd w:val="clear" w:color="auto" w:fill="auto"/>
                  <w:hideMark/>
                </w:tcPr>
                <w:p w14:paraId="085C57A3"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9AACC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42CDCC" w14:textId="77777777" w:rsidTr="000634C1">
              <w:trPr>
                <w:trHeight w:val="480"/>
              </w:trPr>
              <w:tc>
                <w:tcPr>
                  <w:tcW w:w="582" w:type="dxa"/>
                  <w:vMerge/>
                  <w:tcBorders>
                    <w:top w:val="single" w:sz="4" w:space="0" w:color="auto"/>
                    <w:left w:val="single" w:sz="12" w:space="0" w:color="auto"/>
                    <w:bottom w:val="single" w:sz="12" w:space="0" w:color="000000"/>
                    <w:right w:val="single" w:sz="8" w:space="0" w:color="auto"/>
                  </w:tcBorders>
                  <w:vAlign w:val="center"/>
                  <w:hideMark/>
                </w:tcPr>
                <w:p w14:paraId="3236479B"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6765D5B4"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single" w:sz="8" w:space="0" w:color="auto"/>
                    <w:bottom w:val="single" w:sz="12" w:space="0" w:color="000000"/>
                    <w:right w:val="single" w:sz="8" w:space="0" w:color="auto"/>
                  </w:tcBorders>
                  <w:shd w:val="clear" w:color="auto" w:fill="auto"/>
                  <w:hideMark/>
                </w:tcPr>
                <w:p w14:paraId="48C456C5"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F41B17D"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24</w:t>
                  </w:r>
                </w:p>
              </w:tc>
            </w:tr>
            <w:tr w:rsidR="00840358" w:rsidRPr="0053269F" w14:paraId="19E110CD" w14:textId="77777777" w:rsidTr="000634C1">
              <w:trPr>
                <w:trHeight w:val="510"/>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4BDDC63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7</w:t>
                  </w:r>
                </w:p>
              </w:tc>
              <w:tc>
                <w:tcPr>
                  <w:tcW w:w="1985" w:type="dxa"/>
                  <w:vMerge w:val="restart"/>
                  <w:tcBorders>
                    <w:top w:val="single" w:sz="12" w:space="0" w:color="auto"/>
                    <w:left w:val="nil"/>
                    <w:right w:val="single" w:sz="8" w:space="0" w:color="auto"/>
                  </w:tcBorders>
                  <w:shd w:val="clear" w:color="auto" w:fill="auto"/>
                  <w:hideMark/>
                </w:tcPr>
                <w:p w14:paraId="160A84F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административни дейности</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2C9C1F7F"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71193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7</w:t>
                  </w:r>
                </w:p>
              </w:tc>
            </w:tr>
            <w:tr w:rsidR="00840358" w:rsidRPr="0053269F" w14:paraId="39B3C3C8" w14:textId="77777777" w:rsidTr="000634C1">
              <w:trPr>
                <w:trHeight w:val="545"/>
              </w:trPr>
              <w:tc>
                <w:tcPr>
                  <w:tcW w:w="582" w:type="dxa"/>
                  <w:vMerge/>
                  <w:tcBorders>
                    <w:top w:val="nil"/>
                    <w:left w:val="single" w:sz="12" w:space="0" w:color="auto"/>
                    <w:bottom w:val="single" w:sz="12" w:space="0" w:color="000000"/>
                    <w:right w:val="single" w:sz="8" w:space="0" w:color="auto"/>
                  </w:tcBorders>
                  <w:vAlign w:val="center"/>
                  <w:hideMark/>
                </w:tcPr>
                <w:p w14:paraId="6A4E366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89F48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287669C2"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C4105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5111C726" w14:textId="77777777" w:rsidTr="000634C1">
              <w:trPr>
                <w:trHeight w:val="540"/>
              </w:trPr>
              <w:tc>
                <w:tcPr>
                  <w:tcW w:w="582" w:type="dxa"/>
                  <w:vMerge/>
                  <w:tcBorders>
                    <w:top w:val="nil"/>
                    <w:left w:val="single" w:sz="12" w:space="0" w:color="auto"/>
                    <w:bottom w:val="single" w:sz="12" w:space="0" w:color="auto"/>
                    <w:right w:val="single" w:sz="8" w:space="0" w:color="auto"/>
                  </w:tcBorders>
                  <w:vAlign w:val="center"/>
                  <w:hideMark/>
                </w:tcPr>
                <w:p w14:paraId="406A91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536BC78C"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68D3190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0574133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19C5CF" w14:textId="77777777" w:rsidTr="000634C1">
              <w:trPr>
                <w:trHeight w:val="544"/>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3211D00D"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8</w:t>
                  </w:r>
                </w:p>
              </w:tc>
              <w:tc>
                <w:tcPr>
                  <w:tcW w:w="1985" w:type="dxa"/>
                  <w:vMerge w:val="restart"/>
                  <w:tcBorders>
                    <w:top w:val="single" w:sz="12" w:space="0" w:color="auto"/>
                    <w:left w:val="nil"/>
                    <w:right w:val="single" w:sz="8" w:space="0" w:color="auto"/>
                  </w:tcBorders>
                  <w:shd w:val="clear" w:color="auto" w:fill="auto"/>
                  <w:hideMark/>
                </w:tcPr>
                <w:p w14:paraId="706754F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връзки с обществеността и масови комуникации</w:t>
                  </w:r>
                </w:p>
              </w:tc>
              <w:tc>
                <w:tcPr>
                  <w:tcW w:w="4961" w:type="dxa"/>
                  <w:tcBorders>
                    <w:top w:val="single" w:sz="12" w:space="0" w:color="auto"/>
                    <w:left w:val="nil"/>
                    <w:bottom w:val="nil"/>
                    <w:right w:val="single" w:sz="8" w:space="0" w:color="auto"/>
                  </w:tcBorders>
                  <w:shd w:val="clear" w:color="auto" w:fill="auto"/>
                  <w:hideMark/>
                </w:tcPr>
                <w:p w14:paraId="47347F0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43FAC30E"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13</w:t>
                  </w:r>
                </w:p>
              </w:tc>
            </w:tr>
            <w:tr w:rsidR="00840358" w:rsidRPr="0053269F" w14:paraId="51A3918F" w14:textId="77777777" w:rsidTr="000634C1">
              <w:trPr>
                <w:trHeight w:val="454"/>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25C641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1DA50F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F611A13"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B323E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20</w:t>
                  </w:r>
                </w:p>
              </w:tc>
            </w:tr>
            <w:tr w:rsidR="00840358" w:rsidRPr="0053269F" w14:paraId="4233CC13" w14:textId="77777777" w:rsidTr="000634C1">
              <w:trPr>
                <w:trHeight w:val="545"/>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0B1407F9"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A8299F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1F58C57D"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2B9D077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30</w:t>
                  </w:r>
                </w:p>
              </w:tc>
            </w:tr>
            <w:tr w:rsidR="00840358" w:rsidRPr="0053269F" w14:paraId="622F4503" w14:textId="77777777" w:rsidTr="000634C1">
              <w:trPr>
                <w:trHeight w:val="531"/>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5828D40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9</w:t>
                  </w:r>
                </w:p>
              </w:tc>
              <w:tc>
                <w:tcPr>
                  <w:tcW w:w="1985" w:type="dxa"/>
                  <w:vMerge w:val="restart"/>
                  <w:tcBorders>
                    <w:top w:val="single" w:sz="12" w:space="0" w:color="auto"/>
                    <w:left w:val="nil"/>
                    <w:right w:val="single" w:sz="8" w:space="0" w:color="auto"/>
                  </w:tcBorders>
                  <w:shd w:val="clear" w:color="auto" w:fill="auto"/>
                  <w:hideMark/>
                </w:tcPr>
                <w:p w14:paraId="315C378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Психолог и човешки ресурси</w:t>
                  </w:r>
                </w:p>
              </w:tc>
              <w:tc>
                <w:tcPr>
                  <w:tcW w:w="4961" w:type="dxa"/>
                  <w:tcBorders>
                    <w:top w:val="single" w:sz="12" w:space="0" w:color="auto"/>
                    <w:left w:val="nil"/>
                    <w:bottom w:val="nil"/>
                    <w:right w:val="single" w:sz="8" w:space="0" w:color="auto"/>
                  </w:tcBorders>
                  <w:shd w:val="clear" w:color="auto" w:fill="auto"/>
                  <w:hideMark/>
                </w:tcPr>
                <w:p w14:paraId="39CA844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941F3B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256BCD35" w14:textId="77777777" w:rsidTr="000634C1">
              <w:trPr>
                <w:trHeight w:val="522"/>
              </w:trPr>
              <w:tc>
                <w:tcPr>
                  <w:tcW w:w="582" w:type="dxa"/>
                  <w:vMerge/>
                  <w:tcBorders>
                    <w:top w:val="nil"/>
                    <w:left w:val="single" w:sz="12" w:space="0" w:color="auto"/>
                    <w:bottom w:val="single" w:sz="8" w:space="0" w:color="auto"/>
                    <w:right w:val="single" w:sz="8" w:space="0" w:color="auto"/>
                  </w:tcBorders>
                  <w:vAlign w:val="center"/>
                  <w:hideMark/>
                </w:tcPr>
                <w:p w14:paraId="4A777143"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340E3C4"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B6EBA88" w14:textId="77777777" w:rsidR="00840358" w:rsidRPr="00C85C7B" w:rsidRDefault="00840358" w:rsidP="00EB4BA5">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1F6D58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28</w:t>
                  </w:r>
                </w:p>
              </w:tc>
            </w:tr>
            <w:tr w:rsidR="00840358" w:rsidRPr="0053269F" w14:paraId="0E0E4BDC" w14:textId="77777777" w:rsidTr="000634C1">
              <w:trPr>
                <w:trHeight w:val="384"/>
              </w:trPr>
              <w:tc>
                <w:tcPr>
                  <w:tcW w:w="582" w:type="dxa"/>
                  <w:vMerge/>
                  <w:tcBorders>
                    <w:top w:val="single" w:sz="8" w:space="0" w:color="auto"/>
                    <w:left w:val="single" w:sz="12" w:space="0" w:color="auto"/>
                    <w:bottom w:val="single" w:sz="12" w:space="0" w:color="auto"/>
                    <w:right w:val="single" w:sz="8" w:space="0" w:color="auto"/>
                  </w:tcBorders>
                  <w:vAlign w:val="center"/>
                  <w:hideMark/>
                </w:tcPr>
                <w:p w14:paraId="33AC204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D5F1C3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74CA03F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05078F3A"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42</w:t>
                  </w:r>
                </w:p>
              </w:tc>
            </w:tr>
            <w:tr w:rsidR="00840358" w:rsidRPr="0053269F" w14:paraId="57C50C35" w14:textId="77777777" w:rsidTr="000634C1">
              <w:trPr>
                <w:trHeight w:val="522"/>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5580FBB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10</w:t>
                  </w:r>
                </w:p>
              </w:tc>
              <w:tc>
                <w:tcPr>
                  <w:tcW w:w="1985" w:type="dxa"/>
                  <w:vMerge w:val="restart"/>
                  <w:tcBorders>
                    <w:top w:val="single" w:sz="12" w:space="0" w:color="auto"/>
                    <w:left w:val="nil"/>
                    <w:right w:val="single" w:sz="8" w:space="0" w:color="auto"/>
                  </w:tcBorders>
                  <w:shd w:val="clear" w:color="auto" w:fill="auto"/>
                  <w:hideMark/>
                </w:tcPr>
                <w:p w14:paraId="50451ED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Социолози и статистици</w:t>
                  </w:r>
                </w:p>
              </w:tc>
              <w:tc>
                <w:tcPr>
                  <w:tcW w:w="4961" w:type="dxa"/>
                  <w:tcBorders>
                    <w:top w:val="single" w:sz="12" w:space="0" w:color="auto"/>
                    <w:left w:val="nil"/>
                    <w:bottom w:val="nil"/>
                    <w:right w:val="single" w:sz="8" w:space="0" w:color="auto"/>
                  </w:tcBorders>
                  <w:shd w:val="clear" w:color="auto" w:fill="auto"/>
                  <w:hideMark/>
                </w:tcPr>
                <w:p w14:paraId="06BD71B5"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CBFDE6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974DA4C" w14:textId="77777777" w:rsidTr="000634C1">
              <w:trPr>
                <w:trHeight w:val="530"/>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3D723CD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2942F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9FDEB02"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D2D99D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19</w:t>
                  </w:r>
                </w:p>
              </w:tc>
            </w:tr>
            <w:tr w:rsidR="00840358" w:rsidRPr="0053269F" w14:paraId="6D174D43" w14:textId="77777777" w:rsidTr="000634C1">
              <w:trPr>
                <w:trHeight w:val="554"/>
              </w:trPr>
              <w:tc>
                <w:tcPr>
                  <w:tcW w:w="582" w:type="dxa"/>
                  <w:vMerge/>
                  <w:tcBorders>
                    <w:top w:val="single" w:sz="12" w:space="0" w:color="000000"/>
                    <w:left w:val="single" w:sz="12" w:space="0" w:color="auto"/>
                    <w:bottom w:val="single" w:sz="12" w:space="0" w:color="000000"/>
                    <w:right w:val="single" w:sz="8" w:space="0" w:color="auto"/>
                  </w:tcBorders>
                  <w:vAlign w:val="center"/>
                  <w:hideMark/>
                </w:tcPr>
                <w:p w14:paraId="42E7911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48B6066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0A1FAE14"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7C65EB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29</w:t>
                  </w:r>
                </w:p>
              </w:tc>
            </w:tr>
          </w:tbl>
          <w:p w14:paraId="3A60A9F2" w14:textId="77777777" w:rsidR="00840358" w:rsidRDefault="00840358" w:rsidP="00622456">
            <w:pPr>
              <w:spacing w:after="120"/>
              <w:jc w:val="both"/>
              <w:rPr>
                <w:rFonts w:ascii="Times New Roman" w:hAnsi="Times New Roman" w:cs="Times New Roman"/>
                <w:sz w:val="24"/>
                <w:szCs w:val="24"/>
              </w:rPr>
            </w:pPr>
          </w:p>
          <w:p w14:paraId="32BBDEF9" w14:textId="77777777" w:rsidR="00840358" w:rsidRP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 xml:space="preserve">За всички останали позиции приложимата часова ставка се изчислява в съответствие с чл. 5, ал. 3, т. 6 от ПМС № 189/2016 г. като годишните брутни разходи за трудови възнаграждения в счетоводните отчети за последната година се разделят на 1720 часа . Съгласно т. 3.2 от Указанията за опростените варианти за разходите на Европейската комисия (EGESIF_14-0017): </w:t>
            </w:r>
          </w:p>
          <w:p w14:paraId="6C65B911" w14:textId="77777777" w:rsidR="00840358" w:rsidRPr="00622456" w:rsidRDefault="00840358" w:rsidP="00622456">
            <w:pPr>
              <w:spacing w:after="120"/>
              <w:jc w:val="both"/>
              <w:rPr>
                <w:rFonts w:ascii="Times New Roman" w:hAnsi="Times New Roman" w:cs="Times New Roman"/>
                <w:i/>
                <w:sz w:val="24"/>
                <w:szCs w:val="24"/>
              </w:rPr>
            </w:pPr>
            <w:r w:rsidRPr="00622456">
              <w:rPr>
                <w:rFonts w:ascii="Times New Roman" w:hAnsi="Times New Roman" w:cs="Times New Roman"/>
                <w:i/>
                <w:sz w:val="24"/>
                <w:szCs w:val="24"/>
              </w:rPr>
              <w:t>„Стойността в числителя се отнася само до лицето, което работи пряко по операцията. Тя може да се базира на реалната заплата на това лице или на средните разходи за трудови възнаграждения на по-голяма съвкупност от служители, на такива от същата категория или на някои сходни мерки, които в общи линии са съпоставими с нивото на заплатата“.</w:t>
            </w:r>
          </w:p>
          <w:p w14:paraId="7046B293" w14:textId="25E5E462" w:rsidR="003B708C"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Когато се прилага този метод при изчисляване на общите допустими разходи за възнаграждения трябва да се използват само отработените часове. Годишният отпуск например не може да се отчита, тъй като той вече е включен в изчислението на почасовата ставка.</w:t>
            </w:r>
          </w:p>
          <w:p w14:paraId="17E3EED2" w14:textId="3206E7AA" w:rsidR="00840358" w:rsidRDefault="00840358"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lastRenderedPageBreak/>
              <w:t xml:space="preserve">Горепосочените часови ставки могат да се прилагат, както на етап кандидатстване – за обосноваване на необходимите разходи, така и на етап изпълнение, </w:t>
            </w:r>
            <w:r w:rsidR="003B708C">
              <w:rPr>
                <w:rFonts w:ascii="Times New Roman" w:hAnsi="Times New Roman" w:cs="Times New Roman"/>
                <w:sz w:val="24"/>
                <w:szCs w:val="24"/>
              </w:rPr>
              <w:t>когато</w:t>
            </w:r>
            <w:r w:rsidRPr="00D22561">
              <w:rPr>
                <w:rFonts w:ascii="Times New Roman" w:hAnsi="Times New Roman" w:cs="Times New Roman"/>
                <w:sz w:val="24"/>
                <w:szCs w:val="24"/>
              </w:rPr>
              <w:t xml:space="preserve"> се отчитат извършените разходи за възнаграждения.</w:t>
            </w:r>
          </w:p>
          <w:p w14:paraId="1E4D9BEC" w14:textId="0AB9B071" w:rsid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При подготовка на проектно предложение следва да се аргументира нуждата от избраните позиции, както и изискванията за образование, професионален опит и квалификация за заемането на длъжността. Съответно при оценяването на проекта ще бъде проверено дали предвидените часови ставки за възнаграждения на лицата, наети във връзка с изпълнението на проекта, отговарят на ПМС № 189/2016 г.</w:t>
            </w:r>
            <w:r w:rsidR="00FD206D">
              <w:rPr>
                <w:rFonts w:ascii="Times New Roman" w:hAnsi="Times New Roman" w:cs="Times New Roman"/>
                <w:sz w:val="24"/>
                <w:szCs w:val="24"/>
              </w:rPr>
              <w:t xml:space="preserve"> – чл. 5, ал. 3, т.6</w:t>
            </w:r>
            <w:r w:rsidRPr="00840358">
              <w:rPr>
                <w:rFonts w:ascii="Times New Roman" w:hAnsi="Times New Roman" w:cs="Times New Roman"/>
                <w:sz w:val="24"/>
                <w:szCs w:val="24"/>
              </w:rPr>
              <w:t xml:space="preserve"> и/или на Стандартната таблица за допустимия размер на почасовото възнаграждение на лицата, наети във връзка с изпълнението на проектите по ОП НОИР.</w:t>
            </w:r>
          </w:p>
          <w:p w14:paraId="3C977570" w14:textId="60B66FD8" w:rsidR="00EB4BA5" w:rsidRPr="00EB4BA5" w:rsidRDefault="00EB4BA5" w:rsidP="00622456">
            <w:pPr>
              <w:spacing w:after="120"/>
              <w:jc w:val="both"/>
              <w:rPr>
                <w:rFonts w:ascii="Times New Roman" w:eastAsia="Calibri" w:hAnsi="Times New Roman" w:cs="Times New Roman"/>
                <w:sz w:val="24"/>
                <w:szCs w:val="24"/>
              </w:rPr>
            </w:pPr>
            <w:r w:rsidRPr="00EB4BA5">
              <w:rPr>
                <w:rFonts w:ascii="Times New Roman" w:eastAsia="Calibri" w:hAnsi="Times New Roman" w:cs="Times New Roman"/>
                <w:sz w:val="24"/>
                <w:szCs w:val="24"/>
              </w:rPr>
              <w:t xml:space="preserve">При оценяване на проектното предложение предложените часови ставки и/или броят на планираните часове може да бъдат намалени, ако не са убедително аргументирани. </w:t>
            </w:r>
          </w:p>
          <w:p w14:paraId="6CE47B03" w14:textId="77777777" w:rsidR="00AD731B" w:rsidRDefault="00AD731B" w:rsidP="00B061D4">
            <w:pPr>
              <w:spacing w:after="120"/>
              <w:jc w:val="both"/>
              <w:rPr>
                <w:rFonts w:ascii="Times New Roman" w:hAnsi="Times New Roman" w:cs="Times New Roman"/>
                <w:b/>
                <w:sz w:val="24"/>
                <w:szCs w:val="24"/>
              </w:rPr>
            </w:pPr>
          </w:p>
          <w:p w14:paraId="179D25C3" w14:textId="691E7F20" w:rsidR="00DD153E" w:rsidRPr="00DD153E" w:rsidRDefault="00DD153E" w:rsidP="0077484F"/>
          <w:p w14:paraId="0415CA7D" w14:textId="77777777" w:rsidR="002F4341"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b/>
                <w:sz w:val="24"/>
                <w:szCs w:val="24"/>
              </w:rPr>
              <w:t>ВАЖНО!</w:t>
            </w:r>
            <w:r w:rsidRPr="00E160F5">
              <w:rPr>
                <w:rFonts w:ascii="Times New Roman" w:hAnsi="Times New Roman" w:cs="Times New Roman"/>
                <w:sz w:val="24"/>
                <w:szCs w:val="24"/>
              </w:rPr>
              <w:t xml:space="preserve"> </w:t>
            </w:r>
          </w:p>
          <w:p w14:paraId="4D0D2573" w14:textId="622CF45D" w:rsidR="0045490B" w:rsidRPr="002B1899"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С цел постигане на интеграционен е</w:t>
            </w:r>
            <w:r>
              <w:rPr>
                <w:rFonts w:ascii="Times New Roman" w:hAnsi="Times New Roman" w:cs="Times New Roman"/>
                <w:sz w:val="24"/>
                <w:szCs w:val="24"/>
              </w:rPr>
              <w:t xml:space="preserve">фект от проектните дейности, са </w:t>
            </w:r>
            <w:r w:rsidRPr="00E160F5">
              <w:rPr>
                <w:rFonts w:ascii="Times New Roman" w:hAnsi="Times New Roman" w:cs="Times New Roman"/>
                <w:sz w:val="24"/>
                <w:szCs w:val="24"/>
              </w:rPr>
              <w:t>допустими разходи за деца и техните р</w:t>
            </w:r>
            <w:r>
              <w:rPr>
                <w:rFonts w:ascii="Times New Roman" w:hAnsi="Times New Roman" w:cs="Times New Roman"/>
                <w:sz w:val="24"/>
                <w:szCs w:val="24"/>
              </w:rPr>
              <w:t xml:space="preserve">одители/настойници, които не са </w:t>
            </w:r>
            <w:r w:rsidRPr="00E160F5">
              <w:rPr>
                <w:rFonts w:ascii="Times New Roman" w:hAnsi="Times New Roman" w:cs="Times New Roman"/>
                <w:sz w:val="24"/>
                <w:szCs w:val="24"/>
              </w:rPr>
              <w:t xml:space="preserve">представители на </w:t>
            </w:r>
            <w:proofErr w:type="spellStart"/>
            <w:r w:rsidRPr="00E160F5">
              <w:rPr>
                <w:rFonts w:ascii="Times New Roman" w:hAnsi="Times New Roman" w:cs="Times New Roman"/>
                <w:sz w:val="24"/>
                <w:szCs w:val="24"/>
              </w:rPr>
              <w:t>маргинализираните</w:t>
            </w:r>
            <w:proofErr w:type="spellEnd"/>
            <w:r w:rsidRPr="00E160F5">
              <w:rPr>
                <w:rFonts w:ascii="Times New Roman" w:hAnsi="Times New Roman" w:cs="Times New Roman"/>
                <w:sz w:val="24"/>
                <w:szCs w:val="24"/>
              </w:rPr>
              <w:t xml:space="preserve"> групи.</w:t>
            </w:r>
            <w:r w:rsidRPr="00E160F5">
              <w:rPr>
                <w:rFonts w:ascii="Times New Roman" w:hAnsi="Times New Roman" w:cs="Times New Roman"/>
                <w:sz w:val="24"/>
                <w:szCs w:val="24"/>
              </w:rPr>
              <w:cr/>
            </w:r>
          </w:p>
          <w:p w14:paraId="7970CD53" w14:textId="77777777" w:rsidR="0007243A" w:rsidRPr="002B1899" w:rsidRDefault="0007243A" w:rsidP="0007243A">
            <w:pPr>
              <w:spacing w:after="120"/>
              <w:jc w:val="both"/>
              <w:rPr>
                <w:rStyle w:val="a7"/>
                <w:rFonts w:ascii="Times New Roman" w:hAnsi="Times New Roman" w:cs="Times New Roman"/>
                <w:b/>
                <w:color w:val="auto"/>
                <w:sz w:val="24"/>
                <w:szCs w:val="24"/>
                <w:u w:val="none"/>
              </w:rPr>
            </w:pPr>
            <w:r w:rsidRPr="002B1899">
              <w:rPr>
                <w:rStyle w:val="a7"/>
                <w:rFonts w:ascii="Times New Roman" w:hAnsi="Times New Roman" w:cs="Times New Roman"/>
                <w:b/>
                <w:color w:val="auto"/>
                <w:sz w:val="24"/>
                <w:szCs w:val="24"/>
                <w:u w:val="none"/>
              </w:rPr>
              <w:t>ВАЖНО</w:t>
            </w:r>
          </w:p>
          <w:p w14:paraId="72B1ED8C" w14:textId="57E4A3E8" w:rsidR="0007243A" w:rsidRPr="002B1899" w:rsidRDefault="0007243A" w:rsidP="0007243A">
            <w:pPr>
              <w:spacing w:after="120"/>
              <w:jc w:val="both"/>
              <w:rPr>
                <w:rStyle w:val="a7"/>
                <w:rFonts w:ascii="Times New Roman" w:hAnsi="Times New Roman" w:cs="Times New Roman"/>
                <w:color w:val="auto"/>
                <w:sz w:val="24"/>
                <w:szCs w:val="24"/>
                <w:u w:val="none"/>
              </w:rPr>
            </w:pPr>
            <w:r w:rsidRPr="002B1899">
              <w:rPr>
                <w:rStyle w:val="a7"/>
                <w:rFonts w:ascii="Times New Roman" w:hAnsi="Times New Roman" w:cs="Times New Roman"/>
                <w:color w:val="auto"/>
                <w:sz w:val="24"/>
                <w:szCs w:val="24"/>
                <w:u w:val="none"/>
              </w:rPr>
              <w:t xml:space="preserve">По реда на Закона за обществените поръчки ще бъдат възлагани дейности, за които са обосновани разходи по </w:t>
            </w:r>
            <w:proofErr w:type="spellStart"/>
            <w:r w:rsidRPr="002B1899">
              <w:rPr>
                <w:rStyle w:val="a7"/>
                <w:rFonts w:ascii="Times New Roman" w:hAnsi="Times New Roman" w:cs="Times New Roman"/>
                <w:color w:val="auto"/>
                <w:sz w:val="24"/>
                <w:szCs w:val="24"/>
                <w:u w:val="none"/>
              </w:rPr>
              <w:t>т.II</w:t>
            </w:r>
            <w:proofErr w:type="spellEnd"/>
            <w:r w:rsidRPr="002B1899">
              <w:rPr>
                <w:rStyle w:val="a7"/>
                <w:rFonts w:ascii="Times New Roman" w:hAnsi="Times New Roman" w:cs="Times New Roman"/>
                <w:color w:val="auto"/>
                <w:sz w:val="24"/>
                <w:szCs w:val="24"/>
                <w:u w:val="none"/>
              </w:rPr>
              <w:t>. Разходи за материали, по т. III. Разходи за услуги и по т. IV. Разходи за провеждане и участие в мероприятия и те ще бъдат извършвани от доставчици на стоки и услуги.</w:t>
            </w:r>
          </w:p>
          <w:p w14:paraId="71A76C0C" w14:textId="77777777" w:rsidR="0007243A" w:rsidRDefault="0007243A" w:rsidP="00622456">
            <w:pPr>
              <w:spacing w:after="120"/>
              <w:jc w:val="both"/>
              <w:rPr>
                <w:rFonts w:ascii="Times New Roman" w:hAnsi="Times New Roman" w:cs="Times New Roman"/>
                <w:sz w:val="24"/>
                <w:szCs w:val="24"/>
              </w:rPr>
            </w:pPr>
          </w:p>
          <w:p w14:paraId="0C6289FE" w14:textId="25B4E4EF" w:rsidR="00665A5B" w:rsidRPr="00CB4819" w:rsidRDefault="00665A5B" w:rsidP="00622456">
            <w:pPr>
              <w:spacing w:after="120"/>
              <w:jc w:val="both"/>
              <w:rPr>
                <w:rFonts w:ascii="Times New Roman" w:hAnsi="Times New Roman" w:cs="Times New Roman"/>
                <w:b/>
                <w:sz w:val="24"/>
                <w:szCs w:val="24"/>
              </w:rPr>
            </w:pPr>
            <w:r w:rsidRPr="00CB4819">
              <w:rPr>
                <w:rFonts w:ascii="Times New Roman" w:hAnsi="Times New Roman" w:cs="Times New Roman"/>
                <w:b/>
                <w:sz w:val="24"/>
                <w:szCs w:val="24"/>
              </w:rPr>
              <w:t>1</w:t>
            </w:r>
            <w:r w:rsidR="004F5D84" w:rsidRPr="00CB4819">
              <w:rPr>
                <w:rFonts w:ascii="Times New Roman" w:hAnsi="Times New Roman" w:cs="Times New Roman"/>
                <w:b/>
                <w:sz w:val="24"/>
                <w:szCs w:val="24"/>
              </w:rPr>
              <w:t>4</w:t>
            </w:r>
            <w:r w:rsidRPr="00CB4819">
              <w:rPr>
                <w:rFonts w:ascii="Times New Roman" w:hAnsi="Times New Roman" w:cs="Times New Roman"/>
                <w:b/>
                <w:sz w:val="24"/>
                <w:szCs w:val="24"/>
              </w:rPr>
              <w:t>.4. Недопустими разходи</w:t>
            </w:r>
          </w:p>
          <w:p w14:paraId="7DF3A34B" w14:textId="77777777" w:rsidR="00665A5B" w:rsidRDefault="00665A5B" w:rsidP="00622456">
            <w:pPr>
              <w:spacing w:after="120"/>
              <w:jc w:val="both"/>
              <w:rPr>
                <w:rFonts w:ascii="Times New Roman" w:hAnsi="Times New Roman" w:cs="Times New Roman"/>
                <w:sz w:val="24"/>
                <w:szCs w:val="24"/>
              </w:rPr>
            </w:pPr>
            <w:r w:rsidRPr="00CB4819">
              <w:rPr>
                <w:rFonts w:ascii="Times New Roman" w:hAnsi="Times New Roman" w:cs="Times New Roman"/>
                <w:sz w:val="24"/>
                <w:szCs w:val="24"/>
              </w:rPr>
              <w:t xml:space="preserve">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разпоредбите на Регламент (ЕС) № 1303/2013 г. за определяне на </w:t>
            </w:r>
            <w:proofErr w:type="spellStart"/>
            <w:r w:rsidRPr="00CB4819">
              <w:rPr>
                <w:rFonts w:ascii="Times New Roman" w:hAnsi="Times New Roman" w:cs="Times New Roman"/>
                <w:sz w:val="24"/>
                <w:szCs w:val="24"/>
              </w:rPr>
              <w:t>общоприложими</w:t>
            </w:r>
            <w:proofErr w:type="spellEnd"/>
            <w:r w:rsidRPr="00CB4819">
              <w:rPr>
                <w:rFonts w:ascii="Times New Roman" w:hAnsi="Times New Roman" w:cs="Times New Roman"/>
                <w:sz w:val="24"/>
                <w:szCs w:val="24"/>
              </w:rPr>
              <w:t xml:space="preserve"> разпоредби за Е</w:t>
            </w:r>
            <w:r w:rsidRPr="007E1B83">
              <w:rPr>
                <w:rFonts w:ascii="Times New Roman" w:hAnsi="Times New Roman" w:cs="Times New Roman"/>
                <w:sz w:val="24"/>
                <w:szCs w:val="24"/>
              </w:rPr>
              <w:t xml:space="preserve">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 </w:t>
            </w:r>
            <w:proofErr w:type="spellStart"/>
            <w:r w:rsidRPr="007E1B83">
              <w:rPr>
                <w:rFonts w:ascii="Times New Roman" w:hAnsi="Times New Roman" w:cs="Times New Roman"/>
                <w:sz w:val="24"/>
                <w:szCs w:val="24"/>
              </w:rPr>
              <w:t>относимото</w:t>
            </w:r>
            <w:proofErr w:type="spellEnd"/>
            <w:r w:rsidRPr="007E1B83">
              <w:rPr>
                <w:rFonts w:ascii="Times New Roman" w:hAnsi="Times New Roman" w:cs="Times New Roman"/>
                <w:sz w:val="24"/>
                <w:szCs w:val="24"/>
              </w:rPr>
              <w:t xml:space="preserve"> законодателство.</w:t>
            </w:r>
          </w:p>
          <w:p w14:paraId="06CC6012" w14:textId="77777777" w:rsidR="00665A5B" w:rsidRPr="00B83B3F" w:rsidRDefault="00665A5B" w:rsidP="00622456">
            <w:pPr>
              <w:spacing w:after="120"/>
              <w:jc w:val="both"/>
              <w:rPr>
                <w:rFonts w:ascii="Times New Roman" w:hAnsi="Times New Roman" w:cs="Times New Roman"/>
                <w:b/>
                <w:sz w:val="24"/>
                <w:szCs w:val="24"/>
              </w:rPr>
            </w:pPr>
            <w:r w:rsidRPr="00B83B3F">
              <w:rPr>
                <w:rFonts w:ascii="Times New Roman" w:hAnsi="Times New Roman" w:cs="Times New Roman"/>
                <w:b/>
                <w:sz w:val="24"/>
                <w:szCs w:val="24"/>
              </w:rPr>
              <w:t>Недопустими са следните видове разходи:</w:t>
            </w:r>
          </w:p>
          <w:p w14:paraId="698E54B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финансирани по други операции, програма или каквато и да е друга финансова схема, произлизаща от националния бюджет, от бюджета на Общността или от друга донорска програма за едни и същи дейности;</w:t>
            </w:r>
          </w:p>
          <w:p w14:paraId="14543FC8"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глоби, финансови санкции и разходи за разрешаване на спорове;</w:t>
            </w:r>
          </w:p>
          <w:p w14:paraId="7F1F8C95"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lastRenderedPageBreak/>
              <w:t>комисионите и загубите от курсови разлики при обмяна на чужда валута;</w:t>
            </w:r>
          </w:p>
          <w:p w14:paraId="7861216B"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възстановим ДДС;</w:t>
            </w:r>
          </w:p>
          <w:p w14:paraId="414BF849" w14:textId="70574FC9" w:rsidR="00665A5B" w:rsidRPr="00FA2F03" w:rsidRDefault="00FA2F03" w:rsidP="00C37CE9">
            <w:pPr>
              <w:pStyle w:val="a3"/>
              <w:numPr>
                <w:ilvl w:val="0"/>
                <w:numId w:val="7"/>
              </w:numPr>
              <w:rPr>
                <w:rFonts w:ascii="Times New Roman" w:hAnsi="Times New Roman" w:cs="Times New Roman"/>
                <w:sz w:val="24"/>
                <w:szCs w:val="24"/>
              </w:rPr>
            </w:pPr>
            <w:r w:rsidRPr="00FA2F03">
              <w:rPr>
                <w:rFonts w:ascii="Times New Roman" w:hAnsi="Times New Roman" w:cs="Times New Roman"/>
                <w:sz w:val="24"/>
                <w:szCs w:val="24"/>
              </w:rPr>
              <w:t>закупуване на дълготр</w:t>
            </w:r>
            <w:r w:rsidR="0095348F">
              <w:rPr>
                <w:rFonts w:ascii="Times New Roman" w:hAnsi="Times New Roman" w:cs="Times New Roman"/>
                <w:sz w:val="24"/>
                <w:szCs w:val="24"/>
              </w:rPr>
              <w:t xml:space="preserve">айни материални активи, нови и </w:t>
            </w:r>
            <w:r w:rsidRPr="00FA2F03">
              <w:rPr>
                <w:rFonts w:ascii="Times New Roman" w:hAnsi="Times New Roman" w:cs="Times New Roman"/>
                <w:sz w:val="24"/>
                <w:szCs w:val="24"/>
              </w:rPr>
              <w:t xml:space="preserve"> втора употреба;</w:t>
            </w:r>
          </w:p>
          <w:p w14:paraId="1A80F07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разходите за гаранции, осигурени от банка или от друга финансова институция;</w:t>
            </w:r>
          </w:p>
          <w:p w14:paraId="5F951CC7"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лихви по дългове, с изключение на свързаните с безвъзмездна финансова помощ, предоставени под формата на лихвени субсидии или субсидии за гаранционни такси;</w:t>
            </w:r>
          </w:p>
          <w:p w14:paraId="767DF68D"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закупуване на инфраструктура, земя и недвижимо имущество;</w:t>
            </w:r>
          </w:p>
          <w:p w14:paraId="59686D84" w14:textId="27D4A793"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 xml:space="preserve">разходи за консултантски услуги, свързани с подготовката и/или попълването на </w:t>
            </w:r>
            <w:r w:rsidRPr="006940EA">
              <w:rPr>
                <w:rFonts w:ascii="Times New Roman" w:hAnsi="Times New Roman" w:cs="Times New Roman"/>
                <w:sz w:val="24"/>
                <w:szCs w:val="24"/>
              </w:rPr>
              <w:t>документите за кандидатстване за финансова подкрепа;</w:t>
            </w:r>
          </w:p>
          <w:p w14:paraId="163E492E"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w:t>
            </w:r>
          </w:p>
          <w:p w14:paraId="475D0045"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свързани с изпълнението на недопустими дейности;</w:t>
            </w:r>
          </w:p>
          <w:p w14:paraId="55E02092"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65, параграф 6 от Регламент (ЕС) № 1303/2013) и чл. 57, ал. 2 от ЗУСЕСИФ;</w:t>
            </w:r>
          </w:p>
          <w:p w14:paraId="124E6226"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други разходи, недопустими съгласно ПМС № 189/2016 г.</w:t>
            </w:r>
          </w:p>
          <w:p w14:paraId="216C8BEF" w14:textId="5FB39716" w:rsidR="00A56FE6"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t>Недопустими за финансиране разходи, неправомерно одобрени и платени от бенефициента, остават за негова сметка и не подлежат на възстановяване. При изготвянето на бюджета всеки кандидат следва да има предвид нормативно определените ограничения за размера на някои категории разходи, въведени с ПМС № 189/2016 г.</w:t>
            </w:r>
          </w:p>
          <w:p w14:paraId="07B80A47" w14:textId="77777777" w:rsidR="003B553B" w:rsidRDefault="003B553B" w:rsidP="00622456">
            <w:pPr>
              <w:spacing w:after="120"/>
              <w:jc w:val="both"/>
              <w:rPr>
                <w:rFonts w:ascii="Times New Roman" w:hAnsi="Times New Roman" w:cs="Times New Roman"/>
                <w:sz w:val="24"/>
                <w:szCs w:val="24"/>
              </w:rPr>
            </w:pPr>
          </w:p>
          <w:p w14:paraId="51C69F3A" w14:textId="4BD765E3" w:rsidR="00A56FE6" w:rsidRPr="00A56FE6" w:rsidRDefault="00A56FE6" w:rsidP="00622456">
            <w:pPr>
              <w:spacing w:after="120"/>
              <w:jc w:val="both"/>
              <w:rPr>
                <w:rFonts w:ascii="Times New Roman" w:hAnsi="Times New Roman" w:cs="Times New Roman"/>
                <w:b/>
                <w:sz w:val="24"/>
                <w:szCs w:val="24"/>
              </w:rPr>
            </w:pPr>
            <w:r w:rsidRPr="00A56FE6">
              <w:rPr>
                <w:rFonts w:ascii="Times New Roman" w:hAnsi="Times New Roman" w:cs="Times New Roman"/>
                <w:b/>
                <w:sz w:val="24"/>
                <w:szCs w:val="24"/>
              </w:rPr>
              <w:t>ВАЖНО!</w:t>
            </w:r>
          </w:p>
          <w:p w14:paraId="1C122DAA" w14:textId="4883940B" w:rsidR="003B309A" w:rsidRPr="00DE7C76" w:rsidRDefault="003B309A" w:rsidP="00622456">
            <w:pPr>
              <w:spacing w:after="120"/>
              <w:jc w:val="both"/>
              <w:rPr>
                <w:rFonts w:ascii="Times New Roman" w:hAnsi="Times New Roman" w:cs="Times New Roman"/>
                <w:b/>
                <w:sz w:val="24"/>
                <w:szCs w:val="24"/>
              </w:rPr>
            </w:pPr>
            <w:r w:rsidRPr="00DE7C76">
              <w:rPr>
                <w:rFonts w:ascii="Times New Roman" w:hAnsi="Times New Roman" w:cs="Times New Roman"/>
                <w:b/>
                <w:sz w:val="24"/>
                <w:szCs w:val="24"/>
              </w:rPr>
              <w:t>При предоставяне на безвъзмездна финансова помощ под внимание се взимат само „допустимите разходи“.</w:t>
            </w:r>
          </w:p>
        </w:tc>
      </w:tr>
    </w:tbl>
    <w:p w14:paraId="2F50AD3B" w14:textId="5E201CF2" w:rsidR="004578C9" w:rsidRDefault="004578C9"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14:paraId="66310673" w14:textId="77777777" w:rsidTr="00CA777C">
        <w:tc>
          <w:tcPr>
            <w:tcW w:w="10207" w:type="dxa"/>
          </w:tcPr>
          <w:p w14:paraId="45128734" w14:textId="77BBB951" w:rsidR="003B309A" w:rsidRPr="00321BD2" w:rsidRDefault="003B309A"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5</w:t>
            </w:r>
            <w:r w:rsidRPr="00321BD2">
              <w:rPr>
                <w:rFonts w:ascii="Times New Roman" w:hAnsi="Times New Roman" w:cs="Times New Roman"/>
                <w:b/>
                <w:sz w:val="24"/>
                <w:szCs w:val="24"/>
              </w:rPr>
              <w:t>. Допустими целеви групи:</w:t>
            </w:r>
          </w:p>
          <w:p w14:paraId="0343B4CF" w14:textId="25505BC9" w:rsidR="003B309A" w:rsidRPr="003B309A" w:rsidRDefault="003B309A" w:rsidP="00622456">
            <w:pPr>
              <w:spacing w:after="120"/>
              <w:jc w:val="both"/>
              <w:rPr>
                <w:rFonts w:ascii="Times New Roman" w:hAnsi="Times New Roman" w:cs="Times New Roman"/>
                <w:b/>
                <w:sz w:val="24"/>
                <w:szCs w:val="24"/>
              </w:rPr>
            </w:pPr>
            <w:r w:rsidRPr="003B309A">
              <w:rPr>
                <w:rFonts w:ascii="Times New Roman" w:hAnsi="Times New Roman" w:cs="Times New Roman"/>
                <w:b/>
                <w:sz w:val="24"/>
                <w:szCs w:val="24"/>
              </w:rPr>
              <w:t>Допустими целеви групи по процедура „Осигуряване на достъп до качествено образование в малките населени места и в трудно достъпните райони“</w:t>
            </w:r>
            <w:r w:rsidR="00FB4B2D">
              <w:rPr>
                <w:rFonts w:ascii="Times New Roman" w:hAnsi="Times New Roman" w:cs="Times New Roman"/>
                <w:b/>
                <w:sz w:val="24"/>
                <w:szCs w:val="24"/>
              </w:rPr>
              <w:t xml:space="preserve"> </w:t>
            </w:r>
            <w:r w:rsidRPr="003B309A">
              <w:rPr>
                <w:rFonts w:ascii="Times New Roman" w:hAnsi="Times New Roman" w:cs="Times New Roman"/>
                <w:b/>
                <w:sz w:val="24"/>
                <w:szCs w:val="24"/>
              </w:rPr>
              <w:t xml:space="preserve">са: </w:t>
            </w:r>
          </w:p>
          <w:p w14:paraId="577C29C9"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Деца и ученици от </w:t>
            </w:r>
            <w:proofErr w:type="spellStart"/>
            <w:r w:rsidRPr="003B309A">
              <w:rPr>
                <w:rFonts w:ascii="Times New Roman" w:hAnsi="Times New Roman" w:cs="Times New Roman"/>
                <w:b/>
                <w:sz w:val="24"/>
                <w:szCs w:val="24"/>
              </w:rPr>
              <w:t>маргинализирани</w:t>
            </w:r>
            <w:proofErr w:type="spellEnd"/>
            <w:r w:rsidRPr="003B309A">
              <w:rPr>
                <w:rFonts w:ascii="Times New Roman" w:hAnsi="Times New Roman" w:cs="Times New Roman"/>
                <w:b/>
                <w:sz w:val="24"/>
                <w:szCs w:val="24"/>
              </w:rPr>
              <w:t xml:space="preserve"> групи, включително роми;</w:t>
            </w:r>
          </w:p>
          <w:p w14:paraId="515BF3E4"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Родители/настойници от </w:t>
            </w:r>
            <w:proofErr w:type="spellStart"/>
            <w:r w:rsidRPr="003B309A">
              <w:rPr>
                <w:rFonts w:ascii="Times New Roman" w:hAnsi="Times New Roman" w:cs="Times New Roman"/>
                <w:b/>
                <w:sz w:val="24"/>
                <w:szCs w:val="24"/>
              </w:rPr>
              <w:t>маргинализираните</w:t>
            </w:r>
            <w:proofErr w:type="spellEnd"/>
            <w:r w:rsidRPr="003B309A">
              <w:rPr>
                <w:rFonts w:ascii="Times New Roman" w:hAnsi="Times New Roman" w:cs="Times New Roman"/>
                <w:b/>
                <w:sz w:val="24"/>
                <w:szCs w:val="24"/>
              </w:rPr>
              <w:t xml:space="preserve"> групи, включително роми.</w:t>
            </w:r>
          </w:p>
          <w:p w14:paraId="14502298" w14:textId="77777777" w:rsidR="00AD731B" w:rsidRDefault="00AD731B" w:rsidP="00622456">
            <w:pPr>
              <w:spacing w:after="120"/>
              <w:jc w:val="both"/>
              <w:rPr>
                <w:rFonts w:ascii="Times New Roman" w:hAnsi="Times New Roman" w:cs="Times New Roman"/>
                <w:b/>
                <w:sz w:val="24"/>
                <w:szCs w:val="24"/>
              </w:rPr>
            </w:pPr>
          </w:p>
          <w:p w14:paraId="164E5560" w14:textId="77777777" w:rsidR="00DE7C76" w:rsidRDefault="003B309A" w:rsidP="00622456">
            <w:pPr>
              <w:spacing w:after="120"/>
              <w:jc w:val="both"/>
              <w:rPr>
                <w:rFonts w:ascii="Times New Roman" w:hAnsi="Times New Roman" w:cs="Times New Roman"/>
                <w:sz w:val="24"/>
                <w:szCs w:val="24"/>
              </w:rPr>
            </w:pPr>
            <w:r w:rsidRPr="00FB4B2D">
              <w:rPr>
                <w:rFonts w:ascii="Times New Roman" w:hAnsi="Times New Roman" w:cs="Times New Roman"/>
                <w:b/>
                <w:sz w:val="24"/>
                <w:szCs w:val="24"/>
              </w:rPr>
              <w:t>ВАЖНО!</w:t>
            </w:r>
            <w:r w:rsidRPr="003B309A">
              <w:rPr>
                <w:rFonts w:ascii="Times New Roman" w:hAnsi="Times New Roman" w:cs="Times New Roman"/>
                <w:sz w:val="24"/>
                <w:szCs w:val="24"/>
              </w:rPr>
              <w:t xml:space="preserve"> </w:t>
            </w:r>
          </w:p>
          <w:p w14:paraId="4FA84393" w14:textId="562DEFB5" w:rsidR="003B309A"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lastRenderedPageBreak/>
              <w:t xml:space="preserve">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3B309A">
              <w:rPr>
                <w:rFonts w:ascii="Times New Roman" w:hAnsi="Times New Roman" w:cs="Times New Roman"/>
                <w:sz w:val="24"/>
                <w:szCs w:val="24"/>
              </w:rPr>
              <w:t>маргинализираните</w:t>
            </w:r>
            <w:proofErr w:type="spellEnd"/>
            <w:r w:rsidRPr="003B309A">
              <w:rPr>
                <w:rFonts w:ascii="Times New Roman" w:hAnsi="Times New Roman" w:cs="Times New Roman"/>
                <w:sz w:val="24"/>
                <w:szCs w:val="24"/>
              </w:rPr>
              <w:t xml:space="preserve"> групи.</w:t>
            </w:r>
          </w:p>
          <w:p w14:paraId="05353EC4" w14:textId="1FCF2A0A" w:rsidR="003B309A" w:rsidRDefault="003B309A" w:rsidP="00622456">
            <w:pPr>
              <w:spacing w:after="120"/>
              <w:jc w:val="both"/>
              <w:rPr>
                <w:rFonts w:ascii="Times New Roman" w:hAnsi="Times New Roman" w:cs="Times New Roman"/>
                <w:sz w:val="24"/>
                <w:szCs w:val="24"/>
              </w:rPr>
            </w:pPr>
            <w:r w:rsidRPr="00EF6D41">
              <w:rPr>
                <w:rFonts w:ascii="Times New Roman" w:hAnsi="Times New Roman" w:cs="Times New Roman"/>
                <w:sz w:val="24"/>
                <w:szCs w:val="24"/>
              </w:rPr>
              <w:t xml:space="preserve">В съответствие с определението за </w:t>
            </w:r>
            <w:proofErr w:type="spellStart"/>
            <w:r>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групи, дадено в </w:t>
            </w:r>
            <w:r w:rsidRPr="00EF6D41">
              <w:rPr>
                <w:rFonts w:ascii="Times New Roman" w:hAnsi="Times New Roman" w:cs="Times New Roman"/>
                <w:sz w:val="24"/>
                <w:szCs w:val="24"/>
              </w:rPr>
              <w:t>Споразумението за партньорство на Република България за про</w:t>
            </w:r>
            <w:r>
              <w:rPr>
                <w:rFonts w:ascii="Times New Roman" w:hAnsi="Times New Roman" w:cs="Times New Roman"/>
                <w:sz w:val="24"/>
                <w:szCs w:val="24"/>
              </w:rPr>
              <w:t xml:space="preserve">грамен период 2014 – 2020 </w:t>
            </w:r>
            <w:r w:rsidRPr="00EF6D41">
              <w:rPr>
                <w:rFonts w:ascii="Times New Roman" w:hAnsi="Times New Roman" w:cs="Times New Roman"/>
                <w:sz w:val="24"/>
                <w:szCs w:val="24"/>
              </w:rPr>
              <w:t>г., Министерството на образованието и науката (МОН)</w:t>
            </w:r>
            <w:r>
              <w:rPr>
                <w:rFonts w:ascii="Times New Roman" w:hAnsi="Times New Roman" w:cs="Times New Roman"/>
                <w:sz w:val="24"/>
                <w:szCs w:val="24"/>
              </w:rPr>
              <w:t xml:space="preserve"> разработи методика (система от </w:t>
            </w:r>
            <w:r w:rsidRPr="00EF6D41">
              <w:rPr>
                <w:rFonts w:ascii="Times New Roman" w:hAnsi="Times New Roman" w:cs="Times New Roman"/>
                <w:sz w:val="24"/>
                <w:szCs w:val="24"/>
              </w:rPr>
              <w:t>критерии) за определяне на децата и учениците, за които с</w:t>
            </w:r>
            <w:r>
              <w:rPr>
                <w:rFonts w:ascii="Times New Roman" w:hAnsi="Times New Roman" w:cs="Times New Roman"/>
                <w:sz w:val="24"/>
                <w:szCs w:val="24"/>
              </w:rPr>
              <w:t xml:space="preserve">ъществува риск от образователно </w:t>
            </w:r>
            <w:r w:rsidRPr="00EF6D41">
              <w:rPr>
                <w:rFonts w:ascii="Times New Roman" w:hAnsi="Times New Roman" w:cs="Times New Roman"/>
                <w:sz w:val="24"/>
                <w:szCs w:val="24"/>
              </w:rPr>
              <w:t>изключване и на които следва да се осигури допълнителна по</w:t>
            </w:r>
            <w:r>
              <w:rPr>
                <w:rFonts w:ascii="Times New Roman" w:hAnsi="Times New Roman" w:cs="Times New Roman"/>
                <w:sz w:val="24"/>
                <w:szCs w:val="24"/>
              </w:rPr>
              <w:t xml:space="preserve">мощ за преодоляване на този </w:t>
            </w:r>
            <w:r w:rsidRPr="00EF6D41">
              <w:rPr>
                <w:rFonts w:ascii="Times New Roman" w:hAnsi="Times New Roman" w:cs="Times New Roman"/>
                <w:sz w:val="24"/>
                <w:szCs w:val="24"/>
              </w:rPr>
              <w:t>риск. Съгласно тази методика и с оглед специфичн</w:t>
            </w:r>
            <w:r>
              <w:rPr>
                <w:rFonts w:ascii="Times New Roman" w:hAnsi="Times New Roman" w:cs="Times New Roman"/>
                <w:sz w:val="24"/>
                <w:szCs w:val="24"/>
              </w:rPr>
              <w:t xml:space="preserve">ите цели и задачи на Оперативна </w:t>
            </w:r>
            <w:r w:rsidRPr="00EF6D41">
              <w:rPr>
                <w:rFonts w:ascii="Times New Roman" w:hAnsi="Times New Roman" w:cs="Times New Roman"/>
                <w:sz w:val="24"/>
                <w:szCs w:val="24"/>
              </w:rPr>
              <w:t xml:space="preserve">програма „Наука и образование за интелигентен </w:t>
            </w:r>
            <w:r>
              <w:rPr>
                <w:rFonts w:ascii="Times New Roman" w:hAnsi="Times New Roman" w:cs="Times New Roman"/>
                <w:sz w:val="24"/>
                <w:szCs w:val="24"/>
              </w:rPr>
              <w:t xml:space="preserve">растеж“ </w:t>
            </w:r>
            <w:r w:rsidR="00536CA6">
              <w:rPr>
                <w:rFonts w:ascii="Times New Roman" w:hAnsi="Times New Roman" w:cs="Times New Roman"/>
                <w:sz w:val="24"/>
                <w:szCs w:val="24"/>
              </w:rPr>
              <w:t xml:space="preserve">2014-2020 г. </w:t>
            </w:r>
            <w:r>
              <w:rPr>
                <w:rFonts w:ascii="Times New Roman" w:hAnsi="Times New Roman" w:cs="Times New Roman"/>
                <w:sz w:val="24"/>
                <w:szCs w:val="24"/>
              </w:rPr>
              <w:t xml:space="preserve">(ОП НОИР), за целите на </w:t>
            </w:r>
            <w:r w:rsidRPr="00EF6D41">
              <w:rPr>
                <w:rFonts w:ascii="Times New Roman" w:hAnsi="Times New Roman" w:cs="Times New Roman"/>
                <w:sz w:val="24"/>
                <w:szCs w:val="24"/>
              </w:rPr>
              <w:t>настоящата операция в понятието „</w:t>
            </w:r>
            <w:proofErr w:type="spellStart"/>
            <w:r w:rsidRPr="00EF6D41">
              <w:rPr>
                <w:rFonts w:ascii="Times New Roman" w:hAnsi="Times New Roman" w:cs="Times New Roman"/>
                <w:sz w:val="24"/>
                <w:szCs w:val="24"/>
              </w:rPr>
              <w:t>маргинализирана</w:t>
            </w:r>
            <w:proofErr w:type="spellEnd"/>
            <w:r w:rsidRPr="00EF6D41">
              <w:rPr>
                <w:rFonts w:ascii="Times New Roman" w:hAnsi="Times New Roman" w:cs="Times New Roman"/>
                <w:sz w:val="24"/>
                <w:szCs w:val="24"/>
              </w:rPr>
              <w:t xml:space="preserve"> група“ се включват</w:t>
            </w:r>
            <w:r>
              <w:rPr>
                <w:rFonts w:ascii="Times New Roman" w:hAnsi="Times New Roman" w:cs="Times New Roman"/>
                <w:sz w:val="24"/>
                <w:szCs w:val="24"/>
              </w:rPr>
              <w:t xml:space="preserve"> деца и ученици, </w:t>
            </w:r>
            <w:r w:rsidRPr="00EF6D41">
              <w:rPr>
                <w:rFonts w:ascii="Times New Roman" w:hAnsi="Times New Roman" w:cs="Times New Roman"/>
                <w:sz w:val="24"/>
                <w:szCs w:val="24"/>
              </w:rPr>
              <w:t>които имат ограничен достъп до качествени образова</w:t>
            </w:r>
            <w:r>
              <w:rPr>
                <w:rFonts w:ascii="Times New Roman" w:hAnsi="Times New Roman" w:cs="Times New Roman"/>
                <w:sz w:val="24"/>
                <w:szCs w:val="24"/>
              </w:rPr>
              <w:t xml:space="preserve">телни услуги, поради проблеми в </w:t>
            </w:r>
            <w:r w:rsidRPr="00EF6D41">
              <w:rPr>
                <w:rFonts w:ascii="Times New Roman" w:hAnsi="Times New Roman" w:cs="Times New Roman"/>
                <w:sz w:val="24"/>
                <w:szCs w:val="24"/>
              </w:rPr>
              <w:t>социално-битовата им среда, ниския образов</w:t>
            </w:r>
            <w:r>
              <w:rPr>
                <w:rFonts w:ascii="Times New Roman" w:hAnsi="Times New Roman" w:cs="Times New Roman"/>
                <w:sz w:val="24"/>
                <w:szCs w:val="24"/>
              </w:rPr>
              <w:t xml:space="preserve">ателен статус на родителите им, </w:t>
            </w:r>
            <w:proofErr w:type="spellStart"/>
            <w:r w:rsidRPr="00EF6D41">
              <w:rPr>
                <w:rFonts w:ascii="Times New Roman" w:hAnsi="Times New Roman" w:cs="Times New Roman"/>
                <w:sz w:val="24"/>
                <w:szCs w:val="24"/>
              </w:rPr>
              <w:t>етнокултурнитe</w:t>
            </w:r>
            <w:proofErr w:type="spellEnd"/>
            <w:r w:rsidRPr="00EF6D41">
              <w:rPr>
                <w:rFonts w:ascii="Times New Roman" w:hAnsi="Times New Roman" w:cs="Times New Roman"/>
                <w:sz w:val="24"/>
                <w:szCs w:val="24"/>
              </w:rPr>
              <w:t xml:space="preserve"> им различия или териториалните особе</w:t>
            </w:r>
            <w:r>
              <w:rPr>
                <w:rFonts w:ascii="Times New Roman" w:hAnsi="Times New Roman" w:cs="Times New Roman"/>
                <w:sz w:val="24"/>
                <w:szCs w:val="24"/>
              </w:rPr>
              <w:t xml:space="preserve">ности на населеното място. Това </w:t>
            </w:r>
            <w:r w:rsidRPr="00EF6D41">
              <w:rPr>
                <w:rFonts w:ascii="Times New Roman" w:hAnsi="Times New Roman" w:cs="Times New Roman"/>
                <w:sz w:val="24"/>
                <w:szCs w:val="24"/>
              </w:rPr>
              <w:t>води до риск от ранното им отпадане от образователната</w:t>
            </w:r>
            <w:r>
              <w:rPr>
                <w:rFonts w:ascii="Times New Roman" w:hAnsi="Times New Roman" w:cs="Times New Roman"/>
                <w:sz w:val="24"/>
                <w:szCs w:val="24"/>
              </w:rPr>
              <w:t xml:space="preserve"> система и последваща социално- </w:t>
            </w:r>
            <w:r w:rsidRPr="00EF6D41">
              <w:rPr>
                <w:rFonts w:ascii="Times New Roman" w:hAnsi="Times New Roman" w:cs="Times New Roman"/>
                <w:sz w:val="24"/>
                <w:szCs w:val="24"/>
              </w:rPr>
              <w:t xml:space="preserve">икономическа изолация. </w:t>
            </w:r>
          </w:p>
          <w:p w14:paraId="5B4A41D5" w14:textId="77777777" w:rsidR="003B309A" w:rsidRPr="002B1899" w:rsidRDefault="003B309A" w:rsidP="00622456">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t xml:space="preserve">Методика за определяне на принадлежност към </w:t>
            </w:r>
            <w:proofErr w:type="spellStart"/>
            <w:r w:rsidRPr="002B1899">
              <w:rPr>
                <w:rFonts w:ascii="Times New Roman" w:hAnsi="Times New Roman" w:cs="Times New Roman"/>
                <w:b/>
                <w:i/>
                <w:sz w:val="24"/>
                <w:szCs w:val="24"/>
              </w:rPr>
              <w:t>маргинализирани</w:t>
            </w:r>
            <w:proofErr w:type="spellEnd"/>
            <w:r w:rsidRPr="002B1899">
              <w:rPr>
                <w:rFonts w:ascii="Times New Roman" w:hAnsi="Times New Roman" w:cs="Times New Roman"/>
                <w:b/>
                <w:i/>
                <w:sz w:val="24"/>
                <w:szCs w:val="24"/>
              </w:rPr>
              <w:t xml:space="preserve"> групи е представена в Приложение № </w:t>
            </w:r>
            <w:r w:rsidR="009718AF" w:rsidRPr="002B1899">
              <w:rPr>
                <w:rFonts w:ascii="Times New Roman" w:hAnsi="Times New Roman" w:cs="Times New Roman"/>
                <w:b/>
                <w:i/>
                <w:sz w:val="24"/>
                <w:szCs w:val="24"/>
                <w:lang w:val="en-US"/>
              </w:rPr>
              <w:t>XVII</w:t>
            </w:r>
            <w:r w:rsidR="009718AF" w:rsidRPr="002B1899">
              <w:rPr>
                <w:rFonts w:ascii="Times New Roman" w:hAnsi="Times New Roman" w:cs="Times New Roman"/>
                <w:b/>
                <w:i/>
                <w:sz w:val="24"/>
                <w:szCs w:val="24"/>
              </w:rPr>
              <w:t xml:space="preserve"> </w:t>
            </w:r>
            <w:r w:rsidRPr="002B1899">
              <w:rPr>
                <w:rFonts w:ascii="Times New Roman" w:hAnsi="Times New Roman" w:cs="Times New Roman"/>
                <w:b/>
                <w:i/>
                <w:sz w:val="24"/>
                <w:szCs w:val="24"/>
              </w:rPr>
              <w:t>към настоящия</w:t>
            </w:r>
            <w:r w:rsidR="00D15720" w:rsidRPr="002B1899">
              <w:rPr>
                <w:rFonts w:ascii="Times New Roman" w:hAnsi="Times New Roman" w:cs="Times New Roman"/>
                <w:b/>
                <w:i/>
                <w:sz w:val="24"/>
                <w:szCs w:val="24"/>
              </w:rPr>
              <w:t xml:space="preserve"> документ. </w:t>
            </w:r>
          </w:p>
          <w:p w14:paraId="5D53780A" w14:textId="37CA2C18" w:rsidR="00CC6E80" w:rsidRPr="00D15720" w:rsidRDefault="00221898" w:rsidP="00221898">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t>Във формуляра за кандидатстване в поле „Описание на целевата група“ от секция  „Допълнителна информация за оценка на проектното предложение“ к</w:t>
            </w:r>
            <w:r w:rsidR="00CC6E80" w:rsidRPr="002B1899">
              <w:rPr>
                <w:rFonts w:ascii="Times New Roman" w:hAnsi="Times New Roman" w:cs="Times New Roman"/>
                <w:b/>
                <w:i/>
                <w:sz w:val="24"/>
                <w:szCs w:val="24"/>
              </w:rPr>
              <w:t xml:space="preserve">андидатът </w:t>
            </w:r>
            <w:r w:rsidR="00CC6E80" w:rsidRPr="006940EA">
              <w:rPr>
                <w:rFonts w:ascii="Times New Roman" w:hAnsi="Times New Roman" w:cs="Times New Roman"/>
                <w:b/>
                <w:i/>
                <w:sz w:val="24"/>
                <w:szCs w:val="24"/>
              </w:rPr>
              <w:t>трябва да опише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Представителите на целевата група, включени в проектното предложение,  трябва да бъдат описани с техните конкретни характеристики съгласно Условията за кандидатстване, както и да се посочи колко лица от целевата група ще бъдат включени в проекта.</w:t>
            </w:r>
            <w:r w:rsidR="00CC6E80">
              <w:rPr>
                <w:rFonts w:ascii="Times New Roman" w:hAnsi="Times New Roman" w:cs="Times New Roman"/>
                <w:b/>
                <w:i/>
                <w:sz w:val="24"/>
                <w:szCs w:val="24"/>
              </w:rPr>
              <w:t xml:space="preserve">  </w:t>
            </w:r>
          </w:p>
        </w:tc>
      </w:tr>
    </w:tbl>
    <w:p w14:paraId="57D34B43" w14:textId="77777777" w:rsidR="00AE240F" w:rsidRDefault="00AE240F"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rsidRPr="005F2923" w14:paraId="0B60B138" w14:textId="77777777" w:rsidTr="00CA777C">
        <w:tc>
          <w:tcPr>
            <w:tcW w:w="10207" w:type="dxa"/>
          </w:tcPr>
          <w:p w14:paraId="5FFB33BD" w14:textId="5828584D" w:rsidR="003B309A" w:rsidRPr="005F3A6D" w:rsidRDefault="004F5D84"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t>16</w:t>
            </w:r>
            <w:r w:rsidR="003B309A" w:rsidRPr="005F3A6D">
              <w:rPr>
                <w:rFonts w:ascii="Times New Roman" w:hAnsi="Times New Roman" w:cs="Times New Roman"/>
                <w:b/>
                <w:sz w:val="24"/>
                <w:szCs w:val="24"/>
              </w:rPr>
              <w:t>. Приложим режим на държавни помощи</w:t>
            </w:r>
          </w:p>
          <w:p w14:paraId="614BE879" w14:textId="77777777" w:rsidR="00AD731B" w:rsidRPr="005F3A6D" w:rsidRDefault="00AD731B" w:rsidP="00622456">
            <w:pPr>
              <w:spacing w:after="120"/>
              <w:jc w:val="both"/>
              <w:rPr>
                <w:rFonts w:ascii="Times New Roman" w:hAnsi="Times New Roman" w:cs="Times New Roman"/>
                <w:b/>
                <w:i/>
                <w:sz w:val="24"/>
                <w:szCs w:val="24"/>
              </w:rPr>
            </w:pPr>
          </w:p>
          <w:p w14:paraId="3B51D68F" w14:textId="77777777" w:rsidR="00DE7C76" w:rsidRPr="005F3A6D" w:rsidRDefault="003B309A"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t xml:space="preserve">ВАЖНО! </w:t>
            </w:r>
          </w:p>
          <w:p w14:paraId="42FCC7CE" w14:textId="4CE8FCBF" w:rsidR="003B309A" w:rsidRPr="005F3A6D" w:rsidRDefault="006C749E" w:rsidP="00622456">
            <w:pPr>
              <w:spacing w:after="120"/>
              <w:jc w:val="both"/>
              <w:rPr>
                <w:rFonts w:ascii="Times New Roman" w:hAnsi="Times New Roman" w:cs="Times New Roman"/>
                <w:b/>
                <w:i/>
                <w:sz w:val="24"/>
                <w:szCs w:val="24"/>
              </w:rPr>
            </w:pPr>
            <w:r w:rsidRPr="005F3A6D">
              <w:rPr>
                <w:rFonts w:ascii="Times New Roman" w:hAnsi="Times New Roman" w:cs="Times New Roman"/>
                <w:b/>
                <w:i/>
                <w:sz w:val="24"/>
                <w:szCs w:val="24"/>
              </w:rPr>
              <w:t xml:space="preserve">Настоящите Условия </w:t>
            </w:r>
            <w:r w:rsidR="003B309A" w:rsidRPr="005F3A6D">
              <w:rPr>
                <w:rFonts w:ascii="Times New Roman" w:hAnsi="Times New Roman" w:cs="Times New Roman"/>
                <w:b/>
                <w:i/>
                <w:sz w:val="24"/>
                <w:szCs w:val="24"/>
              </w:rPr>
              <w:t xml:space="preserve">за кандидатстване </w:t>
            </w:r>
            <w:r w:rsidRPr="005F3A6D">
              <w:rPr>
                <w:rFonts w:ascii="Times New Roman" w:hAnsi="Times New Roman" w:cs="Times New Roman"/>
                <w:b/>
                <w:i/>
                <w:sz w:val="24"/>
                <w:szCs w:val="24"/>
              </w:rPr>
              <w:t xml:space="preserve">са разработени в </w:t>
            </w:r>
            <w:r w:rsidR="003B309A" w:rsidRPr="005F3A6D">
              <w:rPr>
                <w:rFonts w:ascii="Times New Roman" w:hAnsi="Times New Roman" w:cs="Times New Roman"/>
                <w:b/>
                <w:i/>
                <w:sz w:val="24"/>
                <w:szCs w:val="24"/>
              </w:rPr>
              <w:t xml:space="preserve"> съответствие с приложимите правила за държавни помощи по реда на чл. 3, т.1. от Наредба № 4 от 22.07.2016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 (ЗУСЕСИФ).</w:t>
            </w:r>
          </w:p>
          <w:p w14:paraId="768A041F" w14:textId="4D687C83" w:rsidR="003B309A" w:rsidRDefault="003B309A" w:rsidP="00622456">
            <w:pPr>
              <w:spacing w:after="120"/>
              <w:jc w:val="both"/>
              <w:rPr>
                <w:rFonts w:ascii="Times New Roman" w:hAnsi="Times New Roman" w:cs="Times New Roman"/>
                <w:sz w:val="24"/>
                <w:szCs w:val="24"/>
              </w:rPr>
            </w:pPr>
            <w:r w:rsidRPr="005F3A6D">
              <w:rPr>
                <w:rFonts w:ascii="Times New Roman" w:hAnsi="Times New Roman" w:cs="Times New Roman"/>
                <w:sz w:val="24"/>
                <w:szCs w:val="24"/>
              </w:rPr>
              <w:t>Предоставяната по настоящата процедура безвъзмездна финансова помощ (БФП) не представлява държавна помощ (ДП) по смисъла на чл. 107 от Договора за функционирането на Европейския съюз (ДФЕС) съгласно съдебна практика на Европейския съд и Съобщение на Европейската комисия от юли 2016 г. относно понятието за държавна помощ, посочено в Член 107, параграф 1 от ДФЕС, общественото образование, организирано в рамките на националната образователна система, финансирано и контролирано от държавата, се счита за неикономическа дейност.</w:t>
            </w:r>
          </w:p>
          <w:p w14:paraId="37BAC3F9"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 xml:space="preserve">Когато бенефициентите/партньорите, частни детски градини и училища по Закона за предучилищното и училищно образование и НПО по ЗЮЛНЦ в обществена полза, осъществяват </w:t>
            </w:r>
            <w:r w:rsidRPr="008F774F">
              <w:rPr>
                <w:rFonts w:ascii="Times New Roman" w:hAnsi="Times New Roman" w:cs="Times New Roman"/>
                <w:sz w:val="24"/>
                <w:szCs w:val="24"/>
              </w:rPr>
              <w:lastRenderedPageBreak/>
              <w:t xml:space="preserve">и икономическа дейност, те следва да водят аналитична счетоводна отчетност, която еднозначно да разграничава икономическата от неикономическата дейност. </w:t>
            </w:r>
          </w:p>
          <w:p w14:paraId="12FCF6CF"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Допустимите партньори–юридически лица, регистрирани по Закона за юридическите лица с нестопанска цел (ЗЮЛНЦ) за общественополезна дейност, когато извършват допълнителна стопанска дейност съгласно чл. 3 от ЗЮЛНЦ  следва да имат разграничение на двата вида дейност отразени в устава или учредителния акт  и годишните счетоводни  отчети. ЗЮЛНЦ следва да докажат, че приходите от определената стопанската дейност (свързана с основната дейност) се използват за постигане на целите на сдружението, не разпределят печалба, имат аналитична счетоводна отчетност на неикономическата от икономическата дейност, видно от устав/учредителен акт, възприетата счетоводна политика и годишни финансови отчети.</w:t>
            </w:r>
          </w:p>
          <w:p w14:paraId="3C7D9D9C" w14:textId="6125B242" w:rsidR="0007243A" w:rsidRPr="005F3A6D" w:rsidRDefault="0007243A" w:rsidP="00622456">
            <w:pPr>
              <w:spacing w:after="120"/>
              <w:jc w:val="both"/>
              <w:rPr>
                <w:rFonts w:ascii="Times New Roman" w:hAnsi="Times New Roman" w:cs="Times New Roman"/>
                <w:sz w:val="24"/>
                <w:szCs w:val="24"/>
              </w:rPr>
            </w:pPr>
            <w:r w:rsidRPr="008F774F">
              <w:rPr>
                <w:rFonts w:ascii="Times New Roman" w:hAnsi="Times New Roman" w:cs="Times New Roman"/>
                <w:sz w:val="24"/>
                <w:szCs w:val="24"/>
              </w:rPr>
              <w:t>Финансирането по настоящата процедура е единствено за дейности с неикономически характер, което на етап изпълнение на проекта се проверява чрез счетоводни документи и информация от счетоводната система на бенефициента (вкл., училищата и детските градини), проверки на процедурите по ЗОП, проверки на място. При констатиране на финансиране на икономически дейности по настоящата процедура то тези средства се възстановяват заедно с дължимата лихва съгласно Закона за държавните п</w:t>
            </w:r>
            <w:r>
              <w:rPr>
                <w:rFonts w:ascii="Times New Roman" w:hAnsi="Times New Roman" w:cs="Times New Roman"/>
                <w:sz w:val="24"/>
                <w:szCs w:val="24"/>
              </w:rPr>
              <w:t>омощи ( ДВ бр. 85 от 2017 г. ).</w:t>
            </w:r>
          </w:p>
          <w:p w14:paraId="19F19C2D"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ЮЛНЦ подават и декларация за разграничение на икономическата от неикономическата дейност (Приложение V).</w:t>
            </w:r>
          </w:p>
          <w:p w14:paraId="2329766C" w14:textId="65012A42" w:rsidR="00432F45" w:rsidRPr="00D426E1" w:rsidRDefault="0007243A" w:rsidP="0007243A">
            <w:pPr>
              <w:spacing w:after="120"/>
              <w:jc w:val="both"/>
              <w:rPr>
                <w:rFonts w:ascii="Times New Roman" w:hAnsi="Times New Roman" w:cs="Times New Roman"/>
                <w:sz w:val="24"/>
                <w:szCs w:val="24"/>
                <w:highlight w:val="yellow"/>
              </w:rPr>
            </w:pPr>
            <w:r w:rsidRPr="008F774F">
              <w:rPr>
                <w:rFonts w:ascii="Times New Roman"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w:t>
            </w:r>
            <w:r>
              <w:rPr>
                <w:rFonts w:ascii="Times New Roman" w:hAnsi="Times New Roman" w:cs="Times New Roman"/>
                <w:sz w:val="24"/>
                <w:szCs w:val="24"/>
              </w:rPr>
              <w:t>ите http://stateaid.minfin.bg/.</w:t>
            </w:r>
          </w:p>
          <w:p w14:paraId="35176BAD" w14:textId="77777777" w:rsidR="00DE7C76" w:rsidRPr="005F3A6D"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b/>
                <w:color w:val="auto"/>
                <w:sz w:val="24"/>
                <w:szCs w:val="24"/>
                <w:u w:val="none"/>
              </w:rPr>
              <w:t>ВАЖНО!</w:t>
            </w:r>
            <w:r w:rsidRPr="005F3A6D">
              <w:rPr>
                <w:rStyle w:val="a7"/>
                <w:rFonts w:ascii="Times New Roman" w:hAnsi="Times New Roman" w:cs="Times New Roman"/>
                <w:color w:val="auto"/>
                <w:sz w:val="24"/>
                <w:szCs w:val="24"/>
                <w:u w:val="none"/>
              </w:rPr>
              <w:t xml:space="preserve"> </w:t>
            </w:r>
          </w:p>
          <w:p w14:paraId="098188B8" w14:textId="55D7652E" w:rsidR="00362DEB" w:rsidRPr="002B1899"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color w:val="auto"/>
                <w:sz w:val="24"/>
                <w:szCs w:val="24"/>
                <w:u w:val="none"/>
              </w:rPr>
              <w:t xml:space="preserve">Доставчиците на стоки и услуги, необходими за реализиране на дейностите по мярката ще бъдат избирани по реда на Закона за обществените поръчки или на Глава Четвърта от Закона за управление на средствата от Европейския съюз и съответната подзаконовата нормативна уредба, въз основа на открити, прозрачни </w:t>
            </w:r>
            <w:r w:rsidR="00CB4819">
              <w:rPr>
                <w:rStyle w:val="a7"/>
                <w:rFonts w:ascii="Times New Roman" w:hAnsi="Times New Roman" w:cs="Times New Roman"/>
                <w:color w:val="auto"/>
                <w:sz w:val="24"/>
                <w:szCs w:val="24"/>
                <w:u w:val="none"/>
              </w:rPr>
              <w:t>и недискриминационни процедури.</w:t>
            </w:r>
          </w:p>
          <w:p w14:paraId="00492AC7" w14:textId="78D8BA20" w:rsidR="008F774F" w:rsidRPr="002B1899" w:rsidRDefault="00432F45" w:rsidP="008F774F">
            <w:pPr>
              <w:spacing w:after="120"/>
              <w:jc w:val="both"/>
              <w:rPr>
                <w:rStyle w:val="a7"/>
                <w:rFonts w:ascii="Times New Roman" w:hAnsi="Times New Roman" w:cs="Times New Roman"/>
                <w:color w:val="auto"/>
                <w:sz w:val="24"/>
                <w:szCs w:val="24"/>
                <w:u w:val="none"/>
                <w:lang w:val="en-US"/>
              </w:rPr>
            </w:pPr>
            <w:proofErr w:type="spellStart"/>
            <w:r w:rsidRPr="002B1899">
              <w:rPr>
                <w:rStyle w:val="a7"/>
                <w:rFonts w:ascii="Times New Roman" w:hAnsi="Times New Roman" w:cs="Times New Roman"/>
                <w:color w:val="auto"/>
                <w:sz w:val="24"/>
                <w:szCs w:val="24"/>
                <w:u w:val="none"/>
              </w:rPr>
              <w:t>Бенефициерите</w:t>
            </w:r>
            <w:proofErr w:type="spellEnd"/>
            <w:r w:rsidRPr="002B1899">
              <w:rPr>
                <w:rStyle w:val="a7"/>
                <w:rFonts w:ascii="Times New Roman" w:hAnsi="Times New Roman" w:cs="Times New Roman"/>
                <w:color w:val="auto"/>
                <w:sz w:val="24"/>
                <w:szCs w:val="24"/>
                <w:u w:val="none"/>
              </w:rPr>
              <w:t xml:space="preserve">/партньорите ще извършват дейности свързани с разходи от бюджета по т. </w:t>
            </w:r>
            <w:r w:rsidR="008F774F" w:rsidRPr="002B1899">
              <w:rPr>
                <w:rStyle w:val="a7"/>
                <w:rFonts w:ascii="Times New Roman" w:hAnsi="Times New Roman" w:cs="Times New Roman"/>
                <w:color w:val="auto"/>
                <w:sz w:val="24"/>
                <w:szCs w:val="24"/>
                <w:u w:val="none"/>
              </w:rPr>
              <w:t>I. Р</w:t>
            </w:r>
            <w:r w:rsidRPr="002B1899">
              <w:rPr>
                <w:rStyle w:val="a7"/>
                <w:rFonts w:ascii="Times New Roman" w:hAnsi="Times New Roman" w:cs="Times New Roman"/>
                <w:color w:val="auto"/>
                <w:sz w:val="24"/>
                <w:szCs w:val="24"/>
                <w:u w:val="none"/>
              </w:rPr>
              <w:t>азходи за персонал/участници в изпълнение на дейностите и т. V. Непреки разходи</w:t>
            </w:r>
          </w:p>
          <w:p w14:paraId="14D0051C" w14:textId="034490B1" w:rsidR="008F774F" w:rsidRPr="0007243A" w:rsidRDefault="00432F45" w:rsidP="00622456">
            <w:pPr>
              <w:spacing w:after="120"/>
              <w:jc w:val="both"/>
              <w:rPr>
                <w:rFonts w:ascii="Times New Roman" w:hAnsi="Times New Roman" w:cs="Times New Roman"/>
                <w:sz w:val="24"/>
                <w:szCs w:val="24"/>
                <w:highlight w:val="yellow"/>
              </w:rPr>
            </w:pPr>
            <w:r w:rsidRPr="002B1899">
              <w:rPr>
                <w:rStyle w:val="a7"/>
                <w:rFonts w:ascii="Times New Roman" w:hAnsi="Times New Roman" w:cs="Times New Roman"/>
                <w:color w:val="auto"/>
                <w:sz w:val="24"/>
                <w:szCs w:val="24"/>
                <w:u w:val="none"/>
              </w:rPr>
              <w:t>По реда на Закона за обществените поръчки ще б</w:t>
            </w:r>
            <w:r w:rsidR="00465808" w:rsidRPr="002B1899">
              <w:rPr>
                <w:rStyle w:val="a7"/>
                <w:rFonts w:ascii="Times New Roman" w:hAnsi="Times New Roman" w:cs="Times New Roman"/>
                <w:color w:val="auto"/>
                <w:sz w:val="24"/>
                <w:szCs w:val="24"/>
                <w:u w:val="none"/>
              </w:rPr>
              <w:t>ъдат възлагани дейности</w:t>
            </w:r>
            <w:r w:rsidR="00221898" w:rsidRPr="002B1899">
              <w:rPr>
                <w:rStyle w:val="a7"/>
                <w:rFonts w:ascii="Times New Roman" w:hAnsi="Times New Roman" w:cs="Times New Roman"/>
                <w:color w:val="auto"/>
                <w:sz w:val="24"/>
                <w:szCs w:val="24"/>
                <w:u w:val="none"/>
              </w:rPr>
              <w:t>, за които са обосновани разходи</w:t>
            </w:r>
            <w:r w:rsidR="00465808" w:rsidRPr="002B1899">
              <w:rPr>
                <w:rStyle w:val="a7"/>
                <w:rFonts w:ascii="Times New Roman" w:hAnsi="Times New Roman" w:cs="Times New Roman"/>
                <w:color w:val="auto"/>
                <w:sz w:val="24"/>
                <w:szCs w:val="24"/>
                <w:u w:val="none"/>
              </w:rPr>
              <w:t xml:space="preserve"> по</w:t>
            </w:r>
            <w:r w:rsidRPr="002B1899">
              <w:rPr>
                <w:rStyle w:val="a7"/>
                <w:rFonts w:ascii="Times New Roman" w:hAnsi="Times New Roman" w:cs="Times New Roman"/>
                <w:color w:val="auto"/>
                <w:sz w:val="24"/>
                <w:szCs w:val="24"/>
                <w:u w:val="none"/>
              </w:rPr>
              <w:t xml:space="preserve"> </w:t>
            </w:r>
            <w:proofErr w:type="spellStart"/>
            <w:r w:rsidR="00465808" w:rsidRPr="002B1899">
              <w:rPr>
                <w:rStyle w:val="a7"/>
                <w:rFonts w:ascii="Times New Roman" w:hAnsi="Times New Roman" w:cs="Times New Roman"/>
                <w:color w:val="auto"/>
                <w:sz w:val="24"/>
                <w:szCs w:val="24"/>
                <w:u w:val="none"/>
              </w:rPr>
              <w:t>т.</w:t>
            </w:r>
            <w:r w:rsidR="008F774F" w:rsidRPr="002B1899">
              <w:rPr>
                <w:rStyle w:val="a7"/>
                <w:rFonts w:ascii="Times New Roman" w:hAnsi="Times New Roman" w:cs="Times New Roman"/>
                <w:color w:val="auto"/>
                <w:sz w:val="24"/>
                <w:szCs w:val="24"/>
                <w:u w:val="none"/>
              </w:rPr>
              <w:t>II</w:t>
            </w:r>
            <w:proofErr w:type="spellEnd"/>
            <w:r w:rsidR="008F774F" w:rsidRPr="002B1899">
              <w:rPr>
                <w:rStyle w:val="a7"/>
                <w:rFonts w:ascii="Times New Roman" w:hAnsi="Times New Roman" w:cs="Times New Roman"/>
                <w:color w:val="auto"/>
                <w:sz w:val="24"/>
                <w:szCs w:val="24"/>
                <w:u w:val="none"/>
              </w:rPr>
              <w:t xml:space="preserve">. </w:t>
            </w:r>
            <w:r w:rsidR="00465808" w:rsidRPr="002B1899">
              <w:rPr>
                <w:rStyle w:val="a7"/>
                <w:rFonts w:ascii="Times New Roman" w:hAnsi="Times New Roman" w:cs="Times New Roman"/>
                <w:color w:val="auto"/>
                <w:sz w:val="24"/>
                <w:szCs w:val="24"/>
                <w:u w:val="none"/>
              </w:rPr>
              <w:t xml:space="preserve">Разходи за материали, по т. III. Разходи за услуги и по т. </w:t>
            </w:r>
            <w:r w:rsidR="008F774F" w:rsidRPr="002B1899">
              <w:rPr>
                <w:rStyle w:val="a7"/>
                <w:rFonts w:ascii="Times New Roman" w:hAnsi="Times New Roman" w:cs="Times New Roman"/>
                <w:color w:val="auto"/>
                <w:sz w:val="24"/>
                <w:szCs w:val="24"/>
                <w:u w:val="none"/>
              </w:rPr>
              <w:t>IV. Р</w:t>
            </w:r>
            <w:r w:rsidR="00465808" w:rsidRPr="002B1899">
              <w:rPr>
                <w:rStyle w:val="a7"/>
                <w:rFonts w:ascii="Times New Roman" w:hAnsi="Times New Roman" w:cs="Times New Roman"/>
                <w:color w:val="auto"/>
                <w:sz w:val="24"/>
                <w:szCs w:val="24"/>
                <w:u w:val="none"/>
              </w:rPr>
              <w:t>азходи за провеждане и участие в мероприятия и те ще бъдат извършвани от доставчици на стоки и услуги.</w:t>
            </w:r>
          </w:p>
        </w:tc>
      </w:tr>
    </w:tbl>
    <w:p w14:paraId="177B695B" w14:textId="77777777" w:rsidR="007E1B83" w:rsidRDefault="007E1B8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62DEB" w14:paraId="5B0E264B" w14:textId="77777777" w:rsidTr="00CA777C">
        <w:tc>
          <w:tcPr>
            <w:tcW w:w="10207" w:type="dxa"/>
          </w:tcPr>
          <w:p w14:paraId="74858622" w14:textId="4BD9FEF7" w:rsidR="00362DEB" w:rsidRPr="00321BD2" w:rsidRDefault="00362DEB"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7</w:t>
            </w:r>
            <w:r w:rsidRPr="00321BD2">
              <w:rPr>
                <w:rFonts w:ascii="Times New Roman" w:hAnsi="Times New Roman" w:cs="Times New Roman"/>
                <w:b/>
                <w:sz w:val="24"/>
                <w:szCs w:val="24"/>
              </w:rPr>
              <w:t>. Хоризонтални политики:</w:t>
            </w:r>
          </w:p>
          <w:p w14:paraId="4177C624" w14:textId="270BC704" w:rsidR="00362DEB" w:rsidRPr="00FB4B2D" w:rsidRDefault="00AE33E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Настоящата процедура се провежда при спазване на </w:t>
            </w:r>
            <w:r w:rsidR="00362DEB" w:rsidRPr="00FB4B2D">
              <w:rPr>
                <w:rFonts w:ascii="Times New Roman" w:hAnsi="Times New Roman" w:cs="Times New Roman"/>
                <w:i/>
                <w:sz w:val="24"/>
                <w:szCs w:val="24"/>
              </w:rPr>
              <w:t>хоризонталните принципи в съот</w:t>
            </w:r>
            <w:r>
              <w:rPr>
                <w:rFonts w:ascii="Times New Roman" w:hAnsi="Times New Roman" w:cs="Times New Roman"/>
                <w:i/>
                <w:sz w:val="24"/>
                <w:szCs w:val="24"/>
              </w:rPr>
              <w:t xml:space="preserve">ветствие с </w:t>
            </w:r>
            <w:r w:rsidR="00362DEB" w:rsidRPr="00FB4B2D">
              <w:rPr>
                <w:rFonts w:ascii="Times New Roman" w:hAnsi="Times New Roman" w:cs="Times New Roman"/>
                <w:i/>
                <w:sz w:val="24"/>
                <w:szCs w:val="24"/>
              </w:rPr>
              <w:t xml:space="preserve"> операция „Осигуряване на достъп до качествено образование в малките населени места и в труднодостъпните райони“, по Приоритетна ос 3 „Образователна среда за активно социално включване“ на ОП НОИР. </w:t>
            </w:r>
          </w:p>
          <w:p w14:paraId="2AF93802" w14:textId="77777777" w:rsidR="00362DEB" w:rsidRPr="00362DEB" w:rsidRDefault="00362DEB" w:rsidP="00622456">
            <w:pPr>
              <w:spacing w:after="120"/>
              <w:jc w:val="both"/>
              <w:rPr>
                <w:rFonts w:ascii="Times New Roman" w:hAnsi="Times New Roman" w:cs="Times New Roman"/>
                <w:sz w:val="24"/>
                <w:szCs w:val="24"/>
              </w:rPr>
            </w:pPr>
            <w:r w:rsidRPr="00362DEB">
              <w:rPr>
                <w:rFonts w:ascii="Times New Roman" w:hAnsi="Times New Roman" w:cs="Times New Roman"/>
                <w:sz w:val="24"/>
                <w:szCs w:val="24"/>
              </w:rPr>
              <w:t>Изпълнението на дейностите по процедура</w:t>
            </w:r>
            <w:r>
              <w:rPr>
                <w:rFonts w:ascii="Times New Roman" w:hAnsi="Times New Roman" w:cs="Times New Roman"/>
                <w:sz w:val="24"/>
                <w:szCs w:val="24"/>
              </w:rPr>
              <w:t>та</w:t>
            </w:r>
            <w:r w:rsidRPr="00362DEB">
              <w:rPr>
                <w:rFonts w:ascii="Times New Roman" w:hAnsi="Times New Roman" w:cs="Times New Roman"/>
                <w:sz w:val="24"/>
                <w:szCs w:val="24"/>
              </w:rPr>
              <w:t xml:space="preserve"> следва да бъде съобразено със следните хоризонтални принципи на Оперативна програма „Наука и образование за интелигентен растеж“ 2014-2020 г. :</w:t>
            </w:r>
          </w:p>
          <w:p w14:paraId="165D7C7E" w14:textId="77777777" w:rsidR="00D932B2" w:rsidRDefault="00E51DF7" w:rsidP="00E51DF7">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w:t>
            </w:r>
            <w:r w:rsidR="00D932B2">
              <w:rPr>
                <w:rFonts w:ascii="Times New Roman" w:hAnsi="Times New Roman" w:cs="Times New Roman"/>
                <w:sz w:val="24"/>
                <w:szCs w:val="24"/>
              </w:rPr>
              <w:t>Устойчиво развитие;</w:t>
            </w:r>
          </w:p>
          <w:p w14:paraId="1BCC45F5" w14:textId="66BEC40F" w:rsidR="0007243A" w:rsidRPr="002B1899" w:rsidRDefault="00D932B2"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П</w:t>
            </w:r>
            <w:r w:rsidR="0007243A" w:rsidRPr="002B1899">
              <w:rPr>
                <w:rFonts w:ascii="Times New Roman" w:hAnsi="Times New Roman" w:cs="Times New Roman"/>
                <w:sz w:val="24"/>
                <w:szCs w:val="24"/>
              </w:rPr>
              <w:t>о настоящата процедура ще се подкрепят дейности, които допринасят за опазване на околната среда, за повишаване на ресурсната ефективност и смекчаване на последиците от изменение на климата и приспособяване към тях съгласно Указания за прилагане на принципа на екологична устойчивост в контекста на ОП НОИР –</w:t>
            </w:r>
            <w:r w:rsidR="0007243A" w:rsidRPr="002B1899">
              <w:rPr>
                <w:rFonts w:ascii="Times New Roman" w:hAnsi="Times New Roman" w:cs="Times New Roman"/>
                <w:sz w:val="24"/>
                <w:szCs w:val="24"/>
                <w:lang w:val="en-US"/>
              </w:rPr>
              <w:t>http://sf.mon.bg/</w:t>
            </w:r>
            <w:r w:rsidR="0007243A" w:rsidRPr="002B1899">
              <w:rPr>
                <w:rFonts w:ascii="Times New Roman" w:hAnsi="Times New Roman" w:cs="Times New Roman"/>
                <w:sz w:val="24"/>
                <w:szCs w:val="24"/>
              </w:rPr>
              <w:t>?</w:t>
            </w:r>
            <w:r w:rsidR="0007243A" w:rsidRPr="002B1899">
              <w:rPr>
                <w:rFonts w:ascii="Times New Roman" w:hAnsi="Times New Roman" w:cs="Times New Roman"/>
                <w:sz w:val="24"/>
                <w:szCs w:val="24"/>
                <w:lang w:val="en-US"/>
              </w:rPr>
              <w:t>go=</w:t>
            </w:r>
            <w:proofErr w:type="spellStart"/>
            <w:r w:rsidR="0007243A" w:rsidRPr="002B1899">
              <w:rPr>
                <w:rFonts w:ascii="Times New Roman" w:hAnsi="Times New Roman" w:cs="Times New Roman"/>
                <w:sz w:val="24"/>
                <w:szCs w:val="24"/>
                <w:lang w:val="en-US"/>
              </w:rPr>
              <w:t>page</w:t>
            </w:r>
            <w:r w:rsidR="00E04B0D" w:rsidRPr="002B1899">
              <w:rPr>
                <w:rFonts w:ascii="Times New Roman" w:hAnsi="Times New Roman" w:cs="Times New Roman"/>
                <w:sz w:val="24"/>
                <w:szCs w:val="24"/>
                <w:lang w:val="en-US"/>
              </w:rPr>
              <w:t>&amp;pageId</w:t>
            </w:r>
            <w:proofErr w:type="spellEnd"/>
            <w:r w:rsidR="00E04B0D" w:rsidRPr="002B1899">
              <w:rPr>
                <w:rFonts w:ascii="Times New Roman" w:hAnsi="Times New Roman" w:cs="Times New Roman"/>
                <w:sz w:val="24"/>
                <w:szCs w:val="24"/>
                <w:lang w:val="en-US"/>
              </w:rPr>
              <w:t>=139</w:t>
            </w:r>
            <w:r w:rsidR="00E04B0D" w:rsidRPr="002B1899">
              <w:rPr>
                <w:rFonts w:ascii="Times New Roman" w:hAnsi="Times New Roman" w:cs="Times New Roman"/>
                <w:sz w:val="24"/>
                <w:szCs w:val="24"/>
              </w:rPr>
              <w:t>.</w:t>
            </w:r>
          </w:p>
          <w:p w14:paraId="64AC8834" w14:textId="1C0F8E21" w:rsidR="00362DEB"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2.</w:t>
            </w:r>
            <w:r w:rsidR="00362DEB" w:rsidRPr="002B1899">
              <w:rPr>
                <w:rFonts w:ascii="Times New Roman" w:hAnsi="Times New Roman" w:cs="Times New Roman"/>
                <w:sz w:val="24"/>
                <w:szCs w:val="24"/>
              </w:rPr>
              <w:t>Равни възможности и недопускане на дискриминация;</w:t>
            </w:r>
          </w:p>
          <w:p w14:paraId="64748179" w14:textId="2537A56F" w:rsidR="00E51DF7"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Интегрирането на принципа за равенство на възможностите и недопускане на дискриминация ще се насърчава по време на различните етапи на прилагането на </w:t>
            </w:r>
            <w:r w:rsidR="00E04B0D" w:rsidRPr="002B1899">
              <w:rPr>
                <w:rFonts w:ascii="Times New Roman" w:hAnsi="Times New Roman" w:cs="Times New Roman"/>
                <w:sz w:val="24"/>
                <w:szCs w:val="24"/>
              </w:rPr>
              <w:t>настоящата процедура</w:t>
            </w:r>
            <w:r w:rsidRPr="002B1899">
              <w:rPr>
                <w:rFonts w:ascii="Times New Roman" w:hAnsi="Times New Roman" w:cs="Times New Roman"/>
                <w:sz w:val="24"/>
                <w:szCs w:val="24"/>
              </w:rPr>
              <w:t xml:space="preserve"> и особено по отношение на достъпа до финансиране</w:t>
            </w:r>
            <w:r w:rsidR="00E04B0D" w:rsidRPr="002B1899">
              <w:rPr>
                <w:rFonts w:ascii="Times New Roman" w:hAnsi="Times New Roman" w:cs="Times New Roman"/>
                <w:sz w:val="24"/>
                <w:szCs w:val="24"/>
              </w:rPr>
              <w:t xml:space="preserve"> и изпълнението на проектите</w:t>
            </w:r>
            <w:r w:rsidRPr="002B1899">
              <w:rPr>
                <w:rFonts w:ascii="Times New Roman" w:hAnsi="Times New Roman" w:cs="Times New Roman"/>
                <w:sz w:val="24"/>
                <w:szCs w:val="24"/>
              </w:rPr>
              <w:t xml:space="preserve">. </w:t>
            </w:r>
            <w:r w:rsidR="00E04B0D" w:rsidRPr="002B1899">
              <w:rPr>
                <w:rFonts w:ascii="Times New Roman" w:hAnsi="Times New Roman" w:cs="Times New Roman"/>
                <w:sz w:val="24"/>
                <w:szCs w:val="24"/>
              </w:rPr>
              <w:t>Проектите по настоящата процедура следва да спазват насърчавания от Европейския</w:t>
            </w:r>
            <w:r w:rsidRPr="002B1899">
              <w:rPr>
                <w:rFonts w:ascii="Times New Roman" w:hAnsi="Times New Roman" w:cs="Times New Roman"/>
                <w:sz w:val="24"/>
                <w:szCs w:val="24"/>
              </w:rPr>
              <w:t xml:space="preserve"> съюз </w:t>
            </w:r>
            <w:r w:rsidR="00D932B2" w:rsidRPr="002B1899">
              <w:rPr>
                <w:rFonts w:ascii="Times New Roman" w:hAnsi="Times New Roman" w:cs="Times New Roman"/>
                <w:sz w:val="24"/>
                <w:szCs w:val="24"/>
              </w:rPr>
              <w:t xml:space="preserve">принцип на </w:t>
            </w:r>
            <w:r w:rsidRPr="002B1899">
              <w:rPr>
                <w:rFonts w:ascii="Times New Roman" w:hAnsi="Times New Roman" w:cs="Times New Roman"/>
                <w:sz w:val="24"/>
                <w:szCs w:val="24"/>
              </w:rPr>
              <w:t>насърчава</w:t>
            </w:r>
            <w:r w:rsidR="00D932B2" w:rsidRPr="002B1899">
              <w:rPr>
                <w:rFonts w:ascii="Times New Roman" w:hAnsi="Times New Roman" w:cs="Times New Roman"/>
                <w:sz w:val="24"/>
                <w:szCs w:val="24"/>
              </w:rPr>
              <w:t xml:space="preserve">не на </w:t>
            </w:r>
            <w:r w:rsidRPr="002B1899">
              <w:rPr>
                <w:rFonts w:ascii="Times New Roman" w:hAnsi="Times New Roman" w:cs="Times New Roman"/>
                <w:sz w:val="24"/>
                <w:szCs w:val="24"/>
              </w:rPr>
              <w:t xml:space="preserve"> равнопоставеността както между мъжете и жените, така и между представителите на ра</w:t>
            </w:r>
            <w:r w:rsidR="00D932B2" w:rsidRPr="002B1899">
              <w:rPr>
                <w:rFonts w:ascii="Times New Roman" w:hAnsi="Times New Roman" w:cs="Times New Roman"/>
                <w:sz w:val="24"/>
                <w:szCs w:val="24"/>
              </w:rPr>
              <w:t xml:space="preserve">зличните малцинствени групи и  стремеж за отстраняване на </w:t>
            </w:r>
            <w:r w:rsidRPr="002B1899">
              <w:rPr>
                <w:rFonts w:ascii="Times New Roman" w:hAnsi="Times New Roman" w:cs="Times New Roman"/>
                <w:sz w:val="24"/>
                <w:szCs w:val="24"/>
              </w:rPr>
              <w:t xml:space="preserve"> всички дейности, водещи до неравнопоставеност. </w:t>
            </w:r>
            <w:r w:rsidR="00D932B2" w:rsidRPr="002B1899">
              <w:rPr>
                <w:rFonts w:ascii="Times New Roman" w:hAnsi="Times New Roman" w:cs="Times New Roman"/>
                <w:sz w:val="24"/>
                <w:szCs w:val="24"/>
              </w:rPr>
              <w:t>Дейностите по процедурата са насочени към целеви групи с цел тяхната интеграция и равнопоставеност като им се осигурява равен достъп до образование, съобразен с техните потребности и дейностите по процедурата ще се  изпълняват при условия на прозрачност, демократични принципи, а изборът на доставчици на стоки и услуги ще се проведе сред всички заинтересовани кандидати независимо от техния пол, етническа принадлежност, вид увреждане и пр.</w:t>
            </w:r>
          </w:p>
          <w:p w14:paraId="49F21233" w14:textId="5651BB12" w:rsidR="00362DEB" w:rsidRPr="002B1899" w:rsidRDefault="00362DEB"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3. Равенство между половете.</w:t>
            </w:r>
          </w:p>
          <w:p w14:paraId="4687FE56" w14:textId="35600ABB" w:rsidR="00E51DF7" w:rsidRDefault="00E51DF7"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Равенството между мъжете и жените ще се насърчава по време на различните етапи на прил</w:t>
            </w:r>
            <w:r w:rsidR="00D932B2" w:rsidRPr="002B1899">
              <w:rPr>
                <w:rFonts w:ascii="Times New Roman" w:hAnsi="Times New Roman" w:cs="Times New Roman"/>
                <w:sz w:val="24"/>
                <w:szCs w:val="24"/>
              </w:rPr>
              <w:t>агането на настоящата процедура</w:t>
            </w:r>
            <w:r w:rsidRPr="002B1899">
              <w:rPr>
                <w:rFonts w:ascii="Times New Roman" w:hAnsi="Times New Roman" w:cs="Times New Roman"/>
                <w:sz w:val="24"/>
                <w:szCs w:val="24"/>
              </w:rPr>
              <w:t xml:space="preserve"> и особено по отношение на достъпа до финансиране. </w:t>
            </w:r>
            <w:r w:rsidR="00D932B2" w:rsidRPr="002B1899">
              <w:rPr>
                <w:rFonts w:ascii="Times New Roman" w:hAnsi="Times New Roman" w:cs="Times New Roman"/>
                <w:sz w:val="24"/>
                <w:szCs w:val="24"/>
              </w:rPr>
              <w:t>Конкретно в рамките на процедурата</w:t>
            </w:r>
            <w:r w:rsidRPr="002B1899">
              <w:rPr>
                <w:rFonts w:ascii="Times New Roman" w:hAnsi="Times New Roman" w:cs="Times New Roman"/>
                <w:sz w:val="24"/>
                <w:szCs w:val="24"/>
              </w:rPr>
              <w:t xml:space="preserve"> ще бъдат подкрепяни действия свързани с насърчаване на икономическата активност и независимос</w:t>
            </w:r>
            <w:r w:rsidR="00D932B2" w:rsidRPr="002B1899">
              <w:rPr>
                <w:rFonts w:ascii="Times New Roman" w:hAnsi="Times New Roman" w:cs="Times New Roman"/>
                <w:sz w:val="24"/>
                <w:szCs w:val="24"/>
              </w:rPr>
              <w:t>т на представителите от всички полове</w:t>
            </w:r>
            <w:r w:rsidRPr="002B1899">
              <w:rPr>
                <w:rFonts w:ascii="Times New Roman" w:hAnsi="Times New Roman" w:cs="Times New Roman"/>
                <w:sz w:val="24"/>
                <w:szCs w:val="24"/>
              </w:rPr>
              <w:t>, подкрепа за учебни практики за насърчаване р</w:t>
            </w:r>
            <w:r w:rsidR="006B173B" w:rsidRPr="002B1899">
              <w:rPr>
                <w:rFonts w:ascii="Times New Roman" w:hAnsi="Times New Roman" w:cs="Times New Roman"/>
                <w:sz w:val="24"/>
                <w:szCs w:val="24"/>
              </w:rPr>
              <w:t>авенството между половете</w:t>
            </w:r>
            <w:r w:rsidRPr="002B1899">
              <w:rPr>
                <w:rFonts w:ascii="Times New Roman" w:hAnsi="Times New Roman" w:cs="Times New Roman"/>
                <w:sz w:val="24"/>
                <w:szCs w:val="24"/>
              </w:rPr>
              <w:t>. 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r w:rsidR="00531079" w:rsidRPr="002B1899">
              <w:rPr>
                <w:rFonts w:ascii="Times New Roman" w:hAnsi="Times New Roman" w:cs="Times New Roman"/>
                <w:sz w:val="24"/>
                <w:szCs w:val="24"/>
              </w:rPr>
              <w:t>.</w:t>
            </w:r>
          </w:p>
          <w:p w14:paraId="38226032" w14:textId="77777777" w:rsidR="00AD731B" w:rsidRDefault="00AD731B" w:rsidP="00622456">
            <w:pPr>
              <w:spacing w:after="120"/>
              <w:jc w:val="both"/>
              <w:rPr>
                <w:rFonts w:ascii="Times New Roman" w:hAnsi="Times New Roman" w:cs="Times New Roman"/>
                <w:b/>
                <w:sz w:val="24"/>
                <w:szCs w:val="24"/>
              </w:rPr>
            </w:pPr>
          </w:p>
          <w:p w14:paraId="18828C77" w14:textId="77777777" w:rsidR="00DE7C76" w:rsidRPr="00DE7C76" w:rsidRDefault="00374633" w:rsidP="00622456">
            <w:pPr>
              <w:spacing w:after="120"/>
              <w:jc w:val="both"/>
              <w:rPr>
                <w:rFonts w:ascii="Times New Roman" w:hAnsi="Times New Roman" w:cs="Times New Roman"/>
                <w:sz w:val="24"/>
                <w:szCs w:val="24"/>
              </w:rPr>
            </w:pPr>
            <w:r w:rsidRPr="00DE7C76">
              <w:rPr>
                <w:rFonts w:ascii="Times New Roman" w:hAnsi="Times New Roman" w:cs="Times New Roman"/>
                <w:b/>
                <w:sz w:val="24"/>
                <w:szCs w:val="24"/>
              </w:rPr>
              <w:t>ВАЖНО!</w:t>
            </w:r>
            <w:r w:rsidRPr="00DE7C76">
              <w:rPr>
                <w:rFonts w:ascii="Times New Roman" w:hAnsi="Times New Roman" w:cs="Times New Roman"/>
                <w:sz w:val="24"/>
                <w:szCs w:val="24"/>
              </w:rPr>
              <w:t xml:space="preserve"> </w:t>
            </w:r>
          </w:p>
          <w:p w14:paraId="19D129C5" w14:textId="469831B9" w:rsidR="00AD731B" w:rsidRPr="00DE7C76" w:rsidRDefault="00AE33ED" w:rsidP="00622456">
            <w:pPr>
              <w:spacing w:after="120"/>
              <w:jc w:val="both"/>
              <w:rPr>
                <w:rFonts w:ascii="Times New Roman" w:hAnsi="Times New Roman" w:cs="Times New Roman"/>
                <w:b/>
                <w:sz w:val="24"/>
                <w:szCs w:val="24"/>
              </w:rPr>
            </w:pPr>
            <w:r>
              <w:rPr>
                <w:rFonts w:ascii="Times New Roman" w:hAnsi="Times New Roman" w:cs="Times New Roman"/>
                <w:b/>
                <w:sz w:val="24"/>
                <w:szCs w:val="24"/>
              </w:rPr>
              <w:t>Всеки  кандидат следва да представи</w:t>
            </w:r>
            <w:r w:rsidR="00374633" w:rsidRPr="00DE7C76">
              <w:rPr>
                <w:rFonts w:ascii="Times New Roman" w:hAnsi="Times New Roman" w:cs="Times New Roman"/>
                <w:b/>
                <w:sz w:val="24"/>
                <w:szCs w:val="24"/>
              </w:rPr>
              <w:t xml:space="preserve"> информация за съответствието на проектното предложение със </w:t>
            </w:r>
            <w:proofErr w:type="spellStart"/>
            <w:r w:rsidR="00374633" w:rsidRPr="00DE7C76">
              <w:rPr>
                <w:rFonts w:ascii="Times New Roman" w:hAnsi="Times New Roman" w:cs="Times New Roman"/>
                <w:b/>
                <w:sz w:val="24"/>
                <w:szCs w:val="24"/>
              </w:rPr>
              <w:t>съотносимите</w:t>
            </w:r>
            <w:proofErr w:type="spellEnd"/>
            <w:r w:rsidR="00374633" w:rsidRPr="00DE7C76">
              <w:rPr>
                <w:rFonts w:ascii="Times New Roman" w:hAnsi="Times New Roman" w:cs="Times New Roman"/>
                <w:b/>
                <w:sz w:val="24"/>
                <w:szCs w:val="24"/>
              </w:rPr>
              <w:t xml:space="preserve"> за съответния проект принципи.</w:t>
            </w:r>
          </w:p>
          <w:p w14:paraId="30DFCCB8" w14:textId="1AE4E039" w:rsidR="00362DEB" w:rsidRDefault="00362DEB" w:rsidP="00622456">
            <w:pPr>
              <w:spacing w:after="120"/>
              <w:jc w:val="both"/>
              <w:rPr>
                <w:rFonts w:ascii="Times New Roman" w:hAnsi="Times New Roman" w:cs="Times New Roman"/>
                <w:sz w:val="24"/>
                <w:szCs w:val="24"/>
              </w:rPr>
            </w:pPr>
            <w:r>
              <w:rPr>
                <w:rFonts w:ascii="Times New Roman" w:hAnsi="Times New Roman" w:cs="Times New Roman"/>
                <w:sz w:val="24"/>
                <w:szCs w:val="24"/>
              </w:rPr>
              <w:t>Във формуляра за кандидатстване к</w:t>
            </w:r>
            <w:r w:rsidRPr="00362DEB">
              <w:rPr>
                <w:rFonts w:ascii="Times New Roman" w:hAnsi="Times New Roman" w:cs="Times New Roman"/>
                <w:sz w:val="24"/>
                <w:szCs w:val="24"/>
              </w:rPr>
              <w:t>андидатът</w:t>
            </w:r>
            <w:r>
              <w:rPr>
                <w:rFonts w:ascii="Times New Roman" w:hAnsi="Times New Roman" w:cs="Times New Roman"/>
                <w:sz w:val="24"/>
                <w:szCs w:val="24"/>
              </w:rPr>
              <w:t xml:space="preserve"> </w:t>
            </w:r>
            <w:r w:rsidRPr="00362DEB">
              <w:rPr>
                <w:rFonts w:ascii="Times New Roman" w:hAnsi="Times New Roman" w:cs="Times New Roman"/>
                <w:sz w:val="24"/>
                <w:szCs w:val="24"/>
              </w:rPr>
              <w:t>следва да аргументира (в т. 11 Допълнителна информация, необходима за оценка на проектното предложение) как предложените дейности съответстват и допринасят за реализи</w:t>
            </w:r>
            <w:r>
              <w:rPr>
                <w:rFonts w:ascii="Times New Roman" w:hAnsi="Times New Roman" w:cs="Times New Roman"/>
                <w:sz w:val="24"/>
                <w:szCs w:val="24"/>
              </w:rPr>
              <w:t xml:space="preserve">ране на хоризонталните политики. </w:t>
            </w:r>
            <w:r w:rsidRPr="00362DEB">
              <w:rPr>
                <w:rFonts w:ascii="Times New Roman" w:hAnsi="Times New Roman" w:cs="Times New Roman"/>
                <w:sz w:val="24"/>
                <w:szCs w:val="24"/>
              </w:rPr>
              <w:t xml:space="preserve">Описанието в секция 7. „План за изпълнение/Дейности по проекта“  от </w:t>
            </w:r>
            <w:r>
              <w:rPr>
                <w:rFonts w:ascii="Times New Roman" w:hAnsi="Times New Roman" w:cs="Times New Roman"/>
                <w:sz w:val="24"/>
                <w:szCs w:val="24"/>
              </w:rPr>
              <w:t>ф</w:t>
            </w:r>
            <w:r w:rsidRPr="00362DEB">
              <w:rPr>
                <w:rFonts w:ascii="Times New Roman" w:hAnsi="Times New Roman" w:cs="Times New Roman"/>
                <w:sz w:val="24"/>
                <w:szCs w:val="24"/>
              </w:rPr>
              <w:t>ормуляра за кандидатстване трябва да включва описание на начин</w:t>
            </w:r>
            <w:r w:rsidR="00A77AEE">
              <w:rPr>
                <w:rFonts w:ascii="Times New Roman" w:hAnsi="Times New Roman" w:cs="Times New Roman"/>
                <w:sz w:val="24"/>
                <w:szCs w:val="24"/>
              </w:rPr>
              <w:t>а</w:t>
            </w:r>
            <w:r w:rsidRPr="00362DEB">
              <w:rPr>
                <w:rFonts w:ascii="Times New Roman" w:hAnsi="Times New Roman" w:cs="Times New Roman"/>
                <w:sz w:val="24"/>
                <w:szCs w:val="24"/>
              </w:rPr>
              <w:t xml:space="preserve"> за осигуряване спазване на принципите за устойчиво развитие, равни възможности и недопускане на дискриминация и равенство между половете. </w:t>
            </w:r>
          </w:p>
          <w:p w14:paraId="338C0324" w14:textId="0E1C765C" w:rsidR="00F97436" w:rsidRPr="00F97436" w:rsidRDefault="00F97436" w:rsidP="00622456">
            <w:pPr>
              <w:spacing w:after="120"/>
              <w:jc w:val="both"/>
              <w:rPr>
                <w:rFonts w:ascii="Times New Roman" w:hAnsi="Times New Roman" w:cs="Times New Roman"/>
                <w:b/>
                <w:sz w:val="24"/>
                <w:szCs w:val="24"/>
              </w:rPr>
            </w:pPr>
            <w:r w:rsidRPr="00D96EC6">
              <w:rPr>
                <w:rFonts w:ascii="Times New Roman" w:hAnsi="Times New Roman" w:cs="Times New Roman"/>
                <w:b/>
                <w:sz w:val="24"/>
                <w:szCs w:val="24"/>
              </w:rPr>
              <w:t>При неспазване принципа за екологична устойчивост, съгласно чл. 70, ал. 1 на ЗУСЕСИФ, финансовата подкрепа със средства от ЕСИФ може да бъде отменена изцяло или частично чрез извършване на финансова корекция.</w:t>
            </w:r>
          </w:p>
          <w:p w14:paraId="42CD5A4D" w14:textId="52EA8D5B" w:rsidR="00374633" w:rsidRPr="00636FDE" w:rsidRDefault="00362DEB" w:rsidP="00622456">
            <w:pPr>
              <w:spacing w:after="120"/>
              <w:jc w:val="both"/>
              <w:rPr>
                <w:rFonts w:ascii="Times New Roman" w:hAnsi="Times New Roman" w:cs="Times New Roman"/>
                <w:b/>
                <w:sz w:val="24"/>
                <w:szCs w:val="24"/>
              </w:rPr>
            </w:pPr>
            <w:r w:rsidRPr="004F5D84">
              <w:rPr>
                <w:rFonts w:ascii="Times New Roman" w:hAnsi="Times New Roman" w:cs="Times New Roman"/>
                <w:b/>
                <w:sz w:val="24"/>
                <w:szCs w:val="24"/>
              </w:rPr>
              <w:lastRenderedPageBreak/>
              <w:t xml:space="preserve">Прилагането на заложените в проекта принципи ще се проследява на етап </w:t>
            </w:r>
            <w:r w:rsidR="00374633" w:rsidRPr="004F5D84">
              <w:rPr>
                <w:rFonts w:ascii="Times New Roman" w:hAnsi="Times New Roman" w:cs="Times New Roman"/>
                <w:b/>
                <w:sz w:val="24"/>
                <w:szCs w:val="24"/>
              </w:rPr>
              <w:t xml:space="preserve">оценка на проектното предложение и на етап </w:t>
            </w:r>
            <w:r w:rsidRPr="004F5D84">
              <w:rPr>
                <w:rFonts w:ascii="Times New Roman" w:hAnsi="Times New Roman" w:cs="Times New Roman"/>
                <w:b/>
                <w:sz w:val="24"/>
                <w:szCs w:val="24"/>
              </w:rPr>
              <w:t>изпълнение на проект</w:t>
            </w:r>
            <w:r w:rsidR="00374633" w:rsidRPr="004F5D84">
              <w:rPr>
                <w:rFonts w:ascii="Times New Roman" w:hAnsi="Times New Roman" w:cs="Times New Roman"/>
                <w:b/>
                <w:sz w:val="24"/>
                <w:szCs w:val="24"/>
              </w:rPr>
              <w:t xml:space="preserve">а. </w:t>
            </w:r>
          </w:p>
        </w:tc>
      </w:tr>
    </w:tbl>
    <w:p w14:paraId="0A39C669" w14:textId="77777777" w:rsidR="00E300F3" w:rsidRDefault="00E300F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717AE278" w14:textId="77777777" w:rsidTr="00CA777C">
        <w:tc>
          <w:tcPr>
            <w:tcW w:w="10207" w:type="dxa"/>
          </w:tcPr>
          <w:p w14:paraId="657D5899" w14:textId="13B1A6DC" w:rsidR="00E300F3"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18</w:t>
            </w:r>
            <w:r w:rsidR="00E300F3" w:rsidRPr="001A4BB7">
              <w:rPr>
                <w:rFonts w:ascii="Times New Roman" w:hAnsi="Times New Roman" w:cs="Times New Roman"/>
                <w:b/>
                <w:sz w:val="24"/>
                <w:szCs w:val="24"/>
              </w:rPr>
              <w:t>. Минимален и максимален срок за изпълнение на проекта</w:t>
            </w:r>
          </w:p>
          <w:p w14:paraId="6C89DB09" w14:textId="77777777" w:rsidR="00EC1C5E" w:rsidRDefault="00EC1C5E" w:rsidP="00EC1C5E">
            <w:pPr>
              <w:spacing w:after="120"/>
              <w:jc w:val="both"/>
              <w:rPr>
                <w:rFonts w:ascii="Times New Roman" w:hAnsi="Times New Roman" w:cs="Times New Roman"/>
                <w:sz w:val="24"/>
                <w:szCs w:val="24"/>
              </w:rPr>
            </w:pPr>
            <w:r w:rsidRPr="008013DD">
              <w:rPr>
                <w:rFonts w:ascii="Times New Roman" w:hAnsi="Times New Roman" w:cs="Times New Roman"/>
                <w:sz w:val="24"/>
                <w:szCs w:val="24"/>
              </w:rPr>
              <w:t>Минималната продължителност на проекта е 24 месеца, считано от датата на влизане в сила на административния договор за предоставяне на безвъзмездна финансова помощ.</w:t>
            </w:r>
          </w:p>
          <w:p w14:paraId="215AF175" w14:textId="7FA4CB9F" w:rsidR="00EC1C5E" w:rsidRDefault="00EC1C5E" w:rsidP="00EC1C5E">
            <w:pPr>
              <w:spacing w:after="120"/>
              <w:jc w:val="both"/>
              <w:rPr>
                <w:rFonts w:ascii="Times New Roman" w:hAnsi="Times New Roman" w:cs="Times New Roman"/>
                <w:b/>
                <w:sz w:val="24"/>
                <w:szCs w:val="24"/>
              </w:rPr>
            </w:pPr>
            <w:r>
              <w:rPr>
                <w:rFonts w:ascii="Times New Roman" w:hAnsi="Times New Roman" w:cs="Times New Roman"/>
                <w:sz w:val="24"/>
                <w:szCs w:val="24"/>
              </w:rPr>
              <w:t>Максималният срок за изпълнение на проектите е до 36</w:t>
            </w:r>
            <w:r w:rsidRPr="00240DF3">
              <w:rPr>
                <w:rFonts w:ascii="Times New Roman" w:hAnsi="Times New Roman" w:cs="Times New Roman"/>
                <w:sz w:val="24"/>
                <w:szCs w:val="24"/>
              </w:rPr>
              <w:t xml:space="preserve"> месеца, считано от датата на влизане в сила на административния договор за предоставяне на безвъзмездна финансова помощ.</w:t>
            </w:r>
          </w:p>
          <w:p w14:paraId="6339F3F8" w14:textId="0E4AB69A" w:rsidR="00EC1C5E" w:rsidRPr="002B1899" w:rsidRDefault="00EC1C5E" w:rsidP="00622456">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Времетраене на проектите:</w:t>
            </w:r>
          </w:p>
          <w:p w14:paraId="1BA058C9" w14:textId="739C6B9C" w:rsidR="00E300F3" w:rsidRDefault="00EC1C5E"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Крайният срок за изпълнение на проекти финансирани по настоящата процедура не може да надвишава 30.06.2023 г.., както е заложено в Стратегията за ВОМР на МИГ Свиленград Ареал по мярка BG 05М2ОP001-3.006 -Осигуряване на достъп до качествено образование в малките населени мес</w:t>
            </w:r>
            <w:r w:rsidR="002B1899">
              <w:rPr>
                <w:rFonts w:ascii="Times New Roman" w:hAnsi="Times New Roman" w:cs="Times New Roman"/>
                <w:sz w:val="24"/>
                <w:szCs w:val="24"/>
              </w:rPr>
              <w:t>та и в трудно достъпните райони</w:t>
            </w:r>
          </w:p>
        </w:tc>
      </w:tr>
    </w:tbl>
    <w:p w14:paraId="1C2E3942" w14:textId="77777777" w:rsidR="000576D5" w:rsidRDefault="000576D5"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14F7E3B8" w14:textId="77777777" w:rsidTr="00CA777C">
        <w:tc>
          <w:tcPr>
            <w:tcW w:w="10207" w:type="dxa"/>
          </w:tcPr>
          <w:p w14:paraId="34574855" w14:textId="70ABF51F"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 Ред за оценяване на проектните предложения</w:t>
            </w:r>
          </w:p>
          <w:p w14:paraId="7F3C77F6" w14:textId="3960B119" w:rsidR="00E300F3" w:rsidRDefault="0075519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П</w:t>
            </w:r>
            <w:r w:rsidR="00E300F3" w:rsidRPr="004F5D84">
              <w:rPr>
                <w:rFonts w:ascii="Times New Roman" w:hAnsi="Times New Roman" w:cs="Times New Roman"/>
                <w:i/>
                <w:sz w:val="24"/>
                <w:szCs w:val="24"/>
              </w:rPr>
              <w:t>роцедура</w:t>
            </w:r>
            <w:r>
              <w:rPr>
                <w:rFonts w:ascii="Times New Roman" w:hAnsi="Times New Roman" w:cs="Times New Roman"/>
                <w:i/>
                <w:sz w:val="24"/>
                <w:szCs w:val="24"/>
              </w:rPr>
              <w:t>та за</w:t>
            </w:r>
            <w:r w:rsidR="00E300F3" w:rsidRPr="004F5D84">
              <w:rPr>
                <w:rFonts w:ascii="Times New Roman" w:hAnsi="Times New Roman" w:cs="Times New Roman"/>
                <w:i/>
                <w:sz w:val="24"/>
                <w:szCs w:val="24"/>
              </w:rPr>
              <w:t xml:space="preserve"> подбор на проекти</w:t>
            </w:r>
            <w:r>
              <w:rPr>
                <w:rFonts w:ascii="Times New Roman" w:hAnsi="Times New Roman" w:cs="Times New Roman"/>
                <w:i/>
                <w:sz w:val="24"/>
                <w:szCs w:val="24"/>
              </w:rPr>
              <w:t xml:space="preserve"> е</w:t>
            </w:r>
            <w:r w:rsidR="00E300F3" w:rsidRPr="004F5D84">
              <w:rPr>
                <w:rFonts w:ascii="Times New Roman" w:hAnsi="Times New Roman" w:cs="Times New Roman"/>
                <w:i/>
                <w:sz w:val="24"/>
                <w:szCs w:val="24"/>
              </w:rPr>
              <w:t xml:space="preserve"> в съответствие с разпоредбите на чл. 25, ал. 1, т. 1 от Закона за управление на средствата от Европейските структурни и инвестиционни фондове и Глава пета Координация във връзка с одобрение на проекти към стратегия за ВОМР, Раздел І Подбор на проекти към стратегия за ВОМР на ПМС № 161/2016.</w:t>
            </w:r>
          </w:p>
          <w:p w14:paraId="65624046" w14:textId="14391529" w:rsidR="0075519D" w:rsidRPr="004F5D84" w:rsidRDefault="0075519D" w:rsidP="00622456">
            <w:pPr>
              <w:spacing w:after="120"/>
              <w:jc w:val="both"/>
              <w:rPr>
                <w:rFonts w:ascii="Times New Roman" w:hAnsi="Times New Roman" w:cs="Times New Roman"/>
                <w:i/>
                <w:sz w:val="24"/>
                <w:szCs w:val="24"/>
              </w:rPr>
            </w:pPr>
            <w:r w:rsidRPr="0075519D">
              <w:rPr>
                <w:rFonts w:ascii="Times New Roman" w:hAnsi="Times New Roman" w:cs="Times New Roman"/>
                <w:i/>
                <w:sz w:val="24"/>
                <w:szCs w:val="24"/>
              </w:rPr>
              <w:t>Документите по настоящата процедура  са утвърдени от Управителният съвет на МИГ</w:t>
            </w:r>
            <w:r w:rsidR="00B951B5">
              <w:rPr>
                <w:rFonts w:ascii="Times New Roman" w:hAnsi="Times New Roman" w:cs="Times New Roman"/>
                <w:i/>
                <w:sz w:val="24"/>
                <w:szCs w:val="24"/>
              </w:rPr>
              <w:t xml:space="preserve"> Свиленград Ареал </w:t>
            </w:r>
            <w:r w:rsidRPr="0075519D">
              <w:rPr>
                <w:rFonts w:ascii="Times New Roman" w:hAnsi="Times New Roman" w:cs="Times New Roman"/>
                <w:i/>
                <w:sz w:val="24"/>
                <w:szCs w:val="24"/>
              </w:rPr>
              <w:t>в т.ч. специфичните критерии, предвидени от МИГ</w:t>
            </w:r>
            <w:r w:rsidR="00531079">
              <w:rPr>
                <w:rFonts w:ascii="Times New Roman" w:hAnsi="Times New Roman" w:cs="Times New Roman"/>
                <w:i/>
                <w:sz w:val="24"/>
                <w:szCs w:val="24"/>
              </w:rPr>
              <w:t xml:space="preserve"> Свиленград Ареал</w:t>
            </w:r>
            <w:r w:rsidRPr="0075519D">
              <w:rPr>
                <w:rFonts w:ascii="Times New Roman" w:hAnsi="Times New Roman" w:cs="Times New Roman"/>
                <w:i/>
                <w:sz w:val="24"/>
                <w:szCs w:val="24"/>
              </w:rPr>
              <w:t xml:space="preserve"> в одобрените стратегии за ВОМР.</w:t>
            </w:r>
          </w:p>
          <w:p w14:paraId="469F685A" w14:textId="3C30AC8B" w:rsidR="00E300F3" w:rsidRPr="004F5D84" w:rsidRDefault="00F407DC" w:rsidP="00622456">
            <w:pPr>
              <w:spacing w:after="120"/>
              <w:jc w:val="both"/>
              <w:rPr>
                <w:rFonts w:ascii="Times New Roman" w:hAnsi="Times New Roman" w:cs="Times New Roman"/>
                <w:i/>
                <w:sz w:val="24"/>
                <w:szCs w:val="24"/>
              </w:rPr>
            </w:pPr>
            <w:r>
              <w:rPr>
                <w:rFonts w:ascii="Times New Roman" w:hAnsi="Times New Roman" w:cs="Times New Roman"/>
                <w:i/>
                <w:sz w:val="24"/>
                <w:szCs w:val="24"/>
              </w:rPr>
              <w:t>Р</w:t>
            </w:r>
            <w:r w:rsidR="00E300F3" w:rsidRPr="004F5D84">
              <w:rPr>
                <w:rFonts w:ascii="Times New Roman" w:hAnsi="Times New Roman" w:cs="Times New Roman"/>
                <w:i/>
                <w:sz w:val="24"/>
                <w:szCs w:val="24"/>
              </w:rPr>
              <w:t>ед</w:t>
            </w:r>
            <w:r w:rsidR="00B951B5">
              <w:rPr>
                <w:rFonts w:ascii="Times New Roman" w:hAnsi="Times New Roman" w:cs="Times New Roman"/>
                <w:i/>
                <w:sz w:val="24"/>
                <w:szCs w:val="24"/>
              </w:rPr>
              <w:t>ът</w:t>
            </w:r>
            <w:r w:rsidR="00E300F3" w:rsidRPr="004F5D84">
              <w:rPr>
                <w:rFonts w:ascii="Times New Roman" w:hAnsi="Times New Roman" w:cs="Times New Roman"/>
                <w:i/>
                <w:sz w:val="24"/>
                <w:szCs w:val="24"/>
              </w:rPr>
              <w:t xml:space="preserve"> за оценк</w:t>
            </w:r>
            <w:r>
              <w:rPr>
                <w:rFonts w:ascii="Times New Roman" w:hAnsi="Times New Roman" w:cs="Times New Roman"/>
                <w:i/>
                <w:sz w:val="24"/>
                <w:szCs w:val="24"/>
              </w:rPr>
              <w:t xml:space="preserve">а на проектните предложения е изготвен съобразно </w:t>
            </w:r>
            <w:r w:rsidR="00E300F3" w:rsidRPr="004F5D84">
              <w:rPr>
                <w:rFonts w:ascii="Times New Roman" w:hAnsi="Times New Roman" w:cs="Times New Roman"/>
                <w:i/>
                <w:sz w:val="24"/>
                <w:szCs w:val="24"/>
              </w:rPr>
              <w:t xml:space="preserve"> минималните изисквания, утвърдени от заместник министър-председателя по европейските фондове, публикувани на Единния инфор</w:t>
            </w:r>
            <w:r w:rsidR="00B951B5">
              <w:rPr>
                <w:rFonts w:ascii="Times New Roman" w:hAnsi="Times New Roman" w:cs="Times New Roman"/>
                <w:i/>
                <w:sz w:val="24"/>
                <w:szCs w:val="24"/>
              </w:rPr>
              <w:t xml:space="preserve">мационен портал, </w:t>
            </w:r>
            <w:r w:rsidR="00E300F3" w:rsidRPr="004F5D84">
              <w:rPr>
                <w:rFonts w:ascii="Times New Roman" w:hAnsi="Times New Roman" w:cs="Times New Roman"/>
                <w:i/>
                <w:sz w:val="24"/>
                <w:szCs w:val="24"/>
              </w:rPr>
              <w:t>Указанията за подбор на проекти, изготвени</w:t>
            </w:r>
            <w:r w:rsidR="00B951B5">
              <w:rPr>
                <w:rFonts w:ascii="Times New Roman" w:hAnsi="Times New Roman" w:cs="Times New Roman"/>
                <w:i/>
                <w:sz w:val="24"/>
                <w:szCs w:val="24"/>
              </w:rPr>
              <w:t xml:space="preserve"> от УО на ОП НОИР</w:t>
            </w:r>
            <w:r w:rsidR="00E300F3" w:rsidRPr="004F5D84">
              <w:rPr>
                <w:rFonts w:ascii="Times New Roman" w:hAnsi="Times New Roman" w:cs="Times New Roman"/>
                <w:i/>
                <w:sz w:val="24"/>
                <w:szCs w:val="24"/>
              </w:rPr>
              <w:t xml:space="preserve"> съгласно разпоредбите на чл. 37, ал. 1 на ПМС 161/2017.</w:t>
            </w:r>
          </w:p>
          <w:p w14:paraId="6C7331DD" w14:textId="7316A4BE"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Подбор на проектни предложения към стратегии за ВОМР се извършва от Комисия за подбор, назначена от МИГ </w:t>
            </w:r>
            <w:r w:rsid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съгласно разпоредбите на чл. 44, ал. 1 на ПМС 161 от 4 юли 2016 г.</w:t>
            </w:r>
          </w:p>
          <w:p w14:paraId="1A4CDE14" w14:textId="6E43068A"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w:t>
            </w:r>
            <w:r w:rsidR="00DE6D9F">
              <w:rPr>
                <w:rFonts w:ascii="Times New Roman" w:hAnsi="Times New Roman" w:cs="Times New Roman"/>
                <w:sz w:val="24"/>
                <w:szCs w:val="24"/>
              </w:rPr>
              <w:t>могат да бъдат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членов</w:t>
            </w:r>
            <w:r w:rsidR="006A4A1B">
              <w:rPr>
                <w:rFonts w:ascii="Times New Roman" w:hAnsi="Times New Roman" w:cs="Times New Roman"/>
                <w:sz w:val="24"/>
                <w:szCs w:val="24"/>
              </w:rPr>
              <w:t>е на общото събрание на МИГ</w:t>
            </w:r>
            <w:r w:rsidR="00531079">
              <w:t xml:space="preserve"> </w:t>
            </w:r>
            <w:r w:rsidR="00531079" w:rsidRPr="00531079">
              <w:rPr>
                <w:rFonts w:ascii="Times New Roman" w:hAnsi="Times New Roman" w:cs="Times New Roman"/>
                <w:sz w:val="24"/>
                <w:szCs w:val="24"/>
              </w:rPr>
              <w:t>Свиленград Ареал</w:t>
            </w:r>
            <w:r w:rsidRPr="00754C13">
              <w:rPr>
                <w:rFonts w:ascii="Times New Roman" w:hAnsi="Times New Roman" w:cs="Times New Roman"/>
                <w:sz w:val="24"/>
                <w:szCs w:val="24"/>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w:t>
            </w:r>
            <w:r>
              <w:rPr>
                <w:rFonts w:ascii="Times New Roman" w:hAnsi="Times New Roman" w:cs="Times New Roman"/>
                <w:sz w:val="24"/>
                <w:szCs w:val="24"/>
              </w:rPr>
              <w:t xml:space="preserve"> </w:t>
            </w:r>
            <w:r w:rsidRPr="00754C13">
              <w:rPr>
                <w:rFonts w:ascii="Times New Roman" w:hAnsi="Times New Roman" w:cs="Times New Roman"/>
                <w:sz w:val="24"/>
                <w:szCs w:val="24"/>
              </w:rPr>
              <w:t>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w:t>
            </w:r>
            <w:r w:rsidR="004666AE">
              <w:rPr>
                <w:rFonts w:ascii="Times New Roman" w:hAnsi="Times New Roman" w:cs="Times New Roman"/>
                <w:sz w:val="24"/>
                <w:szCs w:val="24"/>
              </w:rPr>
              <w:t>ителите са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xml:space="preserve">, или външни експерти – оценители, които </w:t>
            </w:r>
            <w:r w:rsidRPr="00754C13">
              <w:rPr>
                <w:rFonts w:ascii="Times New Roman" w:hAnsi="Times New Roman" w:cs="Times New Roman"/>
                <w:sz w:val="24"/>
                <w:szCs w:val="24"/>
              </w:rPr>
              <w:lastRenderedPageBreak/>
              <w:t>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11F0633C"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 не могат:</w:t>
            </w:r>
          </w:p>
          <w:p w14:paraId="4E1BB097" w14:textId="0BB8DBFD" w:rsidR="00E300F3" w:rsidRPr="001C09AE"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1. </w:t>
            </w:r>
            <w:r w:rsidRPr="001C09AE">
              <w:rPr>
                <w:rFonts w:ascii="Times New Roman" w:hAnsi="Times New Roman" w:cs="Times New Roman"/>
                <w:sz w:val="24"/>
                <w:szCs w:val="24"/>
              </w:rPr>
              <w:t xml:space="preserve">да са в конфликт на интереси по смисъла на </w:t>
            </w:r>
            <w:r w:rsidR="002A01CA" w:rsidRPr="001C09AE">
              <w:rPr>
                <w:rFonts w:ascii="Times New Roman" w:hAnsi="Times New Roman" w:cs="Times New Roman"/>
                <w:sz w:val="24"/>
                <w:szCs w:val="24"/>
              </w:rPr>
              <w:t>чл. 61</w:t>
            </w:r>
            <w:r w:rsidR="00C43E64" w:rsidRPr="001C09AE">
              <w:rPr>
                <w:rFonts w:ascii="Times New Roman" w:hAnsi="Times New Roman" w:cs="Times New Roman"/>
                <w:sz w:val="24"/>
                <w:szCs w:val="24"/>
              </w:rPr>
              <w:t>, параграф 3</w:t>
            </w:r>
            <w:r w:rsidR="002A01CA" w:rsidRPr="001C09AE">
              <w:rPr>
                <w:rFonts w:ascii="Times New Roman" w:hAnsi="Times New Roman" w:cs="Times New Roman"/>
                <w:sz w:val="24"/>
                <w:szCs w:val="24"/>
              </w:rPr>
              <w:t xml:space="preserve"> от </w:t>
            </w:r>
            <w:r w:rsidR="00FD1EFB" w:rsidRPr="001C09AE">
              <w:rPr>
                <w:rFonts w:ascii="Times New Roman" w:hAnsi="Times New Roman" w:cs="Times New Roman"/>
                <w:sz w:val="24"/>
                <w:szCs w:val="24"/>
              </w:rPr>
              <w:t xml:space="preserve">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 966/2012 </w:t>
            </w:r>
            <w:r w:rsidRPr="001C09AE">
              <w:rPr>
                <w:rFonts w:ascii="Times New Roman" w:hAnsi="Times New Roman" w:cs="Times New Roman"/>
                <w:sz w:val="24"/>
                <w:szCs w:val="24"/>
              </w:rPr>
              <w:t>с някой от кандидатите или партньорите в процедурата за предоставяне на безвъзмездна помощ;</w:t>
            </w:r>
          </w:p>
          <w:p w14:paraId="175268C0" w14:textId="1424D3AF" w:rsidR="00E300F3" w:rsidRPr="00754C13" w:rsidRDefault="00E300F3" w:rsidP="00622456">
            <w:pPr>
              <w:spacing w:after="120"/>
              <w:jc w:val="both"/>
              <w:rPr>
                <w:rFonts w:ascii="Times New Roman" w:hAnsi="Times New Roman" w:cs="Times New Roman"/>
                <w:sz w:val="24"/>
                <w:szCs w:val="24"/>
              </w:rPr>
            </w:pPr>
            <w:r w:rsidRPr="001C09AE">
              <w:rPr>
                <w:rFonts w:ascii="Times New Roman" w:hAnsi="Times New Roman" w:cs="Times New Roman"/>
                <w:sz w:val="24"/>
                <w:szCs w:val="24"/>
              </w:rPr>
              <w:t>2. да имат интерес по смисъла</w:t>
            </w:r>
            <w:r w:rsidRPr="00754C13">
              <w:rPr>
                <w:rFonts w:ascii="Times New Roman" w:hAnsi="Times New Roman" w:cs="Times New Roman"/>
                <w:sz w:val="24"/>
                <w:szCs w:val="24"/>
              </w:rPr>
              <w:t xml:space="preserve"> на </w:t>
            </w:r>
            <w:r w:rsidR="000F3552" w:rsidRPr="000F3552">
              <w:rPr>
                <w:rFonts w:ascii="Times New Roman" w:hAnsi="Times New Roman" w:cs="Times New Roman"/>
                <w:sz w:val="24"/>
                <w:szCs w:val="24"/>
              </w:rPr>
              <w:t xml:space="preserve">Закона за противодействие на корупцията и за отнемане на незаконно придобитото имущество </w:t>
            </w:r>
            <w:r w:rsidRPr="000F3552">
              <w:rPr>
                <w:rFonts w:ascii="Times New Roman" w:hAnsi="Times New Roman" w:cs="Times New Roman"/>
                <w:sz w:val="24"/>
                <w:szCs w:val="24"/>
              </w:rPr>
              <w:t>от предоставянето на безвъзмездна финансова помощ по конкретната процедура;</w:t>
            </w:r>
          </w:p>
          <w:p w14:paraId="4F8943B3" w14:textId="63D9916D"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3. да са свързани лица по смисъла на </w:t>
            </w:r>
            <w:r w:rsidRPr="000F3552">
              <w:rPr>
                <w:rFonts w:ascii="Times New Roman" w:hAnsi="Times New Roman" w:cs="Times New Roman"/>
                <w:sz w:val="24"/>
                <w:szCs w:val="24"/>
              </w:rPr>
              <w:t>§ 1, т. 1</w:t>
            </w:r>
            <w:r w:rsidR="000F3552" w:rsidRPr="008013DD">
              <w:rPr>
                <w:rFonts w:ascii="Times New Roman" w:hAnsi="Times New Roman" w:cs="Times New Roman"/>
                <w:sz w:val="24"/>
                <w:szCs w:val="24"/>
              </w:rPr>
              <w:t>5</w:t>
            </w:r>
            <w:r w:rsidRPr="000F3552">
              <w:rPr>
                <w:rFonts w:ascii="Times New Roman" w:hAnsi="Times New Roman" w:cs="Times New Roman"/>
                <w:sz w:val="24"/>
                <w:szCs w:val="24"/>
              </w:rPr>
              <w:t xml:space="preserve"> от допълнителните разпоредби на </w:t>
            </w:r>
            <w:r w:rsidR="000F3552" w:rsidRPr="000F3552">
              <w:rPr>
                <w:rFonts w:ascii="Times New Roman" w:hAnsi="Times New Roman" w:cs="Times New Roman"/>
                <w:sz w:val="24"/>
                <w:szCs w:val="24"/>
              </w:rPr>
              <w:t>Закона за противодействие на корупцията и за отнемане на незаконно придобитото имущество</w:t>
            </w:r>
            <w:r w:rsidRPr="008013DD">
              <w:rPr>
                <w:rFonts w:ascii="Times New Roman" w:hAnsi="Times New Roman" w:cs="Times New Roman"/>
                <w:sz w:val="24"/>
                <w:szCs w:val="24"/>
              </w:rPr>
              <w:t xml:space="preserve"> </w:t>
            </w:r>
            <w:r w:rsidRPr="000F3552">
              <w:rPr>
                <w:rFonts w:ascii="Times New Roman" w:hAnsi="Times New Roman" w:cs="Times New Roman"/>
                <w:sz w:val="24"/>
                <w:szCs w:val="24"/>
              </w:rPr>
              <w:t>с кандидат или партньор в процедурата;</w:t>
            </w:r>
          </w:p>
          <w:p w14:paraId="5FF6FB7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да са лица, които се намират помежду си в йерархична зависимост.</w:t>
            </w:r>
          </w:p>
          <w:p w14:paraId="211A3BCF" w14:textId="433F77A6" w:rsidR="00E300F3" w:rsidRPr="00B22B4E" w:rsidRDefault="00E300F3" w:rsidP="00622456">
            <w:pPr>
              <w:spacing w:after="120"/>
              <w:jc w:val="both"/>
              <w:rPr>
                <w:rFonts w:ascii="Times New Roman" w:hAnsi="Times New Roman" w:cs="Times New Roman"/>
                <w:color w:val="FF0000"/>
                <w:sz w:val="24"/>
                <w:szCs w:val="24"/>
                <w:lang w:val="en-US"/>
              </w:rPr>
            </w:pPr>
            <w:r w:rsidRPr="00754C13">
              <w:rPr>
                <w:rFonts w:ascii="Times New Roman" w:hAnsi="Times New Roman" w:cs="Times New Roman"/>
                <w:sz w:val="24"/>
                <w:szCs w:val="24"/>
              </w:rPr>
              <w:t>В хода на оценителния процес по аналогия се спазват и ал. 4-9 на чл.16 от ПМС № 162 от 2016 г.</w:t>
            </w:r>
            <w:r w:rsidR="00CD5C2E">
              <w:rPr>
                <w:rFonts w:ascii="Times New Roman" w:hAnsi="Times New Roman" w:cs="Times New Roman"/>
                <w:sz w:val="24"/>
                <w:szCs w:val="24"/>
              </w:rPr>
              <w:t xml:space="preserve">, като участниците в оценителната комисия попълват и подписват декларация </w:t>
            </w:r>
            <w:r w:rsidR="00CD5C2E" w:rsidRPr="00CD5C2E">
              <w:rPr>
                <w:rFonts w:ascii="Times New Roman" w:hAnsi="Times New Roman" w:cs="Times New Roman"/>
                <w:sz w:val="24"/>
                <w:szCs w:val="24"/>
              </w:rPr>
              <w:t xml:space="preserve">за липса на конфликт на интереси, поверителност и безпристрастност </w:t>
            </w:r>
            <w:r w:rsidR="00CD5C2E">
              <w:rPr>
                <w:rFonts w:ascii="Times New Roman" w:hAnsi="Times New Roman" w:cs="Times New Roman"/>
                <w:sz w:val="24"/>
                <w:szCs w:val="24"/>
              </w:rPr>
              <w:t xml:space="preserve">по </w:t>
            </w:r>
            <w:r w:rsidR="00CD5C2E" w:rsidRPr="0067595B">
              <w:rPr>
                <w:rFonts w:ascii="Times New Roman" w:hAnsi="Times New Roman" w:cs="Times New Roman"/>
                <w:sz w:val="24"/>
                <w:szCs w:val="24"/>
              </w:rPr>
              <w:t xml:space="preserve">образец – </w:t>
            </w:r>
            <w:r w:rsidR="00B22B4E" w:rsidRPr="0067595B">
              <w:rPr>
                <w:rFonts w:ascii="Times New Roman" w:hAnsi="Times New Roman" w:cs="Times New Roman"/>
                <w:sz w:val="24"/>
                <w:szCs w:val="24"/>
              </w:rPr>
              <w:t xml:space="preserve">Приложение </w:t>
            </w:r>
            <w:r w:rsidR="00B22B4E" w:rsidRPr="0067595B">
              <w:rPr>
                <w:rFonts w:ascii="Times New Roman" w:hAnsi="Times New Roman" w:cs="Times New Roman"/>
                <w:sz w:val="24"/>
                <w:szCs w:val="24"/>
                <w:lang w:val="en-US"/>
              </w:rPr>
              <w:t>XXV</w:t>
            </w:r>
          </w:p>
          <w:p w14:paraId="0675286E" w14:textId="0FDB0A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Подаването на проектни предложения, както и процесът по оценка от МИГ </w:t>
            </w:r>
            <w:r w:rsidR="002421D1">
              <w:rPr>
                <w:rFonts w:ascii="Times New Roman" w:hAnsi="Times New Roman" w:cs="Times New Roman"/>
                <w:sz w:val="24"/>
                <w:szCs w:val="24"/>
              </w:rPr>
              <w:t>Свиленград Ареал</w:t>
            </w:r>
            <w:r w:rsidR="000E7575">
              <w:rPr>
                <w:rFonts w:ascii="Times New Roman" w:hAnsi="Times New Roman" w:cs="Times New Roman"/>
                <w:sz w:val="24"/>
                <w:szCs w:val="24"/>
              </w:rPr>
              <w:t xml:space="preserve"> </w:t>
            </w:r>
            <w:r w:rsidRPr="00754C13">
              <w:rPr>
                <w:rFonts w:ascii="Times New Roman" w:hAnsi="Times New Roman" w:cs="Times New Roman"/>
                <w:sz w:val="24"/>
                <w:szCs w:val="24"/>
              </w:rPr>
              <w:t>се провежда в системата ИСУН 2020. Проектни предложения се подават в срока, посочен в поканата. Оценяват се само проектните предложения, подадени с квалифициран електронен подпис (КЕП) чрез системата ИСУН 2020. Комисията за подбор на проектни предложения, назначена от МИГ</w:t>
            </w:r>
            <w:r w:rsidR="000E7575">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спазва ред за оценка на проектните предложения. Оценителната комисия се ръководи от следните принципи:</w:t>
            </w:r>
          </w:p>
          <w:p w14:paraId="579CA83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добро финансово управление;</w:t>
            </w:r>
          </w:p>
          <w:p w14:paraId="2FEE8F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публичност и прозрачност;</w:t>
            </w:r>
          </w:p>
          <w:p w14:paraId="6E084C01"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не се допуска въвеждането на допълнителни критерии за оценка или изменение на критериите по време на провеждането на процедурата;</w:t>
            </w:r>
          </w:p>
          <w:p w14:paraId="4F58B7A0"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1989594F"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5. равнопоставеност и недопускане на дискриминация - еднакво прилагане на правилата спрямо всички кандидати;</w:t>
            </w:r>
          </w:p>
          <w:p w14:paraId="4533D98E"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6. 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w:t>
            </w:r>
            <w:r>
              <w:rPr>
                <w:rFonts w:ascii="Times New Roman" w:hAnsi="Times New Roman" w:cs="Times New Roman"/>
                <w:sz w:val="24"/>
                <w:szCs w:val="24"/>
              </w:rPr>
              <w:t xml:space="preserve"> </w:t>
            </w:r>
            <w:r w:rsidRPr="00754C13">
              <w:rPr>
                <w:rFonts w:ascii="Times New Roman" w:hAnsi="Times New Roman" w:cs="Times New Roman"/>
                <w:sz w:val="24"/>
                <w:szCs w:val="24"/>
              </w:rPr>
              <w:t>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712DFCB7"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7. съобразяване с прага на допустимите минимални помощи;</w:t>
            </w:r>
          </w:p>
          <w:p w14:paraId="0C44FA6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8. спазване на срока, определен в чл. 44, ал. 1 от ПМС 161/2016 г.</w:t>
            </w:r>
          </w:p>
          <w:p w14:paraId="4A73D776" w14:textId="110E9B06" w:rsidR="00E300F3" w:rsidRDefault="00E300F3" w:rsidP="00622456">
            <w:pPr>
              <w:spacing w:after="120"/>
              <w:jc w:val="both"/>
              <w:rPr>
                <w:rFonts w:ascii="Times New Roman" w:hAnsi="Times New Roman" w:cs="Times New Roman"/>
                <w:sz w:val="24"/>
                <w:szCs w:val="24"/>
              </w:rPr>
            </w:pPr>
          </w:p>
          <w:p w14:paraId="3E5EE005"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91DB876" w14:textId="58C5008C" w:rsidR="00E300F3" w:rsidRPr="00E542A9"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p w14:paraId="643A649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проектните предложения включва два етапа:</w:t>
            </w:r>
          </w:p>
          <w:p w14:paraId="2F324A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1: Оценка на административното съответствие и допустимостта;</w:t>
            </w:r>
          </w:p>
          <w:p w14:paraId="37689E4D"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2: Техническа и финансова оценка.</w:t>
            </w:r>
          </w:p>
          <w:p w14:paraId="67F88339" w14:textId="77777777" w:rsidR="002F4341" w:rsidRDefault="002F4341" w:rsidP="00622456">
            <w:pPr>
              <w:spacing w:after="120"/>
              <w:jc w:val="both"/>
              <w:rPr>
                <w:rFonts w:ascii="Times New Roman" w:hAnsi="Times New Roman" w:cs="Times New Roman"/>
                <w:b/>
                <w:sz w:val="24"/>
                <w:szCs w:val="24"/>
              </w:rPr>
            </w:pPr>
          </w:p>
          <w:p w14:paraId="18B2E7CF"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438DD1AE" w14:textId="3DA70AA8"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754C13">
              <w:rPr>
                <w:rFonts w:ascii="Times New Roman" w:hAnsi="Times New Roman" w:cs="Times New Roman"/>
                <w:sz w:val="24"/>
                <w:szCs w:val="24"/>
              </w:rPr>
              <w:t>обн</w:t>
            </w:r>
            <w:proofErr w:type="spellEnd"/>
            <w:r w:rsidRPr="00754C13">
              <w:rPr>
                <w:rFonts w:ascii="Times New Roman" w:hAnsi="Times New Roman" w:cs="Times New Roman"/>
                <w:sz w:val="24"/>
                <w:szCs w:val="24"/>
              </w:rPr>
              <w:t>., ДВ, бр. 76 от 30.09.2016 г. За дата на получаване на съобщение от кандидата се счита датата на изпраща</w:t>
            </w:r>
            <w:r w:rsidR="00E34BC9">
              <w:rPr>
                <w:rFonts w:ascii="Times New Roman" w:hAnsi="Times New Roman" w:cs="Times New Roman"/>
                <w:sz w:val="24"/>
                <w:szCs w:val="24"/>
              </w:rPr>
              <w:t>нето му чрез ИСУН 2020. МИГ</w:t>
            </w:r>
            <w:r w:rsidRPr="00754C13">
              <w:rPr>
                <w:rFonts w:ascii="Times New Roman" w:hAnsi="Times New Roman" w:cs="Times New Roman"/>
                <w:sz w:val="24"/>
                <w:szCs w:val="24"/>
              </w:rPr>
              <w:t xml:space="preserve"> </w:t>
            </w:r>
            <w:r w:rsidR="00531079" w:rsidRP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и Управляващият орган не носят отговорност, ако поради грешни и/или непълни данни за кореспонденция, предоставени от самите кандидати, те не получават кореспонденцията.</w:t>
            </w:r>
          </w:p>
          <w:p w14:paraId="43CF0FB4" w14:textId="77777777" w:rsidR="002F4341" w:rsidRDefault="002F4341" w:rsidP="00622456">
            <w:pPr>
              <w:spacing w:after="120"/>
              <w:jc w:val="both"/>
              <w:rPr>
                <w:rFonts w:ascii="Times New Roman" w:hAnsi="Times New Roman" w:cs="Times New Roman"/>
                <w:sz w:val="24"/>
                <w:szCs w:val="24"/>
              </w:rPr>
            </w:pPr>
          </w:p>
          <w:p w14:paraId="32B1D4A8" w14:textId="54857F45"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.1. Оценка на административното съответствие и допустимостта</w:t>
            </w:r>
          </w:p>
          <w:p w14:paraId="6B37FF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w:t>
            </w:r>
            <w:r>
              <w:rPr>
                <w:rFonts w:ascii="Times New Roman" w:hAnsi="Times New Roman" w:cs="Times New Roman"/>
                <w:sz w:val="24"/>
                <w:szCs w:val="24"/>
              </w:rPr>
              <w:t xml:space="preserve"> </w:t>
            </w:r>
            <w:r w:rsidRPr="00754C13">
              <w:rPr>
                <w:rFonts w:ascii="Times New Roman" w:hAnsi="Times New Roman" w:cs="Times New Roman"/>
                <w:sz w:val="24"/>
                <w:szCs w:val="24"/>
              </w:rPr>
              <w:t>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5E5991F4" w14:textId="4FD891F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Комисията за подбор, назначена от МИГ</w:t>
            </w:r>
            <w:r w:rsidR="007018FE">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2D41175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процеса на оценка на административното съответствие и допустимостта Комисията за подбор проверява дали:</w:t>
            </w:r>
          </w:p>
          <w:p w14:paraId="3528DB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 проектното предложение се отнася за обявената процедура за подбор на проекти;</w:t>
            </w:r>
          </w:p>
          <w:p w14:paraId="44A7F2BB" w14:textId="5C73046D" w:rsidR="00AE47E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пълнота на проектното предложение – на основа на Формуляра за кандидатстване се проверява дали са попълнени всички раздели, за коит</w:t>
            </w:r>
            <w:r w:rsidR="00AE47E1">
              <w:rPr>
                <w:rFonts w:ascii="Times New Roman" w:hAnsi="Times New Roman" w:cs="Times New Roman"/>
                <w:sz w:val="24"/>
                <w:szCs w:val="24"/>
              </w:rPr>
              <w:t>о е указано, че са задължителни;</w:t>
            </w:r>
          </w:p>
          <w:p w14:paraId="7B7DF7AA" w14:textId="7B5FB131"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са налице всички документи, представени и попълнени съгласно изискванията, посочени</w:t>
            </w:r>
            <w:r w:rsidR="008E0424">
              <w:rPr>
                <w:rFonts w:ascii="Times New Roman" w:hAnsi="Times New Roman" w:cs="Times New Roman"/>
                <w:sz w:val="24"/>
                <w:szCs w:val="24"/>
              </w:rPr>
              <w:t xml:space="preserve"> в</w:t>
            </w:r>
            <w:r w:rsidRPr="00754C13">
              <w:rPr>
                <w:rFonts w:ascii="Times New Roman" w:hAnsi="Times New Roman" w:cs="Times New Roman"/>
                <w:sz w:val="24"/>
                <w:szCs w:val="24"/>
              </w:rPr>
              <w:t xml:space="preserve"> Условията за кандидатстване; декларациите са попълнени по образец и подписани;</w:t>
            </w:r>
          </w:p>
          <w:p w14:paraId="79F363B5" w14:textId="41108C22" w:rsidR="00240C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 на основа на </w:t>
            </w:r>
            <w:r w:rsidR="00987B30">
              <w:rPr>
                <w:rFonts w:ascii="Times New Roman" w:hAnsi="Times New Roman" w:cs="Times New Roman"/>
                <w:sz w:val="24"/>
                <w:szCs w:val="24"/>
              </w:rPr>
              <w:t>ф</w:t>
            </w:r>
            <w:r w:rsidR="00987B30" w:rsidRPr="00754C13">
              <w:rPr>
                <w:rFonts w:ascii="Times New Roman" w:hAnsi="Times New Roman" w:cs="Times New Roman"/>
                <w:sz w:val="24"/>
                <w:szCs w:val="24"/>
              </w:rPr>
              <w:t xml:space="preserve">ормуляра </w:t>
            </w:r>
            <w:r w:rsidRPr="00754C13">
              <w:rPr>
                <w:rFonts w:ascii="Times New Roman" w:hAnsi="Times New Roman" w:cs="Times New Roman"/>
                <w:sz w:val="24"/>
                <w:szCs w:val="24"/>
              </w:rPr>
              <w:t xml:space="preserve">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 </w:t>
            </w:r>
          </w:p>
          <w:p w14:paraId="2A932899" w14:textId="0944FE02"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продължителността на проекта е в рамките на максималната продължителност, съобразно изискванията на съответната процедурата;</w:t>
            </w:r>
          </w:p>
          <w:p w14:paraId="6A894886" w14:textId="5A7CBE0D"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 други административни изисквания, определени в </w:t>
            </w:r>
            <w:r w:rsidR="00240CF3">
              <w:rPr>
                <w:rFonts w:ascii="Times New Roman" w:hAnsi="Times New Roman" w:cs="Times New Roman"/>
                <w:sz w:val="24"/>
                <w:szCs w:val="24"/>
              </w:rPr>
              <w:t>У</w:t>
            </w:r>
            <w:r w:rsidRPr="00754C13">
              <w:rPr>
                <w:rFonts w:ascii="Times New Roman" w:hAnsi="Times New Roman" w:cs="Times New Roman"/>
                <w:sz w:val="24"/>
                <w:szCs w:val="24"/>
              </w:rPr>
              <w:t>словията за кандидатстване по съответната процедура.</w:t>
            </w:r>
          </w:p>
          <w:p w14:paraId="2FB03FCE" w14:textId="0AD8EF45"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административното съответствие и допустимостта се извършва от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14:paraId="178C96BC"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при оценката се установи липса на документи и/или друга нередовност, комисията изпраща на кандидата уведомление за установените </w:t>
            </w:r>
            <w:proofErr w:type="spellStart"/>
            <w:r w:rsidRPr="00754C13">
              <w:rPr>
                <w:rFonts w:ascii="Times New Roman" w:hAnsi="Times New Roman" w:cs="Times New Roman"/>
                <w:sz w:val="24"/>
                <w:szCs w:val="24"/>
              </w:rPr>
              <w:t>нередовности</w:t>
            </w:r>
            <w:proofErr w:type="spellEnd"/>
            <w:r w:rsidRPr="00754C13">
              <w:rPr>
                <w:rFonts w:ascii="Times New Roman" w:hAnsi="Times New Roman" w:cs="Times New Roman"/>
                <w:sz w:val="24"/>
                <w:szCs w:val="24"/>
              </w:rPr>
              <w:t xml:space="preserve"> и определя разумен срок за тяхното отстраняване, който не може да бъде по-кратък от </w:t>
            </w:r>
            <w:r w:rsidRPr="00D22561">
              <w:rPr>
                <w:rFonts w:ascii="Times New Roman" w:hAnsi="Times New Roman" w:cs="Times New Roman"/>
                <w:sz w:val="24"/>
                <w:szCs w:val="24"/>
              </w:rPr>
              <w:t>една седмица.</w:t>
            </w:r>
            <w:r w:rsidRPr="00754C13">
              <w:rPr>
                <w:rFonts w:ascii="Times New Roman" w:hAnsi="Times New Roman" w:cs="Times New Roman"/>
                <w:sz w:val="24"/>
                <w:szCs w:val="24"/>
              </w:rPr>
              <w:t xml:space="preserve"> Уведомлението съдържа и информация, че </w:t>
            </w:r>
            <w:proofErr w:type="spellStart"/>
            <w:r w:rsidRPr="00754C13">
              <w:rPr>
                <w:rFonts w:ascii="Times New Roman" w:hAnsi="Times New Roman" w:cs="Times New Roman"/>
                <w:sz w:val="24"/>
                <w:szCs w:val="24"/>
              </w:rPr>
              <w:t>неотстраняването</w:t>
            </w:r>
            <w:proofErr w:type="spellEnd"/>
            <w:r w:rsidRPr="00754C13">
              <w:rPr>
                <w:rFonts w:ascii="Times New Roman" w:hAnsi="Times New Roman" w:cs="Times New Roman"/>
                <w:sz w:val="24"/>
                <w:szCs w:val="24"/>
              </w:rPr>
              <w:t xml:space="preserve">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p>
          <w:p w14:paraId="0F60A635" w14:textId="6B65ABA5" w:rsidR="00800CEE" w:rsidRPr="00E542A9" w:rsidRDefault="00800CEE" w:rsidP="00622456">
            <w:pPr>
              <w:spacing w:after="120"/>
              <w:jc w:val="both"/>
              <w:rPr>
                <w:rFonts w:ascii="Times New Roman" w:hAnsi="Times New Roman" w:cs="Times New Roman"/>
                <w:sz w:val="24"/>
                <w:szCs w:val="24"/>
              </w:rPr>
            </w:pPr>
            <w:r w:rsidRPr="00800CEE">
              <w:rPr>
                <w:rFonts w:ascii="Times New Roman" w:hAnsi="Times New Roman" w:cs="Times New Roman"/>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r w:rsidRPr="00E542A9">
              <w:rPr>
                <w:rFonts w:ascii="Times New Roman" w:hAnsi="Times New Roman" w:cs="Times New Roman"/>
                <w:sz w:val="24"/>
                <w:szCs w:val="24"/>
              </w:rPr>
              <w:t>.</w:t>
            </w:r>
          </w:p>
          <w:p w14:paraId="799A38BD" w14:textId="77777777" w:rsidR="002F4341" w:rsidRDefault="002F4341" w:rsidP="00622456">
            <w:pPr>
              <w:spacing w:after="120"/>
              <w:jc w:val="both"/>
              <w:rPr>
                <w:rFonts w:ascii="Times New Roman" w:hAnsi="Times New Roman" w:cs="Times New Roman"/>
                <w:b/>
                <w:sz w:val="24"/>
                <w:szCs w:val="24"/>
              </w:rPr>
            </w:pPr>
          </w:p>
          <w:p w14:paraId="077F560F" w14:textId="125AE56B"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.2. Техническа и финансова оценка</w:t>
            </w:r>
          </w:p>
          <w:p w14:paraId="3B1533EC" w14:textId="13A98799"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Техническата и финансовата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w:t>
            </w:r>
            <w:r w:rsidR="00AE47E1">
              <w:rPr>
                <w:rFonts w:ascii="Times New Roman" w:hAnsi="Times New Roman" w:cs="Times New Roman"/>
                <w:sz w:val="24"/>
                <w:szCs w:val="24"/>
              </w:rPr>
              <w:t>ВОМР</w:t>
            </w:r>
            <w:r w:rsidRPr="00754C13">
              <w:rPr>
                <w:rFonts w:ascii="Times New Roman" w:hAnsi="Times New Roman" w:cs="Times New Roman"/>
                <w:sz w:val="24"/>
                <w:szCs w:val="24"/>
              </w:rPr>
              <w:t>, съгласно документите по чл. 42, ал. 3 на ПМС 161 от 4 юли 2016 г.</w:t>
            </w:r>
          </w:p>
          <w:p w14:paraId="3775C099" w14:textId="475E0D9C" w:rsidR="00E300F3" w:rsidRPr="00754C13" w:rsidRDefault="00D04192" w:rsidP="00622456">
            <w:pPr>
              <w:spacing w:after="120"/>
              <w:jc w:val="both"/>
              <w:rPr>
                <w:rFonts w:ascii="Times New Roman" w:hAnsi="Times New Roman" w:cs="Times New Roman"/>
                <w:sz w:val="24"/>
                <w:szCs w:val="24"/>
              </w:rPr>
            </w:pPr>
            <w:r>
              <w:rPr>
                <w:rFonts w:ascii="Times New Roman" w:hAnsi="Times New Roman" w:cs="Times New Roman"/>
                <w:sz w:val="24"/>
                <w:szCs w:val="24"/>
              </w:rPr>
              <w:t>При оценката на проектните предложения</w:t>
            </w:r>
            <w:r w:rsidR="00E300F3" w:rsidRPr="00754C13">
              <w:rPr>
                <w:rFonts w:ascii="Times New Roman" w:hAnsi="Times New Roman" w:cs="Times New Roman"/>
                <w:sz w:val="24"/>
                <w:szCs w:val="24"/>
              </w:rPr>
              <w:t xml:space="preserve"> Комисията за подбор </w:t>
            </w:r>
            <w:r>
              <w:rPr>
                <w:rFonts w:ascii="Times New Roman" w:hAnsi="Times New Roman" w:cs="Times New Roman"/>
                <w:sz w:val="24"/>
                <w:szCs w:val="24"/>
              </w:rPr>
              <w:t>може да изисква допълнителна пояснителна информация</w:t>
            </w:r>
            <w:r w:rsidR="00D22561" w:rsidRPr="00E542A9">
              <w:rPr>
                <w:rFonts w:ascii="Times New Roman" w:hAnsi="Times New Roman" w:cs="Times New Roman"/>
                <w:sz w:val="24"/>
                <w:szCs w:val="24"/>
              </w:rPr>
              <w:t xml:space="preserve"> </w:t>
            </w:r>
            <w:r>
              <w:rPr>
                <w:rFonts w:ascii="Times New Roman" w:hAnsi="Times New Roman" w:cs="Times New Roman"/>
                <w:sz w:val="24"/>
                <w:szCs w:val="24"/>
              </w:rPr>
              <w:t>от</w:t>
            </w:r>
            <w:r w:rsidR="00E300F3" w:rsidRPr="00754C13">
              <w:rPr>
                <w:rFonts w:ascii="Times New Roman" w:hAnsi="Times New Roman" w:cs="Times New Roman"/>
                <w:sz w:val="24"/>
                <w:szCs w:val="24"/>
              </w:rPr>
              <w:t xml:space="preserve"> кандидат</w:t>
            </w:r>
            <w:r>
              <w:rPr>
                <w:rFonts w:ascii="Times New Roman" w:hAnsi="Times New Roman" w:cs="Times New Roman"/>
                <w:sz w:val="24"/>
                <w:szCs w:val="24"/>
              </w:rPr>
              <w:t xml:space="preserve">ите, като срокът за представянето й </w:t>
            </w:r>
            <w:r w:rsidR="00E300F3" w:rsidRPr="00754C13">
              <w:rPr>
                <w:rFonts w:ascii="Times New Roman" w:hAnsi="Times New Roman" w:cs="Times New Roman"/>
                <w:sz w:val="24"/>
                <w:szCs w:val="24"/>
              </w:rPr>
              <w:t xml:space="preserve">не може да бъде по-кратък от </w:t>
            </w:r>
            <w:r w:rsidR="00E300F3" w:rsidRPr="00D22561">
              <w:rPr>
                <w:rFonts w:ascii="Times New Roman" w:hAnsi="Times New Roman" w:cs="Times New Roman"/>
                <w:sz w:val="24"/>
                <w:szCs w:val="24"/>
              </w:rPr>
              <w:t>една седмица.</w:t>
            </w:r>
            <w:r w:rsidR="00E300F3" w:rsidRPr="00754C13">
              <w:rPr>
                <w:rFonts w:ascii="Times New Roman" w:hAnsi="Times New Roman" w:cs="Times New Roman"/>
                <w:sz w:val="24"/>
                <w:szCs w:val="24"/>
              </w:rPr>
              <w:t xml:space="preserve"> </w:t>
            </w:r>
            <w:r>
              <w:rPr>
                <w:rFonts w:ascii="Times New Roman" w:hAnsi="Times New Roman" w:cs="Times New Roman"/>
                <w:sz w:val="24"/>
                <w:szCs w:val="24"/>
              </w:rPr>
              <w:t>Тази възможност</w:t>
            </w:r>
            <w:r w:rsidR="00E300F3"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r>
              <w:rPr>
                <w:rFonts w:ascii="Times New Roman" w:hAnsi="Times New Roman" w:cs="Times New Roman"/>
                <w:sz w:val="24"/>
                <w:szCs w:val="24"/>
              </w:rPr>
              <w:t xml:space="preserve"> и до нарушаване на принципите по чл. 29, ал. 1, т. 1 и 2 от ЗУСЕСИФ</w:t>
            </w:r>
            <w:r w:rsidR="00E300F3" w:rsidRPr="00754C13">
              <w:rPr>
                <w:rFonts w:ascii="Times New Roman" w:hAnsi="Times New Roman" w:cs="Times New Roman"/>
                <w:sz w:val="24"/>
                <w:szCs w:val="24"/>
              </w:rPr>
              <w:t xml:space="preserve">. При </w:t>
            </w:r>
            <w:proofErr w:type="spellStart"/>
            <w:r w:rsidR="00E300F3" w:rsidRPr="00754C13">
              <w:rPr>
                <w:rFonts w:ascii="Times New Roman" w:hAnsi="Times New Roman" w:cs="Times New Roman"/>
                <w:sz w:val="24"/>
                <w:szCs w:val="24"/>
              </w:rPr>
              <w:t>непредставяне</w:t>
            </w:r>
            <w:proofErr w:type="spellEnd"/>
            <w:r w:rsidR="00E300F3" w:rsidRPr="00754C13">
              <w:rPr>
                <w:rFonts w:ascii="Times New Roman" w:hAnsi="Times New Roman" w:cs="Times New Roman"/>
                <w:sz w:val="24"/>
                <w:szCs w:val="24"/>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w:t>
            </w:r>
            <w:r w:rsidR="00E300F3">
              <w:rPr>
                <w:rFonts w:ascii="Times New Roman" w:hAnsi="Times New Roman" w:cs="Times New Roman"/>
                <w:sz w:val="24"/>
                <w:szCs w:val="24"/>
              </w:rPr>
              <w:t xml:space="preserve"> </w:t>
            </w:r>
            <w:r w:rsidR="00E300F3" w:rsidRPr="00754C13">
              <w:rPr>
                <w:rFonts w:ascii="Times New Roman" w:hAnsi="Times New Roman" w:cs="Times New Roman"/>
                <w:sz w:val="24"/>
                <w:szCs w:val="24"/>
              </w:rPr>
              <w:t>информация, предоставена извън официално изисканата от Комисията за подбор, не се взима под внимание. Исканията за представяне на допълнителни разяснения</w:t>
            </w:r>
            <w:r w:rsidR="00904597">
              <w:rPr>
                <w:rFonts w:ascii="Times New Roman" w:hAnsi="Times New Roman" w:cs="Times New Roman"/>
                <w:sz w:val="24"/>
                <w:szCs w:val="24"/>
              </w:rPr>
              <w:t xml:space="preserve"> и информация</w:t>
            </w:r>
            <w:r w:rsidR="00E300F3" w:rsidRPr="00754C13">
              <w:rPr>
                <w:rFonts w:ascii="Times New Roman" w:hAnsi="Times New Roman" w:cs="Times New Roman"/>
                <w:sz w:val="24"/>
                <w:szCs w:val="24"/>
              </w:rPr>
              <w:t xml:space="preserve"> се изпращат през ИСУН 2020 чрез електронния профил на кандидата</w:t>
            </w:r>
            <w:r w:rsidR="00904597">
              <w:rPr>
                <w:rFonts w:ascii="Times New Roman" w:hAnsi="Times New Roman" w:cs="Times New Roman"/>
                <w:sz w:val="24"/>
                <w:szCs w:val="24"/>
              </w:rPr>
              <w:t>,</w:t>
            </w:r>
            <w:r w:rsidR="00E300F3" w:rsidRPr="00754C13">
              <w:rPr>
                <w:rFonts w:ascii="Times New Roman" w:hAnsi="Times New Roman" w:cs="Times New Roman"/>
                <w:sz w:val="24"/>
                <w:szCs w:val="24"/>
              </w:rPr>
              <w:t xml:space="preserve">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w:t>
            </w:r>
            <w:r w:rsidR="00E300F3" w:rsidRPr="00754C13">
              <w:rPr>
                <w:rFonts w:ascii="Times New Roman" w:hAnsi="Times New Roman" w:cs="Times New Roman"/>
                <w:sz w:val="24"/>
                <w:szCs w:val="24"/>
              </w:rPr>
              <w:lastRenderedPageBreak/>
              <w:t>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14:paraId="3B6A7B9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14:paraId="7F13E056"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Критериите за техническа и финансова оценка на проектните предложения са обособени в раздели и подраздели и са задължителни при оценка на проектните предложения от Комисията за подбор. 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2C7FAE63" w14:textId="77777777" w:rsidR="002F4341" w:rsidRDefault="002F4341" w:rsidP="00622456">
            <w:pPr>
              <w:spacing w:after="120"/>
              <w:jc w:val="both"/>
              <w:rPr>
                <w:rFonts w:ascii="Times New Roman" w:hAnsi="Times New Roman" w:cs="Times New Roman"/>
                <w:b/>
                <w:sz w:val="24"/>
                <w:szCs w:val="24"/>
              </w:rPr>
            </w:pPr>
          </w:p>
          <w:p w14:paraId="49F62E89"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389241F2" w14:textId="3A54731E" w:rsidR="00E300F3" w:rsidRPr="00023119" w:rsidRDefault="00E300F3" w:rsidP="00622456">
            <w:pPr>
              <w:spacing w:after="120"/>
              <w:jc w:val="both"/>
              <w:rPr>
                <w:rFonts w:ascii="Times New Roman" w:hAnsi="Times New Roman" w:cs="Times New Roman"/>
                <w:b/>
                <w:color w:val="000000" w:themeColor="text1"/>
                <w:sz w:val="24"/>
                <w:szCs w:val="24"/>
              </w:rPr>
            </w:pPr>
            <w:r w:rsidRPr="00023119">
              <w:rPr>
                <w:rFonts w:ascii="Times New Roman" w:hAnsi="Times New Roman" w:cs="Times New Roman"/>
                <w:b/>
                <w:color w:val="000000" w:themeColor="text1"/>
                <w:sz w:val="24"/>
                <w:szCs w:val="24"/>
              </w:rPr>
              <w:t>Към посочените в Методологията критерии за подбор на операции МИГ</w:t>
            </w:r>
            <w:r w:rsidR="00531079">
              <w:t xml:space="preserve"> </w:t>
            </w:r>
            <w:r w:rsidR="00531079" w:rsidRPr="00531079">
              <w:rPr>
                <w:rFonts w:ascii="Times New Roman" w:hAnsi="Times New Roman" w:cs="Times New Roman"/>
                <w:b/>
                <w:color w:val="000000" w:themeColor="text1"/>
                <w:sz w:val="24"/>
                <w:szCs w:val="24"/>
              </w:rPr>
              <w:t>Свиленград Ареал</w:t>
            </w:r>
            <w:r w:rsidRPr="00023119">
              <w:rPr>
                <w:rFonts w:ascii="Times New Roman" w:hAnsi="Times New Roman" w:cs="Times New Roman"/>
                <w:b/>
                <w:color w:val="000000" w:themeColor="text1"/>
                <w:sz w:val="24"/>
                <w:szCs w:val="24"/>
              </w:rPr>
              <w:t xml:space="preserve"> определя допълнителни специфични критерии за приоритизиране на проектите в изпълнение на заложените цели и приоритети на стратегията за </w:t>
            </w:r>
            <w:r w:rsidR="00473971"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 Допълнителните специфични критерии за приоритизиране на проектите в изпълнение на заложените цели и прио</w:t>
            </w:r>
            <w:r w:rsidR="00B20872" w:rsidRPr="00023119">
              <w:rPr>
                <w:rFonts w:ascii="Times New Roman" w:hAnsi="Times New Roman" w:cs="Times New Roman"/>
                <w:b/>
                <w:color w:val="000000" w:themeColor="text1"/>
                <w:sz w:val="24"/>
                <w:szCs w:val="24"/>
              </w:rPr>
              <w:t xml:space="preserve">ритети </w:t>
            </w:r>
            <w:r w:rsidR="009E0AED" w:rsidRPr="00023119">
              <w:rPr>
                <w:rFonts w:ascii="Times New Roman" w:hAnsi="Times New Roman" w:cs="Times New Roman"/>
                <w:b/>
                <w:color w:val="000000" w:themeColor="text1"/>
                <w:sz w:val="24"/>
                <w:szCs w:val="24"/>
              </w:rPr>
              <w:t xml:space="preserve">на стратегията за ВОМР </w:t>
            </w:r>
            <w:r w:rsidR="00B20872" w:rsidRPr="00023119">
              <w:rPr>
                <w:rFonts w:ascii="Times New Roman" w:hAnsi="Times New Roman" w:cs="Times New Roman"/>
                <w:b/>
                <w:color w:val="000000" w:themeColor="text1"/>
                <w:sz w:val="24"/>
                <w:szCs w:val="24"/>
              </w:rPr>
              <w:t>не трябва да надвишават 5</w:t>
            </w:r>
            <w:r w:rsidRPr="00023119">
              <w:rPr>
                <w:rFonts w:ascii="Times New Roman" w:hAnsi="Times New Roman" w:cs="Times New Roman"/>
                <w:b/>
                <w:color w:val="000000" w:themeColor="text1"/>
                <w:sz w:val="24"/>
                <w:szCs w:val="24"/>
              </w:rPr>
              <w:t xml:space="preserve">0% от общия брой точки и трябва да съответстват изцяло на заложените и одобрени в стратегията за </w:t>
            </w:r>
            <w:r w:rsidR="00B20872"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w:t>
            </w:r>
          </w:p>
          <w:p w14:paraId="5DF8C0BF" w14:textId="2F170829" w:rsidR="00E300F3" w:rsidRPr="00B20872" w:rsidRDefault="00B20872" w:rsidP="00622456">
            <w:pPr>
              <w:spacing w:after="120"/>
              <w:jc w:val="both"/>
              <w:rPr>
                <w:rFonts w:ascii="Times New Roman" w:hAnsi="Times New Roman" w:cs="Times New Roman"/>
                <w:strike/>
                <w:sz w:val="24"/>
                <w:szCs w:val="24"/>
              </w:rPr>
            </w:pPr>
            <w:r w:rsidRPr="00023119">
              <w:rPr>
                <w:rFonts w:ascii="Times New Roman" w:hAnsi="Times New Roman" w:cs="Times New Roman"/>
                <w:color w:val="000000" w:themeColor="text1"/>
                <w:sz w:val="24"/>
                <w:szCs w:val="24"/>
              </w:rPr>
              <w:t xml:space="preserve">За всеки раздел от методологията за оценка УО на ОП НОИР е определил минимално допустим </w:t>
            </w:r>
            <w:r w:rsidR="00240CF3" w:rsidRPr="00023119">
              <w:rPr>
                <w:rFonts w:ascii="Times New Roman" w:hAnsi="Times New Roman" w:cs="Times New Roman"/>
                <w:color w:val="000000" w:themeColor="text1"/>
                <w:sz w:val="24"/>
                <w:szCs w:val="24"/>
              </w:rPr>
              <w:t xml:space="preserve">брой точки </w:t>
            </w:r>
            <w:r w:rsidRPr="00023119">
              <w:rPr>
                <w:rFonts w:ascii="Times New Roman" w:hAnsi="Times New Roman" w:cs="Times New Roman"/>
                <w:color w:val="000000" w:themeColor="text1"/>
                <w:sz w:val="24"/>
                <w:szCs w:val="24"/>
              </w:rPr>
              <w:t xml:space="preserve">от максималния брой точки за раздела. Когато по даден раздел проектно предложение не постига минималния </w:t>
            </w:r>
            <w:r w:rsidR="00240CF3" w:rsidRPr="00023119">
              <w:rPr>
                <w:rFonts w:ascii="Times New Roman" w:hAnsi="Times New Roman" w:cs="Times New Roman"/>
                <w:color w:val="000000" w:themeColor="text1"/>
                <w:sz w:val="24"/>
                <w:szCs w:val="24"/>
              </w:rPr>
              <w:t xml:space="preserve">брой </w:t>
            </w:r>
            <w:r w:rsidRPr="00023119">
              <w:rPr>
                <w:rFonts w:ascii="Times New Roman" w:hAnsi="Times New Roman" w:cs="Times New Roman"/>
                <w:color w:val="000000" w:themeColor="text1"/>
                <w:sz w:val="24"/>
                <w:szCs w:val="24"/>
              </w:rPr>
              <w:t xml:space="preserve">точки, то проектното предложение се предлага за отхвърляне. Проектното предложение следва да има минимум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 xml:space="preserve">0 точки по методологията за оценка на УО на ОП НОИР, за да продължи да участва в оценката с допълнителните </w:t>
            </w:r>
            <w:r w:rsidRPr="00E51CDC">
              <w:rPr>
                <w:rFonts w:ascii="Times New Roman" w:hAnsi="Times New Roman" w:cs="Times New Roman"/>
                <w:sz w:val="24"/>
                <w:szCs w:val="24"/>
              </w:rPr>
              <w:t>специфични индикатори от одобрената стратегия за ВОМР.</w:t>
            </w:r>
            <w:r w:rsidR="00B8163C" w:rsidRPr="00E51CDC">
              <w:rPr>
                <w:rFonts w:ascii="Times New Roman" w:hAnsi="Times New Roman" w:cs="Times New Roman"/>
                <w:sz w:val="24"/>
                <w:szCs w:val="24"/>
              </w:rPr>
              <w:t xml:space="preserve"> Виж т. 22.</w:t>
            </w:r>
          </w:p>
          <w:p w14:paraId="2B074571"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50FFC2A9" w14:textId="24DAC45F"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w:t>
            </w:r>
            <w:r w:rsidR="00B8163C" w:rsidRPr="00E51CDC">
              <w:rPr>
                <w:rFonts w:ascii="Times New Roman" w:hAnsi="Times New Roman" w:cs="Times New Roman"/>
                <w:sz w:val="24"/>
                <w:szCs w:val="24"/>
              </w:rPr>
              <w:t>по методологията за оценка на УО на ОП НОИР</w:t>
            </w:r>
            <w:r w:rsidR="00B8163C" w:rsidRPr="00240CF3">
              <w:rPr>
                <w:rFonts w:ascii="Times New Roman" w:hAnsi="Times New Roman" w:cs="Times New Roman"/>
                <w:sz w:val="24"/>
                <w:szCs w:val="24"/>
              </w:rPr>
              <w:t xml:space="preserve"> </w:t>
            </w:r>
            <w:r w:rsidRPr="00E51CDC">
              <w:rPr>
                <w:rFonts w:ascii="Times New Roman" w:hAnsi="Times New Roman" w:cs="Times New Roman"/>
                <w:sz w:val="24"/>
                <w:szCs w:val="24"/>
              </w:rPr>
              <w:t>по процедурата</w:t>
            </w:r>
            <w:r w:rsidRPr="00754C13">
              <w:rPr>
                <w:rFonts w:ascii="Times New Roman" w:hAnsi="Times New Roman" w:cs="Times New Roman"/>
                <w:sz w:val="24"/>
                <w:szCs w:val="24"/>
              </w:rPr>
              <w:t>,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4C5E5E5F" w14:textId="21C51C05" w:rsidR="00EC6FB2" w:rsidRPr="00EC6FB2" w:rsidRDefault="00EC6FB2" w:rsidP="0062245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Когато</w:t>
            </w:r>
            <w:r w:rsidRPr="00EC6FB2">
              <w:rPr>
                <w:rFonts w:ascii="Times New Roman" w:hAnsi="Times New Roman" w:cs="Times New Roman"/>
                <w:sz w:val="24"/>
                <w:szCs w:val="24"/>
              </w:rPr>
              <w:t xml:space="preserve"> две или повече проектни предложения имат еднакви общи крайни оценки, проектите ще бъдат подреждани в низходящ ред по следните критерии:</w:t>
            </w:r>
          </w:p>
          <w:p w14:paraId="5B574CD5" w14:textId="6DC54C5E"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По-високи индикатори за изпълнение и </w:t>
            </w:r>
            <w:r w:rsidR="00AE5E47" w:rsidRPr="001C09AE">
              <w:rPr>
                <w:rFonts w:ascii="Times New Roman" w:hAnsi="Times New Roman" w:cs="Times New Roman"/>
                <w:sz w:val="24"/>
                <w:szCs w:val="24"/>
              </w:rPr>
              <w:t xml:space="preserve">за </w:t>
            </w:r>
            <w:r w:rsidRPr="001C09AE">
              <w:rPr>
                <w:rFonts w:ascii="Times New Roman" w:hAnsi="Times New Roman" w:cs="Times New Roman"/>
                <w:sz w:val="24"/>
                <w:szCs w:val="24"/>
              </w:rPr>
              <w:t>резултат;</w:t>
            </w:r>
          </w:p>
          <w:p w14:paraId="3F2B7DEA" w14:textId="027FA362"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Крайната оценка на раздел </w:t>
            </w:r>
            <w:r w:rsidR="00AE5E47" w:rsidRPr="001C09AE">
              <w:rPr>
                <w:rFonts w:ascii="Times New Roman" w:hAnsi="Times New Roman" w:cs="Times New Roman"/>
                <w:sz w:val="24"/>
                <w:szCs w:val="24"/>
              </w:rPr>
              <w:t>2</w:t>
            </w:r>
            <w:r w:rsidRPr="001C09AE">
              <w:rPr>
                <w:rFonts w:ascii="Times New Roman" w:hAnsi="Times New Roman" w:cs="Times New Roman"/>
                <w:sz w:val="24"/>
                <w:szCs w:val="24"/>
              </w:rPr>
              <w:t xml:space="preserve"> </w:t>
            </w:r>
            <w:r w:rsidR="00AE5E47" w:rsidRPr="001C09AE">
              <w:rPr>
                <w:rFonts w:ascii="Times New Roman" w:hAnsi="Times New Roman" w:cs="Times New Roman"/>
                <w:sz w:val="24"/>
                <w:szCs w:val="24"/>
              </w:rPr>
              <w:t>Описание на дейностите и организация на изпълнението</w:t>
            </w:r>
            <w:r w:rsidRPr="001C09AE">
              <w:rPr>
                <w:rFonts w:ascii="Times New Roman" w:hAnsi="Times New Roman" w:cs="Times New Roman"/>
                <w:sz w:val="24"/>
                <w:szCs w:val="24"/>
              </w:rPr>
              <w:t>;</w:t>
            </w:r>
          </w:p>
          <w:p w14:paraId="028A617D" w14:textId="524E6DEF"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Крайната оценка на раздел 4 Бюджет;</w:t>
            </w:r>
          </w:p>
          <w:p w14:paraId="7EDBB996" w14:textId="0C7EB50E" w:rsidR="00E300F3" w:rsidRPr="001C09AE" w:rsidRDefault="00AE5E47"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Срок /продължителност за изпълнение на проектното предложение.</w:t>
            </w:r>
          </w:p>
          <w:p w14:paraId="4E6BBAC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Комисията за подбор установи наличието на обстоятелства като включени в проектното предложение недопустими дейности, недопустими и/или нереалистични разходи, дублиране на заложени дейности и/или разходи и др., бюджетът на проектното предложение се променя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w:t>
            </w:r>
          </w:p>
          <w:p w14:paraId="15E97E46" w14:textId="18A45650" w:rsidR="00E300F3" w:rsidRDefault="00E300F3" w:rsidP="00622456">
            <w:pPr>
              <w:spacing w:after="120"/>
              <w:jc w:val="both"/>
              <w:rPr>
                <w:rFonts w:ascii="Times New Roman" w:hAnsi="Times New Roman" w:cs="Times New Roman"/>
                <w:sz w:val="24"/>
                <w:szCs w:val="24"/>
              </w:rPr>
            </w:pPr>
            <w:r w:rsidRPr="00E51CDC">
              <w:rPr>
                <w:rFonts w:ascii="Times New Roman" w:hAnsi="Times New Roman" w:cs="Times New Roman"/>
                <w:sz w:val="24"/>
                <w:szCs w:val="24"/>
              </w:rPr>
              <w:t>По време на оценката Комисията за подбор проверява предложените цени по отношение на реалистичност спрямо посочените цени в приложените оферти/извлечения от каталози на производители/доставчици и/или проучвания в интернет</w:t>
            </w:r>
            <w:r w:rsidRPr="00240CF3">
              <w:rPr>
                <w:rFonts w:ascii="Times New Roman" w:hAnsi="Times New Roman" w:cs="Times New Roman"/>
                <w:sz w:val="24"/>
                <w:szCs w:val="24"/>
              </w:rPr>
              <w:t xml:space="preserve">. </w:t>
            </w:r>
            <w:r w:rsidRPr="00E51CDC">
              <w:rPr>
                <w:rFonts w:ascii="Times New Roman" w:hAnsi="Times New Roman" w:cs="Times New Roman"/>
                <w:sz w:val="24"/>
                <w:szCs w:val="24"/>
              </w:rPr>
              <w:t xml:space="preserve">В случай че по време на финансовата оценка се установи надвишаване на </w:t>
            </w:r>
            <w:r w:rsidR="00C42985" w:rsidRPr="00E51CDC">
              <w:rPr>
                <w:rFonts w:ascii="Times New Roman" w:hAnsi="Times New Roman" w:cs="Times New Roman"/>
                <w:sz w:val="24"/>
                <w:szCs w:val="24"/>
              </w:rPr>
              <w:t>максимално допустимия</w:t>
            </w:r>
            <w:r w:rsidRPr="00E51CDC">
              <w:rPr>
                <w:rFonts w:ascii="Times New Roman" w:hAnsi="Times New Roman" w:cs="Times New Roman"/>
                <w:sz w:val="24"/>
                <w:szCs w:val="24"/>
              </w:rPr>
              <w:t xml:space="preserve"> размер на безвъзмездната финансова помощ, определен в Условията за кандидатстване, Комисията за подбор служебно го намалява до максимално допустимия размер.</w:t>
            </w:r>
          </w:p>
          <w:p w14:paraId="399E0152" w14:textId="738FF5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случай че по време на финансовата оценка се установи наличие на недопустими разходи или на разходи, които не са съпоставими с пазарните цени, Комисията за подбор служебно коригира/премахва съответните разходи от бюджета на проекта (т. 5 от Формуляра за кандидатстване).</w:t>
            </w:r>
          </w:p>
          <w:p w14:paraId="7DA581F9" w14:textId="7733084E"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w:t>
            </w:r>
            <w:r w:rsidR="003E433E">
              <w:rPr>
                <w:rFonts w:ascii="Times New Roman" w:hAnsi="Times New Roman" w:cs="Times New Roman"/>
                <w:sz w:val="24"/>
                <w:szCs w:val="24"/>
              </w:rPr>
              <w:t xml:space="preserve">одят до: увеличаване на размера </w:t>
            </w:r>
            <w:r w:rsidRPr="00754C13">
              <w:rPr>
                <w:rFonts w:ascii="Times New Roman" w:hAnsi="Times New Roman" w:cs="Times New Roman"/>
                <w:sz w:val="24"/>
                <w:szCs w:val="24"/>
              </w:rPr>
              <w:t>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19DEC73B" w14:textId="77777777" w:rsidR="002F4341" w:rsidRDefault="002F4341" w:rsidP="00622456">
            <w:pPr>
              <w:spacing w:after="120"/>
              <w:jc w:val="both"/>
              <w:rPr>
                <w:rFonts w:ascii="Times New Roman" w:hAnsi="Times New Roman" w:cs="Times New Roman"/>
                <w:b/>
                <w:sz w:val="24"/>
                <w:szCs w:val="24"/>
              </w:rPr>
            </w:pPr>
          </w:p>
          <w:p w14:paraId="3951CC07" w14:textId="77777777" w:rsidR="002F434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1782FD5" w14:textId="120D0E00"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Оценителната комисия може да извършва корекции в бюджета на проектно</w:t>
            </w:r>
            <w:r w:rsidR="00C50F16">
              <w:rPr>
                <w:rFonts w:ascii="Times New Roman" w:hAnsi="Times New Roman" w:cs="Times New Roman"/>
                <w:sz w:val="24"/>
                <w:szCs w:val="24"/>
              </w:rPr>
              <w:t>то</w:t>
            </w:r>
            <w:r w:rsidRPr="00754C13">
              <w:rPr>
                <w:rFonts w:ascii="Times New Roman" w:hAnsi="Times New Roman" w:cs="Times New Roman"/>
                <w:sz w:val="24"/>
                <w:szCs w:val="24"/>
              </w:rPr>
              <w:t xml:space="preserve"> предложение, в случай че при оценката се установи:</w:t>
            </w:r>
          </w:p>
          <w:p w14:paraId="0ACFDA52"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наличие на недопустими дейности и/или разходи;</w:t>
            </w:r>
          </w:p>
          <w:p w14:paraId="62F72A6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несъответствие между предвидените дейности и видовете заложени разходи;</w:t>
            </w:r>
          </w:p>
          <w:p w14:paraId="3F223DC8"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дублиране на разходи;</w:t>
            </w:r>
          </w:p>
          <w:p w14:paraId="1FA8FA60" w14:textId="000A087A"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4. неспазване на заложените в Насоките за кандидатстване правила по отношение на заложени</w:t>
            </w:r>
            <w:r w:rsidR="00C50F16">
              <w:rPr>
                <w:rFonts w:ascii="Times New Roman" w:hAnsi="Times New Roman" w:cs="Times New Roman"/>
                <w:sz w:val="24"/>
                <w:szCs w:val="24"/>
              </w:rPr>
              <w:t>те</w:t>
            </w:r>
            <w:r w:rsidRPr="00754C13">
              <w:rPr>
                <w:rFonts w:ascii="Times New Roman" w:hAnsi="Times New Roman" w:cs="Times New Roman"/>
                <w:sz w:val="24"/>
                <w:szCs w:val="24"/>
              </w:rPr>
              <w:t xml:space="preserve"> </w:t>
            </w:r>
            <w:r w:rsidR="00C50F16">
              <w:rPr>
                <w:rFonts w:ascii="Times New Roman" w:hAnsi="Times New Roman" w:cs="Times New Roman"/>
                <w:sz w:val="24"/>
                <w:szCs w:val="24"/>
              </w:rPr>
              <w:t>разходи</w:t>
            </w:r>
            <w:r w:rsidRPr="00754C13">
              <w:rPr>
                <w:rFonts w:ascii="Times New Roman" w:hAnsi="Times New Roman" w:cs="Times New Roman"/>
                <w:sz w:val="24"/>
                <w:szCs w:val="24"/>
              </w:rPr>
              <w:t>;</w:t>
            </w:r>
          </w:p>
          <w:p w14:paraId="1BCF923B"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Направените корекциите не могат да водят до:</w:t>
            </w:r>
          </w:p>
          <w:p w14:paraId="0529AA0B" w14:textId="591413D9"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1. увеличаване на размера на безвъзмездната финансова помощ, предвидени в подаденото проектно предложение;</w:t>
            </w:r>
          </w:p>
          <w:p w14:paraId="2A6D1BD9"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2. подобряване на качеството на проектното предложение и нарушаване на принципите по чл. 29, ал. 1, т. 1 и 2 ЗУСЕСИФ.</w:t>
            </w:r>
          </w:p>
          <w:p w14:paraId="5DCFA5FE" w14:textId="1D08B4FE" w:rsidR="00EC6FB2"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Комисията задължително извършва проверка за наличие/липса на двойно финансиране.</w:t>
            </w:r>
          </w:p>
          <w:p w14:paraId="0FFE80EF" w14:textId="77777777" w:rsidR="00DE7C76"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b/>
                <w:sz w:val="24"/>
                <w:szCs w:val="24"/>
              </w:rPr>
              <w:t>ВАЖНО!</w:t>
            </w:r>
            <w:r w:rsidRPr="00D22561">
              <w:rPr>
                <w:rFonts w:ascii="Times New Roman" w:hAnsi="Times New Roman" w:cs="Times New Roman"/>
                <w:sz w:val="24"/>
                <w:szCs w:val="24"/>
              </w:rPr>
              <w:t xml:space="preserve"> </w:t>
            </w:r>
          </w:p>
          <w:p w14:paraId="366E8555" w14:textId="31A4F7DD" w:rsidR="00E300F3" w:rsidRPr="005A34E5"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t>Бенефициентите, които не се явяват възложители по ЗОП прилагат</w:t>
            </w:r>
            <w:r w:rsidRPr="00D15CC1">
              <w:rPr>
                <w:rFonts w:ascii="Times New Roman" w:hAnsi="Times New Roman" w:cs="Times New Roman"/>
                <w:sz w:val="24"/>
                <w:szCs w:val="24"/>
              </w:rPr>
              <w:t xml:space="preserve">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p w14:paraId="48FDDDFA"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p>
          <w:p w14:paraId="4E39A054" w14:textId="1CAF12AF" w:rsidR="00E300F3" w:rsidRPr="00B62A5B"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 xml:space="preserve">МИГ </w:t>
            </w:r>
            <w:r w:rsidR="00531079" w:rsidRPr="00531079">
              <w:rPr>
                <w:rFonts w:ascii="Times New Roman" w:hAnsi="Times New Roman" w:cs="Times New Roman"/>
                <w:sz w:val="24"/>
                <w:szCs w:val="24"/>
              </w:rPr>
              <w:t xml:space="preserve">Свиленград Ареал </w:t>
            </w:r>
            <w:r w:rsidRPr="005A34E5">
              <w:rPr>
                <w:rFonts w:ascii="Times New Roman" w:hAnsi="Times New Roman" w:cs="Times New Roman"/>
                <w:sz w:val="24"/>
                <w:szCs w:val="24"/>
              </w:rPr>
              <w:t>описва основанията за вземане на решение от Комисията</w:t>
            </w:r>
            <w:r>
              <w:rPr>
                <w:rFonts w:ascii="Times New Roman" w:hAnsi="Times New Roman" w:cs="Times New Roman"/>
                <w:sz w:val="24"/>
                <w:szCs w:val="24"/>
              </w:rPr>
              <w:t xml:space="preserve"> </w:t>
            </w:r>
            <w:r w:rsidR="00C50F16">
              <w:rPr>
                <w:rFonts w:ascii="Times New Roman" w:hAnsi="Times New Roman" w:cs="Times New Roman"/>
                <w:sz w:val="24"/>
                <w:szCs w:val="24"/>
              </w:rPr>
              <w:t xml:space="preserve">за </w:t>
            </w:r>
            <w:r w:rsidRPr="00B62A5B">
              <w:rPr>
                <w:rFonts w:ascii="Times New Roman" w:hAnsi="Times New Roman" w:cs="Times New Roman"/>
                <w:sz w:val="24"/>
                <w:szCs w:val="24"/>
              </w:rPr>
              <w:t>подбор за отхвърляне на дадено проектно предложение. Проектното предложение се отхвърля когато:</w:t>
            </w:r>
          </w:p>
          <w:p w14:paraId="13C88E8F"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предложението е непълно или не отговаря в други отношения на поставените условия за административно съответствие;</w:t>
            </w:r>
          </w:p>
          <w:p w14:paraId="1011C7D6"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не отговаря на условията за допустимост;</w:t>
            </w:r>
          </w:p>
          <w:p w14:paraId="152C25F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проектът не отговаря на условията за допустимост;</w:t>
            </w:r>
          </w:p>
          <w:p w14:paraId="59B8A08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1AF2952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09080D6E" w14:textId="259A8F30" w:rsidR="00E300F3"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Работата на Комисията за подбор приключва с оценителен доклад до Ръководителя на Управляващия орган на ОП</w:t>
            </w:r>
            <w:r w:rsidR="00536CA6">
              <w:rPr>
                <w:rFonts w:ascii="Times New Roman" w:hAnsi="Times New Roman" w:cs="Times New Roman"/>
                <w:sz w:val="24"/>
                <w:szCs w:val="24"/>
              </w:rPr>
              <w:t xml:space="preserve"> </w:t>
            </w:r>
            <w:r>
              <w:rPr>
                <w:rFonts w:ascii="Times New Roman" w:hAnsi="Times New Roman" w:cs="Times New Roman"/>
                <w:sz w:val="24"/>
                <w:szCs w:val="24"/>
              </w:rPr>
              <w:t>НОИР</w:t>
            </w:r>
            <w:r w:rsidRPr="00B62A5B">
              <w:rPr>
                <w:rFonts w:ascii="Times New Roman" w:hAnsi="Times New Roman" w:cs="Times New Roman"/>
                <w:sz w:val="24"/>
                <w:szCs w:val="24"/>
              </w:rPr>
              <w:t>.</w:t>
            </w:r>
          </w:p>
        </w:tc>
      </w:tr>
    </w:tbl>
    <w:p w14:paraId="04E7CA83"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2705C2A0" w14:textId="77777777" w:rsidTr="00CA777C">
        <w:tc>
          <w:tcPr>
            <w:tcW w:w="10207" w:type="dxa"/>
          </w:tcPr>
          <w:p w14:paraId="7BD695C7" w14:textId="35244443" w:rsidR="00F4449D"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t>20</w:t>
            </w:r>
            <w:r w:rsidR="00E300F3" w:rsidRPr="007273C2">
              <w:rPr>
                <w:rFonts w:ascii="Times New Roman" w:hAnsi="Times New Roman" w:cs="Times New Roman"/>
                <w:b/>
                <w:sz w:val="24"/>
                <w:szCs w:val="24"/>
              </w:rPr>
              <w:t>. Критерии и методика за оценка на проектните предложения</w:t>
            </w:r>
          </w:p>
          <w:p w14:paraId="71248903" w14:textId="38CE3988" w:rsidR="00E300F3" w:rsidRDefault="00507D8B" w:rsidP="006479FB">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Оценката на проектни предложения се извършва съобразно </w:t>
            </w:r>
            <w:r w:rsidR="00E300F3" w:rsidRPr="00953AF3">
              <w:rPr>
                <w:rFonts w:ascii="Times New Roman" w:hAnsi="Times New Roman" w:cs="Times New Roman"/>
                <w:sz w:val="24"/>
                <w:szCs w:val="24"/>
              </w:rPr>
              <w:t xml:space="preserve"> метод</w:t>
            </w:r>
            <w:r w:rsidR="00E300F3">
              <w:rPr>
                <w:rFonts w:ascii="Times New Roman" w:hAnsi="Times New Roman" w:cs="Times New Roman"/>
                <w:sz w:val="24"/>
                <w:szCs w:val="24"/>
              </w:rPr>
              <w:t>ика:</w:t>
            </w:r>
            <w:r w:rsidR="00E300F3" w:rsidRPr="00953AF3">
              <w:rPr>
                <w:rFonts w:ascii="Times New Roman" w:hAnsi="Times New Roman" w:cs="Times New Roman"/>
                <w:sz w:val="24"/>
                <w:szCs w:val="24"/>
              </w:rPr>
              <w:t xml:space="preserve"> </w:t>
            </w:r>
          </w:p>
          <w:p w14:paraId="70E0564C" w14:textId="1A0009E5" w:rsidR="00EC6FB2"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АСД  се </w:t>
            </w:r>
            <w:r w:rsidR="00EC6FB2" w:rsidRPr="0067595B">
              <w:rPr>
                <w:rFonts w:ascii="Times New Roman" w:hAnsi="Times New Roman" w:cs="Times New Roman"/>
                <w:sz w:val="24"/>
                <w:szCs w:val="24"/>
              </w:rPr>
              <w:t xml:space="preserve"> прилага Таблица за оценка на административно съответствие и допустимост –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 </w:t>
            </w:r>
            <w:r w:rsidR="007B39F7" w:rsidRPr="0067595B">
              <w:rPr>
                <w:rFonts w:ascii="Times New Roman" w:hAnsi="Times New Roman" w:cs="Times New Roman"/>
                <w:sz w:val="24"/>
                <w:szCs w:val="24"/>
              </w:rPr>
              <w:t xml:space="preserve">от </w:t>
            </w:r>
            <w:r w:rsidR="00EC6FB2" w:rsidRPr="0067595B">
              <w:rPr>
                <w:rFonts w:ascii="Times New Roman" w:hAnsi="Times New Roman" w:cs="Times New Roman"/>
                <w:sz w:val="24"/>
                <w:szCs w:val="24"/>
              </w:rPr>
              <w:t>документите за информация към настоящите Условия за кандидатстване.</w:t>
            </w:r>
          </w:p>
          <w:p w14:paraId="1F6AC40F" w14:textId="61FC3190" w:rsidR="00E300F3"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ТФО се </w:t>
            </w:r>
            <w:r w:rsidR="00EC6FB2" w:rsidRPr="0067595B">
              <w:rPr>
                <w:rFonts w:ascii="Times New Roman" w:hAnsi="Times New Roman" w:cs="Times New Roman"/>
                <w:sz w:val="24"/>
                <w:szCs w:val="24"/>
              </w:rPr>
              <w:t xml:space="preserve"> прилага Методологията за техническа и финансова оценка на проектни предложения по процедурата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XII </w:t>
            </w:r>
            <w:r w:rsidR="00EC6FB2" w:rsidRPr="0067595B">
              <w:rPr>
                <w:rFonts w:ascii="Times New Roman" w:hAnsi="Times New Roman" w:cs="Times New Roman"/>
                <w:sz w:val="24"/>
                <w:szCs w:val="24"/>
              </w:rPr>
              <w:t>за информация към настоящите Условия за кандидатстване).</w:t>
            </w:r>
          </w:p>
          <w:p w14:paraId="5DF028B9" w14:textId="1B48530B" w:rsidR="00E300F3" w:rsidRPr="001A5B02" w:rsidRDefault="00E300F3" w:rsidP="006479FB">
            <w:pPr>
              <w:spacing w:after="120"/>
              <w:rPr>
                <w:rFonts w:ascii="Times New Roman" w:hAnsi="Times New Roman" w:cs="Times New Roman"/>
                <w:b/>
                <w:sz w:val="24"/>
                <w:szCs w:val="24"/>
              </w:rPr>
            </w:pPr>
            <w:r w:rsidRPr="001A5B02">
              <w:rPr>
                <w:rFonts w:ascii="Times New Roman" w:hAnsi="Times New Roman" w:cs="Times New Roman"/>
                <w:b/>
                <w:sz w:val="24"/>
                <w:szCs w:val="24"/>
              </w:rPr>
              <w:t xml:space="preserve">Класиране на проектните предложения за финансиране </w:t>
            </w:r>
            <w:r w:rsidR="00023119">
              <w:rPr>
                <w:rFonts w:ascii="Times New Roman" w:hAnsi="Times New Roman" w:cs="Times New Roman"/>
                <w:b/>
                <w:sz w:val="24"/>
                <w:szCs w:val="24"/>
              </w:rPr>
              <w:t xml:space="preserve"> </w:t>
            </w:r>
            <w:r w:rsidRPr="001A5B02">
              <w:rPr>
                <w:rFonts w:ascii="Times New Roman" w:hAnsi="Times New Roman" w:cs="Times New Roman"/>
                <w:b/>
                <w:sz w:val="24"/>
                <w:szCs w:val="24"/>
              </w:rPr>
              <w:t>при следните условия:</w:t>
            </w:r>
          </w:p>
          <w:p w14:paraId="615720AA" w14:textId="316DB240" w:rsidR="00E300F3" w:rsidRPr="00023119" w:rsidRDefault="00E300F3" w:rsidP="006479FB">
            <w:pPr>
              <w:spacing w:after="120"/>
              <w:rPr>
                <w:rFonts w:ascii="Times New Roman" w:hAnsi="Times New Roman" w:cs="Times New Roman"/>
                <w:color w:val="000000" w:themeColor="text1"/>
                <w:sz w:val="24"/>
                <w:szCs w:val="24"/>
              </w:rPr>
            </w:pPr>
            <w:r w:rsidRPr="001A5B02">
              <w:rPr>
                <w:rFonts w:ascii="Times New Roman" w:hAnsi="Times New Roman" w:cs="Times New Roman"/>
                <w:sz w:val="24"/>
                <w:szCs w:val="24"/>
              </w:rPr>
              <w:t xml:space="preserve">Минимум общ брой точки: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0</w:t>
            </w:r>
          </w:p>
          <w:p w14:paraId="668D0354"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1. Финансов, технически и административен капацитет:  10</w:t>
            </w:r>
          </w:p>
          <w:p w14:paraId="4AC5AB18"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2. Описание на дейностите и организация на изпълнението: 25</w:t>
            </w:r>
          </w:p>
          <w:p w14:paraId="1C41A20B"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3. Устойчивост: 5</w:t>
            </w:r>
          </w:p>
          <w:p w14:paraId="1CF2502C" w14:textId="744D5D33" w:rsidR="00E300F3"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4. Бюджет: 20</w:t>
            </w:r>
          </w:p>
          <w:p w14:paraId="196188DB" w14:textId="5DBD5AD8" w:rsidR="00CB4253" w:rsidRPr="002B1899" w:rsidRDefault="00C071CE" w:rsidP="006479FB">
            <w:pPr>
              <w:spacing w:after="120"/>
              <w:jc w:val="both"/>
              <w:rPr>
                <w:rFonts w:ascii="Times New Roman" w:hAnsi="Times New Roman" w:cs="Times New Roman"/>
                <w:sz w:val="24"/>
                <w:szCs w:val="24"/>
              </w:rPr>
            </w:pPr>
            <w:r w:rsidRPr="002B1899">
              <w:rPr>
                <w:rFonts w:ascii="Times New Roman" w:hAnsi="Times New Roman" w:cs="Times New Roman"/>
                <w:sz w:val="24"/>
                <w:szCs w:val="24"/>
              </w:rPr>
              <w:t>Към условията за класиране на проектните предложения са включени и специфични критерии за избор на проекти които са заложени в Стратегията на МИГ Свиленград Ареал и отразяват местната идентичност на идентифицираните нужди и избраните приоритети. Точките по специфичните критерии се присъждат и добавят към получените по таблицата за ТФО</w:t>
            </w:r>
            <w:r w:rsidR="00020072" w:rsidRPr="002B1899">
              <w:rPr>
                <w:rFonts w:ascii="Times New Roman" w:hAnsi="Times New Roman" w:cs="Times New Roman"/>
                <w:sz w:val="24"/>
                <w:szCs w:val="24"/>
              </w:rPr>
              <w:t>(Приложение XII) след като са  изпълнени изискванията за постигнат минимум по отделните раздели и постигнат минимум за общия брой точки. Проекти, които не са постигнали минимумите по разделите от таблицата за ТФО(Приложение XII)  и минимума за общ брой точки при оценката не продължават в оценката и допълнителните точки за специфични критерии не се присъждат. Тези проекти отпадат от класирането.</w:t>
            </w:r>
          </w:p>
          <w:p w14:paraId="2FA365D8" w14:textId="77777777" w:rsidR="00DC5F6D" w:rsidRDefault="00E300F3" w:rsidP="006479FB">
            <w:pPr>
              <w:spacing w:after="120"/>
              <w:jc w:val="both"/>
              <w:rPr>
                <w:rFonts w:ascii="Times New Roman" w:hAnsi="Times New Roman" w:cs="Times New Roman"/>
                <w:sz w:val="24"/>
                <w:szCs w:val="24"/>
              </w:rPr>
            </w:pPr>
            <w:r w:rsidRPr="00E300F3">
              <w:rPr>
                <w:rFonts w:ascii="Times New Roman" w:hAnsi="Times New Roman" w:cs="Times New Roman"/>
                <w:b/>
                <w:sz w:val="24"/>
                <w:szCs w:val="24"/>
              </w:rPr>
              <w:t>ВАЖНО!</w:t>
            </w:r>
            <w:r w:rsidRPr="00E300F3">
              <w:rPr>
                <w:rFonts w:ascii="Times New Roman" w:hAnsi="Times New Roman" w:cs="Times New Roman"/>
                <w:sz w:val="24"/>
                <w:szCs w:val="24"/>
              </w:rPr>
              <w:t xml:space="preserve"> </w:t>
            </w:r>
          </w:p>
          <w:p w14:paraId="1F9EB801" w14:textId="110B1768" w:rsidR="00E300F3" w:rsidRDefault="00E300F3" w:rsidP="00DC5F6D">
            <w:pPr>
              <w:spacing w:after="120"/>
              <w:jc w:val="both"/>
              <w:rPr>
                <w:rFonts w:ascii="Times New Roman" w:hAnsi="Times New Roman" w:cs="Times New Roman"/>
                <w:sz w:val="24"/>
                <w:szCs w:val="24"/>
              </w:rPr>
            </w:pPr>
            <w:r w:rsidRPr="00E300F3">
              <w:rPr>
                <w:rFonts w:ascii="Times New Roman" w:hAnsi="Times New Roman" w:cs="Times New Roman"/>
                <w:sz w:val="24"/>
                <w:szCs w:val="24"/>
              </w:rPr>
              <w:t xml:space="preserve">При извършване на техническата и финансова оценка оценителите задължително отразяват мотивите си за присъдения брой точки по всеки един от критериите. </w:t>
            </w:r>
          </w:p>
        </w:tc>
      </w:tr>
    </w:tbl>
    <w:p w14:paraId="230839CF"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3F1C9611" w14:textId="77777777" w:rsidTr="00CA777C">
        <w:tc>
          <w:tcPr>
            <w:tcW w:w="10207" w:type="dxa"/>
          </w:tcPr>
          <w:p w14:paraId="0D9E9132" w14:textId="312EA889"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1</w:t>
            </w:r>
            <w:r w:rsidRPr="007273C2">
              <w:rPr>
                <w:rFonts w:ascii="Times New Roman" w:hAnsi="Times New Roman" w:cs="Times New Roman"/>
                <w:b/>
                <w:sz w:val="24"/>
                <w:szCs w:val="24"/>
              </w:rPr>
              <w:t>. Начин на под</w:t>
            </w:r>
            <w:r w:rsidR="0074507E">
              <w:rPr>
                <w:rFonts w:ascii="Times New Roman" w:hAnsi="Times New Roman" w:cs="Times New Roman"/>
                <w:b/>
                <w:sz w:val="24"/>
                <w:szCs w:val="24"/>
              </w:rPr>
              <w:t>аване на проектните предложения</w:t>
            </w:r>
          </w:p>
          <w:p w14:paraId="280A13D3" w14:textId="70250899" w:rsidR="00DC3C9E" w:rsidRPr="00DC3C9E" w:rsidRDefault="00507D8B" w:rsidP="006479FB">
            <w:pPr>
              <w:spacing w:after="12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П</w:t>
            </w:r>
            <w:r w:rsidR="006339CB" w:rsidRPr="007273C2">
              <w:rPr>
                <w:rFonts w:ascii="Times New Roman" w:hAnsi="Times New Roman" w:cs="Times New Roman"/>
                <w:sz w:val="24"/>
                <w:szCs w:val="24"/>
              </w:rPr>
              <w:t xml:space="preserve">одаването на проектните предложения в ИСУН 2020 </w:t>
            </w:r>
            <w:r>
              <w:rPr>
                <w:rFonts w:ascii="Times New Roman" w:hAnsi="Times New Roman" w:cs="Times New Roman"/>
                <w:sz w:val="24"/>
                <w:szCs w:val="24"/>
              </w:rPr>
              <w:t xml:space="preserve">е </w:t>
            </w:r>
            <w:r w:rsidR="006339CB" w:rsidRPr="007273C2">
              <w:rPr>
                <w:rFonts w:ascii="Times New Roman" w:hAnsi="Times New Roman" w:cs="Times New Roman"/>
                <w:sz w:val="24"/>
                <w:szCs w:val="24"/>
              </w:rPr>
              <w:t xml:space="preserve">в съответствие с </w:t>
            </w:r>
            <w:r w:rsidR="0074507E">
              <w:rPr>
                <w:rFonts w:ascii="Times New Roman" w:hAnsi="Times New Roman" w:cs="Times New Roman"/>
                <w:sz w:val="24"/>
                <w:szCs w:val="24"/>
              </w:rPr>
              <w:t>разпоредбите на</w:t>
            </w:r>
            <w:r w:rsidR="006339CB" w:rsidRPr="007273C2">
              <w:rPr>
                <w:rFonts w:ascii="Times New Roman" w:hAnsi="Times New Roman" w:cs="Times New Roman"/>
                <w:sz w:val="24"/>
                <w:szCs w:val="24"/>
              </w:rPr>
              <w:t xml:space="preserve">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Цялата информация е качена на следния интернет адрес: </w:t>
            </w:r>
            <w:hyperlink r:id="rId10" w:history="1">
              <w:r w:rsidR="006339CB" w:rsidRPr="00B82596">
                <w:rPr>
                  <w:rStyle w:val="a7"/>
                  <w:rFonts w:ascii="Times New Roman" w:hAnsi="Times New Roman" w:cs="Times New Roman"/>
                  <w:sz w:val="24"/>
                  <w:szCs w:val="24"/>
                </w:rPr>
                <w:t>https://eumis2020.government.bg/</w:t>
              </w:r>
            </w:hyperlink>
          </w:p>
          <w:p w14:paraId="34492756" w14:textId="77777777" w:rsidR="00AD731B" w:rsidRDefault="00AD731B" w:rsidP="006479FB">
            <w:pPr>
              <w:spacing w:after="120"/>
              <w:jc w:val="both"/>
              <w:rPr>
                <w:rFonts w:ascii="Times New Roman" w:hAnsi="Times New Roman" w:cs="Times New Roman"/>
                <w:b/>
                <w:sz w:val="24"/>
                <w:szCs w:val="24"/>
              </w:rPr>
            </w:pPr>
          </w:p>
          <w:p w14:paraId="39E0B2FF" w14:textId="77777777" w:rsidR="00AD731B" w:rsidRDefault="006339CB" w:rsidP="006479FB">
            <w:pPr>
              <w:spacing w:after="120"/>
              <w:jc w:val="both"/>
              <w:rPr>
                <w:rFonts w:ascii="Times New Roman" w:hAnsi="Times New Roman" w:cs="Times New Roman"/>
                <w:sz w:val="24"/>
                <w:szCs w:val="24"/>
              </w:rPr>
            </w:pPr>
            <w:r w:rsidRPr="006339CB">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CD80816" w14:textId="10BA6A11"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lastRenderedPageBreak/>
              <w:t>Про</w:t>
            </w:r>
            <w:r w:rsidR="00507D8B">
              <w:rPr>
                <w:rFonts w:ascii="Times New Roman" w:hAnsi="Times New Roman" w:cs="Times New Roman"/>
                <w:sz w:val="24"/>
                <w:szCs w:val="24"/>
              </w:rPr>
              <w:t>ектните предложения по настоящата процедура</w:t>
            </w:r>
            <w:r w:rsidRPr="007273C2">
              <w:rPr>
                <w:rFonts w:ascii="Times New Roman" w:hAnsi="Times New Roman" w:cs="Times New Roman"/>
                <w:sz w:val="24"/>
                <w:szCs w:val="24"/>
              </w:rPr>
              <w:t>, се подават от кандидата, от лице с право да представлява кандидата</w:t>
            </w:r>
            <w:r>
              <w:rPr>
                <w:rStyle w:val="af0"/>
                <w:rFonts w:ascii="Times New Roman" w:hAnsi="Times New Roman" w:cs="Times New Roman"/>
                <w:sz w:val="24"/>
                <w:szCs w:val="24"/>
              </w:rPr>
              <w:footnoteReference w:id="3"/>
            </w:r>
            <w:r w:rsidRPr="007273C2">
              <w:rPr>
                <w:rFonts w:ascii="Times New Roman" w:hAnsi="Times New Roman" w:cs="Times New Roman"/>
                <w:sz w:val="24"/>
                <w:szCs w:val="24"/>
              </w:rPr>
              <w:t xml:space="preserve"> или от упълномощено от него лице</w:t>
            </w:r>
            <w:r>
              <w:rPr>
                <w:rStyle w:val="af0"/>
                <w:rFonts w:ascii="Times New Roman" w:hAnsi="Times New Roman" w:cs="Times New Roman"/>
                <w:sz w:val="24"/>
                <w:szCs w:val="24"/>
              </w:rPr>
              <w:footnoteReference w:id="4"/>
            </w:r>
            <w:r w:rsidRPr="007273C2">
              <w:rPr>
                <w:rFonts w:ascii="Times New Roman" w:hAnsi="Times New Roman" w:cs="Times New Roman"/>
                <w:sz w:val="24"/>
                <w:szCs w:val="24"/>
              </w:rPr>
              <w:t xml:space="preserve"> единствено и изцяло по електронен път посредством създаден от кандидатите профил в системата ИСУН 2020 чрез попълване на уеб базиран Формуляр за кандидатстване и се подписва с валиден Квалифициран електронен подпис (КЕП). В случаите, когато кандидатът се представлява заедно от няколко физически лица, проектното предложение се подписва от всяко от тях при подаването.</w:t>
            </w:r>
          </w:p>
          <w:p w14:paraId="06BB38D8" w14:textId="77777777"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е-</w:t>
            </w:r>
            <w:proofErr w:type="spellStart"/>
            <w:r w:rsidRPr="007273C2">
              <w:rPr>
                <w:rFonts w:ascii="Times New Roman" w:hAnsi="Times New Roman" w:cs="Times New Roman"/>
                <w:sz w:val="24"/>
                <w:szCs w:val="24"/>
              </w:rPr>
              <w:t>mail</w:t>
            </w:r>
            <w:proofErr w:type="spellEnd"/>
            <w:r w:rsidRPr="007273C2">
              <w:rPr>
                <w:rFonts w:ascii="Times New Roman" w:hAnsi="Times New Roman" w:cs="Times New Roman"/>
                <w:sz w:val="24"/>
                <w:szCs w:val="24"/>
              </w:rPr>
              <w:t xml:space="preserve">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094270A" w14:textId="5FA73FC3"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 xml:space="preserve">Проектното предложение се изготвя </w:t>
            </w:r>
            <w:r w:rsidR="00C127D1">
              <w:rPr>
                <w:rFonts w:ascii="Times New Roman" w:hAnsi="Times New Roman" w:cs="Times New Roman"/>
                <w:sz w:val="24"/>
                <w:szCs w:val="24"/>
              </w:rPr>
              <w:t xml:space="preserve">от кандидата съгласно </w:t>
            </w:r>
            <w:r w:rsidRPr="007273C2">
              <w:rPr>
                <w:rFonts w:ascii="Times New Roman" w:hAnsi="Times New Roman" w:cs="Times New Roman"/>
                <w:sz w:val="24"/>
                <w:szCs w:val="24"/>
              </w:rPr>
              <w:t xml:space="preserve"> инструкции</w:t>
            </w:r>
            <w:r w:rsidR="00C127D1">
              <w:rPr>
                <w:rFonts w:ascii="Times New Roman" w:hAnsi="Times New Roman" w:cs="Times New Roman"/>
                <w:sz w:val="24"/>
                <w:szCs w:val="24"/>
              </w:rPr>
              <w:t xml:space="preserve">те изготвени от МИГ Свиленград Ареал.  </w:t>
            </w:r>
            <w:r w:rsidR="00FE7CB6">
              <w:rPr>
                <w:rFonts w:ascii="Times New Roman" w:hAnsi="Times New Roman" w:cs="Times New Roman"/>
                <w:sz w:val="24"/>
                <w:szCs w:val="24"/>
              </w:rPr>
              <w:t xml:space="preserve">Формуляра за кандидатстване и </w:t>
            </w:r>
            <w:r w:rsidRPr="007273C2">
              <w:rPr>
                <w:rFonts w:ascii="Times New Roman" w:hAnsi="Times New Roman" w:cs="Times New Roman"/>
                <w:sz w:val="24"/>
                <w:szCs w:val="24"/>
              </w:rPr>
              <w:t xml:space="preserve"> </w:t>
            </w:r>
            <w:r w:rsidR="00FE7CB6">
              <w:rPr>
                <w:rFonts w:ascii="Times New Roman" w:hAnsi="Times New Roman" w:cs="Times New Roman"/>
                <w:sz w:val="24"/>
                <w:szCs w:val="24"/>
              </w:rPr>
              <w:t xml:space="preserve">документите към него се попълват на български език, с изключение на текстовете, за които се изисква информация на английски език. </w:t>
            </w:r>
            <w:r w:rsidRPr="007273C2">
              <w:rPr>
                <w:rFonts w:ascii="Times New Roman" w:hAnsi="Times New Roman" w:cs="Times New Roman"/>
                <w:sz w:val="24"/>
                <w:szCs w:val="24"/>
              </w:rPr>
              <w:t xml:space="preserve">Изискващите се съгласно т. </w:t>
            </w:r>
            <w:r w:rsidRPr="003F350B">
              <w:rPr>
                <w:rFonts w:ascii="Times New Roman" w:hAnsi="Times New Roman" w:cs="Times New Roman"/>
                <w:sz w:val="24"/>
                <w:szCs w:val="24"/>
              </w:rPr>
              <w:t>2</w:t>
            </w:r>
            <w:r w:rsidR="00D767DB" w:rsidRPr="003F350B">
              <w:rPr>
                <w:rFonts w:ascii="Times New Roman" w:hAnsi="Times New Roman" w:cs="Times New Roman"/>
                <w:sz w:val="24"/>
                <w:szCs w:val="24"/>
                <w:lang w:val="en-US"/>
              </w:rPr>
              <w:t>2</w:t>
            </w:r>
            <w:r w:rsidRPr="007273C2">
              <w:rPr>
                <w:rFonts w:ascii="Times New Roman" w:hAnsi="Times New Roman" w:cs="Times New Roman"/>
                <w:sz w:val="24"/>
                <w:szCs w:val="24"/>
              </w:rPr>
              <w:t xml:space="preserve"> от Условията за кандидатстване документи към Формуляра за кандидатстване се подават изцяло по електронен път.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w:t>
            </w:r>
            <w:r w:rsidR="00531079">
              <w:t xml:space="preserve"> </w:t>
            </w:r>
            <w:r w:rsidR="00531079" w:rsidRPr="00531079">
              <w:rPr>
                <w:rFonts w:ascii="Times New Roman" w:hAnsi="Times New Roman" w:cs="Times New Roman"/>
                <w:sz w:val="24"/>
                <w:szCs w:val="24"/>
              </w:rPr>
              <w:t>Свиленград Ареал</w:t>
            </w:r>
            <w:r w:rsidRPr="007273C2">
              <w:rPr>
                <w:rFonts w:ascii="Times New Roman" w:hAnsi="Times New Roman" w:cs="Times New Roman"/>
                <w:sz w:val="24"/>
                <w:szCs w:val="24"/>
              </w:rPr>
              <w:t xml:space="preserve"> процедура за кандидатстване от „Отворени процедури“ и създаване на ново проектно предложение. Изключително важно е изискуемите документи да съдържат цялата необходима информация.</w:t>
            </w:r>
          </w:p>
          <w:p w14:paraId="3D6C58D5" w14:textId="77777777" w:rsidR="00DF67D6" w:rsidRDefault="00DF67D6" w:rsidP="006479FB">
            <w:pPr>
              <w:spacing w:after="120"/>
              <w:jc w:val="both"/>
              <w:rPr>
                <w:rFonts w:ascii="Times New Roman" w:hAnsi="Times New Roman" w:cs="Times New Roman"/>
                <w:sz w:val="24"/>
                <w:szCs w:val="24"/>
              </w:rPr>
            </w:pPr>
          </w:p>
          <w:p w14:paraId="247315F7"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4E63EABB" w14:textId="2BB15EF0"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В случай</w:t>
            </w:r>
            <w:r w:rsidR="00C127D1">
              <w:rPr>
                <w:rFonts w:ascii="Times New Roman" w:hAnsi="Times New Roman" w:cs="Times New Roman"/>
                <w:sz w:val="24"/>
                <w:szCs w:val="24"/>
              </w:rPr>
              <w:t xml:space="preserve">, </w:t>
            </w:r>
            <w:r w:rsidRPr="007273C2">
              <w:rPr>
                <w:rFonts w:ascii="Times New Roman" w:hAnsi="Times New Roman" w:cs="Times New Roman"/>
                <w:sz w:val="24"/>
                <w:szCs w:val="24"/>
              </w:rPr>
              <w:t xml:space="preserve"> че кандидатите желаят да упълномощят лице, което не е официален представител на </w:t>
            </w:r>
            <w:r>
              <w:rPr>
                <w:rFonts w:ascii="Times New Roman" w:hAnsi="Times New Roman" w:cs="Times New Roman"/>
                <w:sz w:val="24"/>
                <w:szCs w:val="24"/>
              </w:rPr>
              <w:t>кандидата</w:t>
            </w:r>
            <w:r w:rsidRPr="007273C2">
              <w:rPr>
                <w:rFonts w:ascii="Times New Roman" w:hAnsi="Times New Roman" w:cs="Times New Roman"/>
                <w:sz w:val="24"/>
                <w:szCs w:val="24"/>
              </w:rPr>
              <w:t xml:space="preserve"> да подаде проектното п</w:t>
            </w:r>
            <w:r w:rsidR="00C127D1">
              <w:rPr>
                <w:rFonts w:ascii="Times New Roman" w:hAnsi="Times New Roman" w:cs="Times New Roman"/>
                <w:sz w:val="24"/>
                <w:szCs w:val="24"/>
              </w:rPr>
              <w:t>редложение с КЕП следва да</w:t>
            </w:r>
            <w:r w:rsidRPr="007273C2">
              <w:rPr>
                <w:rFonts w:ascii="Times New Roman" w:hAnsi="Times New Roman" w:cs="Times New Roman"/>
                <w:sz w:val="24"/>
                <w:szCs w:val="24"/>
              </w:rPr>
              <w:t xml:space="preserve"> се прикачи в ИСУН 2020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14:paraId="6A30F780" w14:textId="77777777" w:rsidR="006339CB" w:rsidRDefault="006339CB" w:rsidP="006479FB">
            <w:pPr>
              <w:spacing w:after="120"/>
              <w:jc w:val="both"/>
              <w:rPr>
                <w:rFonts w:ascii="Times New Roman" w:hAnsi="Times New Roman" w:cs="Times New Roman"/>
                <w:sz w:val="24"/>
                <w:szCs w:val="24"/>
              </w:rPr>
            </w:pPr>
          </w:p>
          <w:p w14:paraId="21804902"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393D518" w14:textId="517D9948"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0962F3A1" w14:textId="77777777"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и това обстоятелство се отбелязва от потребител на ИСУН 2020</w:t>
            </w:r>
            <w:r>
              <w:rPr>
                <w:rFonts w:ascii="Times New Roman" w:hAnsi="Times New Roman" w:cs="Times New Roman"/>
                <w:sz w:val="24"/>
                <w:szCs w:val="24"/>
              </w:rPr>
              <w:t xml:space="preserve"> </w:t>
            </w:r>
            <w:r w:rsidRPr="007273C2">
              <w:rPr>
                <w:rFonts w:ascii="Times New Roman" w:hAnsi="Times New Roman" w:cs="Times New Roman"/>
                <w:sz w:val="24"/>
                <w:szCs w:val="24"/>
              </w:rPr>
              <w:t>със съответните права.</w:t>
            </w:r>
          </w:p>
          <w:p w14:paraId="2B0A243A" w14:textId="3573F9DB" w:rsidR="006339CB" w:rsidRPr="001C09AE" w:rsidRDefault="006339CB" w:rsidP="001C09AE">
            <w:pPr>
              <w:spacing w:after="120"/>
              <w:jc w:val="both"/>
              <w:rPr>
                <w:rFonts w:ascii="Times New Roman" w:hAnsi="Times New Roman" w:cs="Times New Roman"/>
                <w:sz w:val="24"/>
                <w:szCs w:val="24"/>
              </w:rPr>
            </w:pPr>
            <w:r w:rsidRPr="007273C2">
              <w:rPr>
                <w:rFonts w:ascii="Times New Roman" w:hAnsi="Times New Roman" w:cs="Times New Roman"/>
                <w:sz w:val="24"/>
                <w:szCs w:val="24"/>
              </w:rPr>
              <w:t>Комисията за подбор оценява само Формуляра за кандидатстване и изискуемите на етап кандидатстване документи.</w:t>
            </w:r>
          </w:p>
        </w:tc>
      </w:tr>
    </w:tbl>
    <w:p w14:paraId="4D0187B7" w14:textId="77777777" w:rsidR="001A5B02" w:rsidRPr="001A5B02" w:rsidRDefault="001A5B02" w:rsidP="006479FB">
      <w:pPr>
        <w:spacing w:after="120" w:line="240" w:lineRule="auto"/>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62D8273F" w14:textId="77777777" w:rsidTr="00CA777C">
        <w:tc>
          <w:tcPr>
            <w:tcW w:w="10207" w:type="dxa"/>
          </w:tcPr>
          <w:p w14:paraId="461E8461" w14:textId="58C4377D"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2</w:t>
            </w:r>
            <w:r w:rsidRPr="007273C2">
              <w:rPr>
                <w:rFonts w:ascii="Times New Roman" w:hAnsi="Times New Roman" w:cs="Times New Roman"/>
                <w:b/>
                <w:sz w:val="24"/>
                <w:szCs w:val="24"/>
              </w:rPr>
              <w:t>. Списък на документите, които се подават на етап кандидатстване</w:t>
            </w:r>
            <w:r w:rsidRPr="007273C2">
              <w:rPr>
                <w:rStyle w:val="af0"/>
                <w:rFonts w:ascii="Times New Roman" w:hAnsi="Times New Roman" w:cs="Times New Roman"/>
                <w:b/>
                <w:sz w:val="24"/>
                <w:szCs w:val="24"/>
              </w:rPr>
              <w:footnoteReference w:id="5"/>
            </w:r>
            <w:r w:rsidRPr="007273C2">
              <w:rPr>
                <w:rFonts w:ascii="Times New Roman" w:hAnsi="Times New Roman" w:cs="Times New Roman"/>
                <w:b/>
                <w:sz w:val="24"/>
                <w:szCs w:val="24"/>
              </w:rPr>
              <w:t>:</w:t>
            </w:r>
          </w:p>
          <w:p w14:paraId="16384AC7" w14:textId="2BCF0851" w:rsidR="006339CB"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t>Кандидатите следва да представят изискуемите документи къ</w:t>
            </w:r>
            <w:r w:rsidR="006F31C3">
              <w:rPr>
                <w:rFonts w:ascii="Times New Roman" w:hAnsi="Times New Roman" w:cs="Times New Roman"/>
                <w:sz w:val="24"/>
                <w:szCs w:val="24"/>
              </w:rPr>
              <w:t xml:space="preserve">м Формуляра за кандидатстване </w:t>
            </w:r>
            <w:r w:rsidRPr="00142819">
              <w:rPr>
                <w:rFonts w:ascii="Times New Roman" w:hAnsi="Times New Roman" w:cs="Times New Roman"/>
                <w:sz w:val="24"/>
                <w:szCs w:val="24"/>
              </w:rPr>
              <w:t xml:space="preserve"> изцяло </w:t>
            </w:r>
            <w:r w:rsidR="006F31C3">
              <w:rPr>
                <w:rFonts w:ascii="Times New Roman" w:hAnsi="Times New Roman" w:cs="Times New Roman"/>
                <w:sz w:val="24"/>
                <w:szCs w:val="24"/>
              </w:rPr>
              <w:t xml:space="preserve">по </w:t>
            </w:r>
            <w:r w:rsidRPr="00142819">
              <w:rPr>
                <w:rFonts w:ascii="Times New Roman" w:hAnsi="Times New Roman" w:cs="Times New Roman"/>
                <w:sz w:val="24"/>
                <w:szCs w:val="24"/>
              </w:rPr>
              <w:t>електронен път чрез ИСУН 2020.</w:t>
            </w:r>
          </w:p>
          <w:p w14:paraId="08996899" w14:textId="77777777" w:rsidR="006339CB" w:rsidRPr="00142819" w:rsidRDefault="006339CB" w:rsidP="006479FB">
            <w:pPr>
              <w:spacing w:after="120"/>
              <w:jc w:val="both"/>
              <w:rPr>
                <w:rFonts w:ascii="Times New Roman" w:hAnsi="Times New Roman" w:cs="Times New Roman"/>
                <w:sz w:val="24"/>
                <w:szCs w:val="24"/>
              </w:rPr>
            </w:pPr>
          </w:p>
          <w:p w14:paraId="3947710B" w14:textId="77777777" w:rsidR="00DC5F6D"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b/>
                <w:sz w:val="24"/>
                <w:szCs w:val="24"/>
              </w:rPr>
              <w:t>ВАЖНО!</w:t>
            </w:r>
            <w:r w:rsidRPr="00142819">
              <w:rPr>
                <w:rFonts w:ascii="Times New Roman" w:hAnsi="Times New Roman" w:cs="Times New Roman"/>
                <w:sz w:val="24"/>
                <w:szCs w:val="24"/>
              </w:rPr>
              <w:t xml:space="preserve"> </w:t>
            </w:r>
          </w:p>
          <w:p w14:paraId="004E60D2" w14:textId="372F53DC" w:rsidR="006339CB" w:rsidRDefault="00C127D1" w:rsidP="006479FB">
            <w:pPr>
              <w:spacing w:after="120"/>
              <w:jc w:val="both"/>
              <w:rPr>
                <w:rFonts w:ascii="Times New Roman" w:hAnsi="Times New Roman" w:cs="Times New Roman"/>
                <w:sz w:val="24"/>
                <w:szCs w:val="24"/>
              </w:rPr>
            </w:pPr>
            <w:r>
              <w:rPr>
                <w:rFonts w:ascii="Times New Roman" w:hAnsi="Times New Roman" w:cs="Times New Roman"/>
                <w:sz w:val="24"/>
                <w:szCs w:val="24"/>
              </w:rPr>
              <w:t>П</w:t>
            </w:r>
            <w:r w:rsidR="006339CB" w:rsidRPr="00142819">
              <w:rPr>
                <w:rFonts w:ascii="Times New Roman" w:hAnsi="Times New Roman" w:cs="Times New Roman"/>
                <w:sz w:val="24"/>
                <w:szCs w:val="24"/>
              </w:rPr>
              <w:t>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Съгласно разпоредбите на чл. 23, ал. 2 на Н</w:t>
            </w:r>
            <w:r w:rsidR="00394C1A" w:rsidRPr="00142819">
              <w:rPr>
                <w:rFonts w:ascii="Times New Roman" w:hAnsi="Times New Roman" w:cs="Times New Roman"/>
                <w:sz w:val="24"/>
                <w:szCs w:val="24"/>
              </w:rPr>
              <w:t>аредбата</w:t>
            </w:r>
            <w:r w:rsidR="006339CB" w:rsidRPr="00142819">
              <w:rPr>
                <w:rFonts w:ascii="Times New Roman" w:hAnsi="Times New Roman" w:cs="Times New Roman"/>
                <w:sz w:val="24"/>
                <w:szCs w:val="24"/>
              </w:rPr>
              <w:t xml:space="preserve">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кандидатът подписва единствено с КЕП електронните документи, изисквани в оригинал. Достоверността на електронните копия на документи, приложения към Формуляра за кандидатстване, се удостоверява единствено чрез подписването на формуляра в ИСУН 2020.</w:t>
            </w:r>
          </w:p>
          <w:p w14:paraId="59E50458" w14:textId="77777777" w:rsidR="006339CB" w:rsidRDefault="006339CB" w:rsidP="006479FB">
            <w:pPr>
              <w:spacing w:after="120"/>
              <w:jc w:val="both"/>
              <w:rPr>
                <w:rFonts w:ascii="Times New Roman" w:hAnsi="Times New Roman" w:cs="Times New Roman"/>
                <w:sz w:val="24"/>
                <w:szCs w:val="24"/>
              </w:rPr>
            </w:pPr>
          </w:p>
          <w:p w14:paraId="32B3FBF2" w14:textId="77777777" w:rsidR="00DC5F6D" w:rsidRDefault="00DC5F6D" w:rsidP="006479FB">
            <w:pPr>
              <w:spacing w:after="120"/>
              <w:jc w:val="both"/>
              <w:rPr>
                <w:rFonts w:ascii="Times New Roman" w:hAnsi="Times New Roman" w:cs="Times New Roman"/>
                <w:sz w:val="24"/>
                <w:szCs w:val="24"/>
              </w:rPr>
            </w:pPr>
            <w:r>
              <w:rPr>
                <w:rFonts w:ascii="Times New Roman" w:hAnsi="Times New Roman" w:cs="Times New Roman"/>
                <w:b/>
                <w:sz w:val="24"/>
                <w:szCs w:val="24"/>
              </w:rPr>
              <w:t>ВАЖНО!</w:t>
            </w:r>
            <w:r w:rsidR="006339CB" w:rsidRPr="00142819">
              <w:rPr>
                <w:rFonts w:ascii="Times New Roman" w:hAnsi="Times New Roman" w:cs="Times New Roman"/>
                <w:sz w:val="24"/>
                <w:szCs w:val="24"/>
              </w:rPr>
              <w:t xml:space="preserve"> </w:t>
            </w:r>
          </w:p>
          <w:p w14:paraId="41E49CAE" w14:textId="3DD54E7A" w:rsidR="006339CB" w:rsidRPr="00142819"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кандидат</w:t>
            </w:r>
            <w:r>
              <w:rPr>
                <w:rFonts w:ascii="Times New Roman" w:hAnsi="Times New Roman" w:cs="Times New Roman"/>
                <w:sz w:val="24"/>
                <w:szCs w:val="24"/>
              </w:rPr>
              <w:t>а</w:t>
            </w:r>
            <w:r w:rsidRPr="00142819">
              <w:rPr>
                <w:rFonts w:ascii="Times New Roman" w:hAnsi="Times New Roman" w:cs="Times New Roman"/>
                <w:sz w:val="24"/>
                <w:szCs w:val="24"/>
              </w:rPr>
              <w:t>.</w:t>
            </w:r>
          </w:p>
          <w:p w14:paraId="4358951D" w14:textId="77777777" w:rsidR="00C127D1" w:rsidRDefault="00C127D1" w:rsidP="006479FB">
            <w:pPr>
              <w:spacing w:after="120"/>
              <w:jc w:val="both"/>
              <w:rPr>
                <w:rFonts w:ascii="Times New Roman" w:hAnsi="Times New Roman" w:cs="Times New Roman"/>
                <w:b/>
                <w:sz w:val="24"/>
                <w:szCs w:val="24"/>
              </w:rPr>
            </w:pPr>
          </w:p>
          <w:p w14:paraId="1286E6C3" w14:textId="4F54492D" w:rsidR="002E7DC5" w:rsidRDefault="002E7DC5"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ОБЩИ ИЗИСКУЕМИ ДОКУМЕНТИ</w:t>
            </w:r>
          </w:p>
          <w:p w14:paraId="148432B4" w14:textId="7F9E67CC"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lastRenderedPageBreak/>
              <w:t>1.Нотариално заверено пълномощно/заповед за оправомощаване за подаване на проектно предложение с КЕП от законния представител</w:t>
            </w:r>
            <w:r w:rsidR="00E86B15" w:rsidRPr="0019568E">
              <w:rPr>
                <w:rFonts w:ascii="Times New Roman" w:hAnsi="Times New Roman" w:cs="Times New Roman"/>
                <w:sz w:val="24"/>
                <w:szCs w:val="24"/>
              </w:rPr>
              <w:t xml:space="preserve"> на кандидата</w:t>
            </w:r>
            <w:r w:rsidRPr="0019568E">
              <w:rPr>
                <w:rFonts w:ascii="Times New Roman" w:hAnsi="Times New Roman" w:cs="Times New Roman"/>
                <w:sz w:val="24"/>
                <w:szCs w:val="24"/>
              </w:rPr>
              <w:t>-ако е приложимо</w:t>
            </w:r>
          </w:p>
          <w:p w14:paraId="2E99E494" w14:textId="33133BF2"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2.Документи доказващи /</w:t>
            </w:r>
            <w:proofErr w:type="spellStart"/>
            <w:r w:rsidRPr="0019568E">
              <w:rPr>
                <w:rFonts w:ascii="Times New Roman" w:hAnsi="Times New Roman" w:cs="Times New Roman"/>
                <w:sz w:val="24"/>
                <w:szCs w:val="24"/>
              </w:rPr>
              <w:t>демаркация</w:t>
            </w:r>
            <w:proofErr w:type="spellEnd"/>
            <w:r w:rsidRPr="0019568E">
              <w:rPr>
                <w:rFonts w:ascii="Times New Roman" w:hAnsi="Times New Roman" w:cs="Times New Roman"/>
                <w:sz w:val="24"/>
                <w:szCs w:val="24"/>
              </w:rPr>
              <w:t xml:space="preserve"> и </w:t>
            </w:r>
            <w:proofErr w:type="spellStart"/>
            <w:r w:rsidRPr="0019568E">
              <w:rPr>
                <w:rFonts w:ascii="Times New Roman" w:hAnsi="Times New Roman" w:cs="Times New Roman"/>
                <w:sz w:val="24"/>
                <w:szCs w:val="24"/>
              </w:rPr>
              <w:t>допълняемост</w:t>
            </w:r>
            <w:proofErr w:type="spellEnd"/>
            <w:r w:rsidRPr="0019568E">
              <w:rPr>
                <w:rFonts w:ascii="Times New Roman" w:hAnsi="Times New Roman" w:cs="Times New Roman"/>
                <w:sz w:val="24"/>
                <w:szCs w:val="24"/>
              </w:rPr>
              <w:t>/ за разграничение и/или надграждане на други проекти по програми, финансирани с публични средства</w:t>
            </w:r>
            <w:r w:rsidR="00E86B15" w:rsidRPr="0019568E">
              <w:rPr>
                <w:rFonts w:ascii="Times New Roman" w:hAnsi="Times New Roman" w:cs="Times New Roman"/>
                <w:sz w:val="24"/>
                <w:szCs w:val="24"/>
              </w:rPr>
              <w:t xml:space="preserve"> от кандидата и партньорите-</w:t>
            </w:r>
            <w:r w:rsidRPr="0019568E">
              <w:rPr>
                <w:rFonts w:ascii="Times New Roman" w:hAnsi="Times New Roman" w:cs="Times New Roman"/>
                <w:sz w:val="24"/>
                <w:szCs w:val="24"/>
              </w:rPr>
              <w:t>ако е приложимо</w:t>
            </w:r>
          </w:p>
          <w:p w14:paraId="60E2DCA7" w14:textId="5D27DA6F"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 xml:space="preserve">3. Детайлна разбивка на разходите- </w:t>
            </w:r>
            <w:r w:rsidR="00E86B15" w:rsidRPr="0019568E">
              <w:rPr>
                <w:rFonts w:ascii="Times New Roman" w:hAnsi="Times New Roman" w:cs="Times New Roman"/>
                <w:sz w:val="24"/>
                <w:szCs w:val="24"/>
              </w:rPr>
              <w:t>от кандидата и партньорите -</w:t>
            </w:r>
            <w:r w:rsidRPr="0019568E">
              <w:rPr>
                <w:rFonts w:ascii="Times New Roman" w:hAnsi="Times New Roman" w:cs="Times New Roman"/>
                <w:sz w:val="24"/>
                <w:szCs w:val="24"/>
              </w:rPr>
              <w:t>Приложение VII</w:t>
            </w:r>
          </w:p>
          <w:p w14:paraId="1729DBE0" w14:textId="53DBA3BF"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 xml:space="preserve">4. Оферта/и и/или извлечение от каталог на производител/доставчик и/или проучване в интернет за всяка категория разход, ( за разходи, които не попадат в категорията на опростените разходи съгласно Приложение VII). За интернет проучване следва да се предоставят </w:t>
            </w:r>
            <w:proofErr w:type="spellStart"/>
            <w:r w:rsidRPr="0019568E">
              <w:rPr>
                <w:rFonts w:ascii="Times New Roman" w:hAnsi="Times New Roman" w:cs="Times New Roman"/>
                <w:sz w:val="24"/>
                <w:szCs w:val="24"/>
              </w:rPr>
              <w:t>хиперлинкове</w:t>
            </w:r>
            <w:proofErr w:type="spellEnd"/>
            <w:r w:rsidRPr="0019568E">
              <w:rPr>
                <w:rFonts w:ascii="Times New Roman" w:hAnsi="Times New Roman" w:cs="Times New Roman"/>
                <w:sz w:val="24"/>
                <w:szCs w:val="24"/>
              </w:rPr>
              <w:t xml:space="preserve"> с посочени дата и час на влизане  към съответни интернет базирани източници-</w:t>
            </w:r>
            <w:r w:rsidR="00E86B15" w:rsidRPr="0019568E">
              <w:rPr>
                <w:rFonts w:ascii="Times New Roman" w:hAnsi="Times New Roman" w:cs="Times New Roman"/>
                <w:sz w:val="24"/>
                <w:szCs w:val="24"/>
              </w:rPr>
              <w:t>от кандидата и партньорите-</w:t>
            </w:r>
            <w:r w:rsidRPr="0019568E">
              <w:rPr>
                <w:rFonts w:ascii="Times New Roman" w:hAnsi="Times New Roman" w:cs="Times New Roman"/>
                <w:sz w:val="24"/>
                <w:szCs w:val="24"/>
              </w:rPr>
              <w:t>ако е приложимо</w:t>
            </w:r>
          </w:p>
          <w:p w14:paraId="25A57BB5" w14:textId="6C90B0D1" w:rsidR="00DF67D6" w:rsidRPr="0019568E" w:rsidRDefault="00B951B5" w:rsidP="006479FB">
            <w:pPr>
              <w:spacing w:after="120"/>
              <w:jc w:val="both"/>
              <w:rPr>
                <w:rFonts w:ascii="Times New Roman" w:hAnsi="Times New Roman" w:cs="Times New Roman"/>
                <w:sz w:val="24"/>
                <w:szCs w:val="24"/>
                <w:lang w:val="en-US"/>
              </w:rPr>
            </w:pPr>
            <w:r w:rsidRPr="0019568E">
              <w:rPr>
                <w:rFonts w:ascii="Times New Roman" w:hAnsi="Times New Roman" w:cs="Times New Roman"/>
                <w:sz w:val="24"/>
                <w:szCs w:val="24"/>
              </w:rPr>
              <w:t>5</w:t>
            </w:r>
            <w:r w:rsidR="006339CB" w:rsidRPr="0019568E">
              <w:rPr>
                <w:rFonts w:ascii="Times New Roman" w:hAnsi="Times New Roman" w:cs="Times New Roman"/>
                <w:sz w:val="24"/>
                <w:szCs w:val="24"/>
              </w:rPr>
              <w:t>. Декларация по чл. 25, ал. 2 от Закона за управление на средствата от европейските структурни и инвестиционни фондове</w:t>
            </w:r>
            <w:r w:rsidR="00882FD7" w:rsidRPr="0019568E">
              <w:rPr>
                <w:rFonts w:ascii="Times New Roman" w:hAnsi="Times New Roman" w:cs="Times New Roman"/>
                <w:sz w:val="24"/>
                <w:szCs w:val="24"/>
                <w:lang w:val="en-US"/>
              </w:rPr>
              <w:t xml:space="preserve">, </w:t>
            </w:r>
            <w:r w:rsidR="006339CB" w:rsidRPr="0019568E">
              <w:rPr>
                <w:rFonts w:ascii="Times New Roman" w:hAnsi="Times New Roman" w:cs="Times New Roman"/>
                <w:sz w:val="24"/>
                <w:szCs w:val="24"/>
              </w:rPr>
              <w:t>попълнена по образец</w:t>
            </w:r>
            <w:r w:rsidR="002B409A" w:rsidRPr="0019568E">
              <w:rPr>
                <w:rFonts w:ascii="Times New Roman" w:hAnsi="Times New Roman" w:cs="Times New Roman"/>
                <w:sz w:val="24"/>
                <w:szCs w:val="24"/>
              </w:rPr>
              <w:t xml:space="preserve"> </w:t>
            </w:r>
            <w:r w:rsidR="006339CB" w:rsidRPr="0019568E">
              <w:rPr>
                <w:rFonts w:ascii="Times New Roman" w:hAnsi="Times New Roman" w:cs="Times New Roman"/>
                <w:b/>
                <w:i/>
                <w:sz w:val="24"/>
                <w:szCs w:val="24"/>
                <w:u w:val="single"/>
              </w:rPr>
              <w:t>(Приложение</w:t>
            </w:r>
            <w:r w:rsidR="00B22B4E" w:rsidRPr="0019568E">
              <w:rPr>
                <w:rFonts w:ascii="Times New Roman" w:hAnsi="Times New Roman" w:cs="Times New Roman"/>
                <w:b/>
                <w:i/>
                <w:sz w:val="24"/>
                <w:szCs w:val="24"/>
                <w:u w:val="single"/>
              </w:rPr>
              <w:t xml:space="preserve"> </w:t>
            </w:r>
            <w:r w:rsidR="00B22B4E" w:rsidRPr="0019568E">
              <w:rPr>
                <w:rFonts w:ascii="Times New Roman" w:hAnsi="Times New Roman" w:cs="Times New Roman"/>
                <w:b/>
                <w:i/>
                <w:sz w:val="24"/>
                <w:szCs w:val="24"/>
                <w:u w:val="single"/>
                <w:lang w:val="en-US"/>
              </w:rPr>
              <w:t>I</w:t>
            </w:r>
            <w:r w:rsidR="006339CB" w:rsidRPr="0019568E">
              <w:rPr>
                <w:rFonts w:ascii="Times New Roman" w:hAnsi="Times New Roman" w:cs="Times New Roman"/>
                <w:b/>
                <w:i/>
                <w:sz w:val="24"/>
                <w:szCs w:val="24"/>
                <w:u w:val="single"/>
              </w:rPr>
              <w:t>)</w:t>
            </w:r>
            <w:r w:rsidR="006339CB" w:rsidRPr="0019568E">
              <w:rPr>
                <w:rFonts w:ascii="Times New Roman" w:hAnsi="Times New Roman" w:cs="Times New Roman"/>
                <w:sz w:val="24"/>
                <w:szCs w:val="24"/>
              </w:rPr>
              <w:t xml:space="preserve"> към Условията за кандидатстване –</w:t>
            </w:r>
            <w:r w:rsidR="002F6087" w:rsidRPr="0019568E">
              <w:t xml:space="preserve"> </w:t>
            </w:r>
            <w:r w:rsidR="002F6087" w:rsidRPr="0019568E">
              <w:rPr>
                <w:rFonts w:ascii="Times New Roman" w:hAnsi="Times New Roman" w:cs="Times New Roman"/>
                <w:sz w:val="24"/>
                <w:szCs w:val="24"/>
              </w:rPr>
              <w:t>датирана, подписана на хартиен носител от всички лица, с право да представляват кандидата, сканирана и прикачена в ИСУН 2020.</w:t>
            </w:r>
            <w:r w:rsidR="00B25986" w:rsidRPr="0019568E">
              <w:rPr>
                <w:rFonts w:ascii="Times New Roman" w:hAnsi="Times New Roman" w:cs="Times New Roman"/>
                <w:sz w:val="24"/>
                <w:szCs w:val="24"/>
              </w:rPr>
              <w:t>-предста</w:t>
            </w:r>
            <w:r w:rsidR="005932FF" w:rsidRPr="0019568E">
              <w:rPr>
                <w:rFonts w:ascii="Times New Roman" w:hAnsi="Times New Roman" w:cs="Times New Roman"/>
                <w:sz w:val="24"/>
                <w:szCs w:val="24"/>
              </w:rPr>
              <w:t>вя се от кандидата и партньорите. ДЕКЛАРАЦИЯТА СЕ ПОДПИСВА С КЕП</w:t>
            </w:r>
          </w:p>
          <w:p w14:paraId="7F826B5B" w14:textId="77777777" w:rsidR="00DF67D6" w:rsidRPr="0019568E" w:rsidRDefault="00DF67D6" w:rsidP="006479FB">
            <w:pPr>
              <w:spacing w:after="120"/>
              <w:jc w:val="both"/>
              <w:rPr>
                <w:rFonts w:ascii="Times New Roman" w:hAnsi="Times New Roman" w:cs="Times New Roman"/>
                <w:i/>
                <w:sz w:val="24"/>
                <w:szCs w:val="24"/>
              </w:rPr>
            </w:pPr>
            <w:r w:rsidRPr="0019568E">
              <w:rPr>
                <w:rFonts w:ascii="Times New Roman" w:hAnsi="Times New Roman" w:cs="Times New Roman"/>
                <w:b/>
                <w:i/>
                <w:sz w:val="24"/>
                <w:szCs w:val="24"/>
              </w:rPr>
              <w:t>ВАЖНО!</w:t>
            </w:r>
            <w:r w:rsidR="006339CB" w:rsidRPr="0019568E">
              <w:rPr>
                <w:rFonts w:ascii="Times New Roman" w:hAnsi="Times New Roman" w:cs="Times New Roman"/>
                <w:i/>
                <w:sz w:val="24"/>
                <w:szCs w:val="24"/>
              </w:rPr>
              <w:t xml:space="preserve"> </w:t>
            </w:r>
          </w:p>
          <w:p w14:paraId="27760FD6" w14:textId="495D918C"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Официалният/те представител/и на кандидата</w:t>
            </w:r>
            <w:r w:rsidR="002B409A" w:rsidRPr="0019568E">
              <w:rPr>
                <w:rFonts w:ascii="Times New Roman" w:hAnsi="Times New Roman" w:cs="Times New Roman"/>
                <w:i/>
                <w:sz w:val="24"/>
                <w:szCs w:val="24"/>
              </w:rPr>
              <w:t>/партньора</w:t>
            </w:r>
            <w:r w:rsidRPr="0019568E">
              <w:rPr>
                <w:rFonts w:ascii="Times New Roman" w:hAnsi="Times New Roman" w:cs="Times New Roman"/>
                <w:i/>
                <w:sz w:val="24"/>
                <w:szCs w:val="24"/>
              </w:rPr>
              <w:t xml:space="preserve"> няма/т право да упълномощава/т други лица да по</w:t>
            </w:r>
            <w:r w:rsidR="002B409A" w:rsidRPr="0019568E">
              <w:rPr>
                <w:rFonts w:ascii="Times New Roman" w:hAnsi="Times New Roman" w:cs="Times New Roman"/>
                <w:i/>
                <w:sz w:val="24"/>
                <w:szCs w:val="24"/>
              </w:rPr>
              <w:t>дписват декларацията</w:t>
            </w:r>
            <w:r w:rsidRPr="0019568E">
              <w:rPr>
                <w:rFonts w:ascii="Times New Roman" w:hAnsi="Times New Roman" w:cs="Times New Roman"/>
                <w:i/>
                <w:sz w:val="24"/>
                <w:szCs w:val="24"/>
              </w:rPr>
              <w:t>, тъй като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766CA1BA" w14:textId="76922DF1"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Декларацията се попълва и се подписва от всички лица, с право да представляват кандидата (независимо от това дали заедно и/или поотделно, и/или по друг начин).</w:t>
            </w:r>
          </w:p>
          <w:p w14:paraId="40855488" w14:textId="358F5EED"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При подаване на проектното предложение посочен</w:t>
            </w:r>
            <w:r w:rsidR="002B409A" w:rsidRPr="0019568E">
              <w:rPr>
                <w:rFonts w:ascii="Times New Roman" w:hAnsi="Times New Roman" w:cs="Times New Roman"/>
                <w:i/>
                <w:sz w:val="24"/>
                <w:szCs w:val="24"/>
              </w:rPr>
              <w:t>ата декларация</w:t>
            </w:r>
            <w:r w:rsidRPr="0019568E">
              <w:rPr>
                <w:rFonts w:ascii="Times New Roman" w:hAnsi="Times New Roman" w:cs="Times New Roman"/>
                <w:i/>
                <w:sz w:val="24"/>
                <w:szCs w:val="24"/>
              </w:rPr>
              <w:t xml:space="preserve"> следва да бъд</w:t>
            </w:r>
            <w:r w:rsidR="002B409A" w:rsidRPr="0019568E">
              <w:rPr>
                <w:rFonts w:ascii="Times New Roman" w:hAnsi="Times New Roman" w:cs="Times New Roman"/>
                <w:i/>
                <w:sz w:val="24"/>
                <w:szCs w:val="24"/>
              </w:rPr>
              <w:t>е</w:t>
            </w:r>
            <w:r w:rsidRPr="0019568E">
              <w:rPr>
                <w:rFonts w:ascii="Times New Roman" w:hAnsi="Times New Roman" w:cs="Times New Roman"/>
                <w:i/>
                <w:sz w:val="24"/>
                <w:szCs w:val="24"/>
              </w:rPr>
              <w:t xml:space="preserve"> с дата след обявяване на процедурата и предхождаща или съответстваща на датата на подаване на проектното предложение.</w:t>
            </w:r>
          </w:p>
          <w:p w14:paraId="64F96CCA" w14:textId="6885429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6.</w:t>
            </w:r>
            <w:r w:rsidR="002B409A" w:rsidRPr="0019568E">
              <w:rPr>
                <w:rFonts w:ascii="Times New Roman" w:hAnsi="Times New Roman" w:cs="Times New Roman"/>
                <w:sz w:val="24"/>
                <w:szCs w:val="24"/>
              </w:rPr>
              <w:t xml:space="preserve">Декларация </w:t>
            </w:r>
            <w:r w:rsidR="002B409A" w:rsidRPr="0019568E">
              <w:rPr>
                <w:rFonts w:ascii="Times New Roman" w:hAnsi="Times New Roman" w:cs="Times New Roman"/>
                <w:b/>
                <w:sz w:val="24"/>
                <w:szCs w:val="24"/>
              </w:rPr>
              <w:t>от</w:t>
            </w:r>
            <w:r w:rsidR="002B409A" w:rsidRPr="0019568E">
              <w:rPr>
                <w:rFonts w:ascii="Times New Roman" w:hAnsi="Times New Roman" w:cs="Times New Roman"/>
                <w:sz w:val="24"/>
                <w:szCs w:val="24"/>
              </w:rPr>
              <w:t xml:space="preserve"> </w:t>
            </w:r>
            <w:r w:rsidR="002B409A" w:rsidRPr="0019568E">
              <w:rPr>
                <w:rFonts w:ascii="Times New Roman" w:hAnsi="Times New Roman" w:cs="Times New Roman"/>
                <w:b/>
                <w:sz w:val="24"/>
                <w:szCs w:val="24"/>
              </w:rPr>
              <w:t xml:space="preserve">кандидата </w:t>
            </w:r>
            <w:r w:rsidR="002B409A" w:rsidRPr="0019568E">
              <w:rPr>
                <w:rFonts w:ascii="Times New Roman" w:hAnsi="Times New Roman" w:cs="Times New Roman"/>
                <w:sz w:val="24"/>
                <w:szCs w:val="24"/>
              </w:rPr>
              <w:t>относно задължението да представя оригинали на УО, попълнена по образец (</w:t>
            </w:r>
            <w:r w:rsidR="002B409A" w:rsidRPr="0019568E">
              <w:rPr>
                <w:rFonts w:ascii="Times New Roman" w:hAnsi="Times New Roman" w:cs="Times New Roman"/>
                <w:b/>
                <w:i/>
                <w:sz w:val="24"/>
                <w:szCs w:val="24"/>
                <w:u w:val="single"/>
              </w:rPr>
              <w:t>Приложение II</w:t>
            </w:r>
            <w:r w:rsidR="002B409A" w:rsidRPr="0019568E">
              <w:rPr>
                <w:rFonts w:ascii="Times New Roman" w:hAnsi="Times New Roman" w:cs="Times New Roman"/>
                <w:sz w:val="24"/>
                <w:szCs w:val="24"/>
              </w:rPr>
              <w:t xml:space="preserve"> към Условията за кандидатстване).</w:t>
            </w:r>
          </w:p>
          <w:p w14:paraId="158D7ECD" w14:textId="2A8479D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7</w:t>
            </w:r>
            <w:r w:rsidR="002B409A" w:rsidRPr="0019568E">
              <w:rPr>
                <w:rFonts w:ascii="Times New Roman" w:hAnsi="Times New Roman" w:cs="Times New Roman"/>
                <w:sz w:val="24"/>
                <w:szCs w:val="24"/>
              </w:rPr>
              <w:t xml:space="preserve">. Декларация за съгласие </w:t>
            </w:r>
            <w:r w:rsidR="00B25986" w:rsidRPr="0019568E">
              <w:rPr>
                <w:rFonts w:ascii="Times New Roman" w:hAnsi="Times New Roman" w:cs="Times New Roman"/>
                <w:b/>
                <w:sz w:val="24"/>
                <w:szCs w:val="24"/>
              </w:rPr>
              <w:t>от</w:t>
            </w:r>
            <w:r w:rsidR="002B409A" w:rsidRPr="0019568E">
              <w:rPr>
                <w:rFonts w:ascii="Times New Roman" w:hAnsi="Times New Roman" w:cs="Times New Roman"/>
                <w:b/>
                <w:sz w:val="24"/>
                <w:szCs w:val="24"/>
              </w:rPr>
              <w:t xml:space="preserve"> кандидата </w:t>
            </w:r>
            <w:r w:rsidR="00EC34F6" w:rsidRPr="0019568E">
              <w:rPr>
                <w:rFonts w:ascii="Times New Roman" w:hAnsi="Times New Roman" w:cs="Times New Roman"/>
                <w:sz w:val="24"/>
                <w:szCs w:val="24"/>
              </w:rPr>
              <w:t xml:space="preserve"> </w:t>
            </w:r>
            <w:r w:rsidR="00B25986" w:rsidRPr="0019568E">
              <w:rPr>
                <w:rFonts w:ascii="Times New Roman" w:hAnsi="Times New Roman" w:cs="Times New Roman"/>
                <w:sz w:val="24"/>
                <w:szCs w:val="24"/>
              </w:rPr>
              <w:t xml:space="preserve">и от партньорите </w:t>
            </w:r>
            <w:r w:rsidR="002B409A" w:rsidRPr="0019568E">
              <w:rPr>
                <w:rFonts w:ascii="Times New Roman" w:hAnsi="Times New Roman" w:cs="Times New Roman"/>
                <w:sz w:val="24"/>
                <w:szCs w:val="24"/>
              </w:rPr>
              <w:t>за ползване и разпространение на обобщените данни по проекта от УО и от НСИ,  попълнена по образец (</w:t>
            </w:r>
            <w:r w:rsidR="002B409A" w:rsidRPr="0019568E">
              <w:rPr>
                <w:rFonts w:ascii="Times New Roman" w:hAnsi="Times New Roman" w:cs="Times New Roman"/>
                <w:b/>
                <w:i/>
                <w:sz w:val="24"/>
                <w:szCs w:val="24"/>
                <w:u w:val="single"/>
              </w:rPr>
              <w:t>Приложение III</w:t>
            </w:r>
            <w:r w:rsidR="002B409A" w:rsidRPr="0019568E">
              <w:rPr>
                <w:rFonts w:ascii="Times New Roman" w:hAnsi="Times New Roman" w:cs="Times New Roman"/>
                <w:sz w:val="24"/>
                <w:szCs w:val="24"/>
              </w:rPr>
              <w:t xml:space="preserve"> към Условията за кандидатстване).</w:t>
            </w:r>
          </w:p>
          <w:p w14:paraId="0C94CFDF" w14:textId="77777777" w:rsidR="0019568E"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8</w:t>
            </w:r>
            <w:r w:rsidR="002B409A" w:rsidRPr="0019568E">
              <w:rPr>
                <w:rFonts w:ascii="Times New Roman" w:hAnsi="Times New Roman" w:cs="Times New Roman"/>
                <w:sz w:val="24"/>
                <w:szCs w:val="24"/>
              </w:rPr>
              <w:t>.</w:t>
            </w:r>
            <w:r w:rsidR="001122DD" w:rsidRPr="0019568E">
              <w:rPr>
                <w:rFonts w:ascii="Times New Roman" w:hAnsi="Times New Roman" w:cs="Times New Roman"/>
                <w:sz w:val="24"/>
                <w:szCs w:val="24"/>
              </w:rPr>
              <w:t xml:space="preserve"> Декларация за липс</w:t>
            </w:r>
            <w:r w:rsidR="002B409A" w:rsidRPr="0019568E">
              <w:rPr>
                <w:rFonts w:ascii="Times New Roman" w:hAnsi="Times New Roman" w:cs="Times New Roman"/>
                <w:sz w:val="24"/>
                <w:szCs w:val="24"/>
              </w:rPr>
              <w:t>а на двойно финансиране, попълнена по образец (</w:t>
            </w:r>
            <w:r w:rsidR="002B409A" w:rsidRPr="0019568E">
              <w:rPr>
                <w:rFonts w:ascii="Times New Roman" w:hAnsi="Times New Roman" w:cs="Times New Roman"/>
                <w:b/>
                <w:i/>
                <w:sz w:val="24"/>
                <w:szCs w:val="24"/>
                <w:u w:val="single"/>
              </w:rPr>
              <w:t>Приложение IV</w:t>
            </w:r>
            <w:r w:rsidR="002B409A" w:rsidRPr="0019568E">
              <w:rPr>
                <w:rFonts w:ascii="Times New Roman" w:hAnsi="Times New Roman" w:cs="Times New Roman"/>
                <w:sz w:val="24"/>
                <w:szCs w:val="24"/>
              </w:rPr>
              <w:t xml:space="preserve"> към Условията за кандидатстване)</w:t>
            </w:r>
            <w:r w:rsidR="00B25986" w:rsidRPr="0019568E">
              <w:rPr>
                <w:rFonts w:ascii="Times New Roman" w:hAnsi="Times New Roman" w:cs="Times New Roman"/>
                <w:sz w:val="24"/>
                <w:szCs w:val="24"/>
              </w:rPr>
              <w:t>-представена от кандидата и партньорите</w:t>
            </w:r>
            <w:r w:rsidR="00B25986" w:rsidRPr="0019568E" w:rsidDel="00B25986">
              <w:rPr>
                <w:rFonts w:ascii="Times New Roman" w:hAnsi="Times New Roman" w:cs="Times New Roman"/>
                <w:sz w:val="24"/>
                <w:szCs w:val="24"/>
              </w:rPr>
              <w:t xml:space="preserve"> </w:t>
            </w:r>
          </w:p>
          <w:p w14:paraId="3E454F1E" w14:textId="077AC99A" w:rsidR="00B25986" w:rsidRPr="0019568E" w:rsidRDefault="00B25986" w:rsidP="006479FB">
            <w:pPr>
              <w:spacing w:after="120"/>
              <w:jc w:val="both"/>
              <w:rPr>
                <w:rFonts w:ascii="Times New Roman" w:hAnsi="Times New Roman" w:cs="Times New Roman"/>
                <w:i/>
                <w:sz w:val="24"/>
                <w:szCs w:val="24"/>
              </w:rPr>
            </w:pPr>
            <w:r w:rsidRPr="0019568E">
              <w:rPr>
                <w:rFonts w:ascii="Times New Roman" w:hAnsi="Times New Roman" w:cs="Times New Roman"/>
                <w:sz w:val="24"/>
                <w:szCs w:val="24"/>
              </w:rPr>
              <w:t>9. Декларация за разграничаване на неикономическата от икономическата дейност, попълнена по образец (</w:t>
            </w:r>
            <w:r w:rsidRPr="0019568E">
              <w:rPr>
                <w:rFonts w:ascii="Times New Roman" w:hAnsi="Times New Roman" w:cs="Times New Roman"/>
                <w:b/>
                <w:i/>
                <w:sz w:val="24"/>
                <w:szCs w:val="24"/>
                <w:u w:val="single"/>
              </w:rPr>
              <w:t>Приложение V</w:t>
            </w:r>
            <w:r w:rsidRPr="0019568E">
              <w:rPr>
                <w:rFonts w:ascii="Times New Roman" w:hAnsi="Times New Roman" w:cs="Times New Roman"/>
                <w:sz w:val="24"/>
                <w:szCs w:val="24"/>
              </w:rPr>
              <w:t xml:space="preserve"> към Условията за кандидатстване), датирана, подписана на хартиен носител от всички лица, с право да представляват кандидата, (</w:t>
            </w:r>
            <w:r w:rsidRPr="0019568E">
              <w:rPr>
                <w:rFonts w:ascii="Times New Roman" w:hAnsi="Times New Roman" w:cs="Times New Roman"/>
                <w:b/>
                <w:i/>
                <w:sz w:val="24"/>
                <w:szCs w:val="24"/>
                <w:u w:val="single"/>
              </w:rPr>
              <w:t>ако е приложимо</w:t>
            </w:r>
            <w:r w:rsidRPr="0019568E">
              <w:rPr>
                <w:rFonts w:ascii="Times New Roman" w:hAnsi="Times New Roman" w:cs="Times New Roman"/>
                <w:sz w:val="24"/>
                <w:szCs w:val="24"/>
              </w:rPr>
              <w:t xml:space="preserve">). </w:t>
            </w:r>
            <w:r w:rsidRPr="0019568E">
              <w:rPr>
                <w:rFonts w:ascii="Times New Roman" w:hAnsi="Times New Roman" w:cs="Times New Roman"/>
                <w:i/>
                <w:sz w:val="24"/>
                <w:szCs w:val="24"/>
              </w:rPr>
              <w:t>Декларацията се представя само от партньори – ЮЛНЦ регистрирани за обществено-полезна дейност съгласно ЗЮЛНЦ.</w:t>
            </w:r>
          </w:p>
          <w:p w14:paraId="3A8FDA59" w14:textId="0EA2372A" w:rsidR="00EC1117" w:rsidRPr="0019568E" w:rsidRDefault="0019568E"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10</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Решение на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w:t>
            </w:r>
            <w:r w:rsidR="00EC1117" w:rsidRPr="0019568E">
              <w:rPr>
                <w:rFonts w:ascii="Times New Roman" w:hAnsi="Times New Roman" w:cs="Times New Roman"/>
                <w:b/>
                <w:i/>
                <w:sz w:val="24"/>
                <w:szCs w:val="24"/>
                <w:u w:val="single"/>
              </w:rPr>
              <w:t>когато е приложимо</w:t>
            </w:r>
            <w:r w:rsidR="00EC1117" w:rsidRPr="0019568E">
              <w:rPr>
                <w:rFonts w:ascii="Times New Roman" w:hAnsi="Times New Roman" w:cs="Times New Roman"/>
                <w:sz w:val="24"/>
                <w:szCs w:val="24"/>
              </w:rPr>
              <w:t xml:space="preserve"> - в случай че кандидатът </w:t>
            </w:r>
            <w:r w:rsidR="002E7DC5" w:rsidRPr="0019568E">
              <w:rPr>
                <w:rFonts w:ascii="Times New Roman" w:hAnsi="Times New Roman" w:cs="Times New Roman"/>
                <w:sz w:val="24"/>
                <w:szCs w:val="24"/>
              </w:rPr>
              <w:t>или партньорът</w:t>
            </w:r>
            <w:r w:rsidR="00EC1117" w:rsidRPr="0019568E">
              <w:rPr>
                <w:rFonts w:ascii="Times New Roman" w:hAnsi="Times New Roman" w:cs="Times New Roman"/>
                <w:sz w:val="24"/>
                <w:szCs w:val="24"/>
              </w:rPr>
              <w:t xml:space="preserve"> е община).</w:t>
            </w:r>
          </w:p>
          <w:p w14:paraId="1EF18C8F" w14:textId="64743D5A" w:rsidR="00EC34F6" w:rsidRPr="0019568E" w:rsidRDefault="0019568E" w:rsidP="006479FB">
            <w:pPr>
              <w:spacing w:after="120"/>
              <w:jc w:val="both"/>
              <w:rPr>
                <w:rFonts w:ascii="Times New Roman" w:hAnsi="Times New Roman" w:cs="Times New Roman"/>
                <w:i/>
                <w:sz w:val="24"/>
                <w:szCs w:val="24"/>
                <w:u w:val="single"/>
              </w:rPr>
            </w:pPr>
            <w:r w:rsidRPr="0019568E">
              <w:rPr>
                <w:rFonts w:ascii="Times New Roman" w:hAnsi="Times New Roman" w:cs="Times New Roman"/>
                <w:sz w:val="24"/>
                <w:szCs w:val="24"/>
              </w:rPr>
              <w:lastRenderedPageBreak/>
              <w:t>11</w:t>
            </w:r>
            <w:r w:rsidR="00EC34F6" w:rsidRPr="0019568E">
              <w:rPr>
                <w:rFonts w:ascii="Times New Roman" w:hAnsi="Times New Roman" w:cs="Times New Roman"/>
                <w:sz w:val="24"/>
                <w:szCs w:val="24"/>
              </w:rPr>
              <w:t>. Счетоводни документи (</w:t>
            </w:r>
            <w:r w:rsidR="00EC34F6" w:rsidRPr="0019568E">
              <w:rPr>
                <w:rFonts w:ascii="Times New Roman" w:hAnsi="Times New Roman" w:cs="Times New Roman"/>
                <w:b/>
                <w:i/>
                <w:sz w:val="24"/>
                <w:szCs w:val="24"/>
                <w:u w:val="single"/>
              </w:rPr>
              <w:t>Баланс и ОПР</w:t>
            </w:r>
            <w:r w:rsidR="00EC34F6" w:rsidRPr="0019568E">
              <w:rPr>
                <w:rFonts w:ascii="Times New Roman" w:hAnsi="Times New Roman" w:cs="Times New Roman"/>
                <w:sz w:val="24"/>
                <w:szCs w:val="24"/>
              </w:rPr>
              <w:t xml:space="preserve">) </w:t>
            </w:r>
            <w:r w:rsidR="00EC1117" w:rsidRPr="0019568E">
              <w:rPr>
                <w:rFonts w:ascii="Times New Roman" w:hAnsi="Times New Roman" w:cs="Times New Roman"/>
                <w:b/>
                <w:sz w:val="24"/>
                <w:szCs w:val="24"/>
              </w:rPr>
              <w:t>от кандидата</w:t>
            </w:r>
            <w:r w:rsidR="00B25986" w:rsidRPr="0019568E">
              <w:rPr>
                <w:rFonts w:ascii="Times New Roman" w:hAnsi="Times New Roman" w:cs="Times New Roman"/>
                <w:b/>
                <w:sz w:val="24"/>
                <w:szCs w:val="24"/>
              </w:rPr>
              <w:t xml:space="preserve"> и от партньорите</w:t>
            </w:r>
            <w:r w:rsidR="00051D57" w:rsidRPr="0019568E">
              <w:rPr>
                <w:rFonts w:ascii="Times New Roman" w:hAnsi="Times New Roman" w:cs="Times New Roman"/>
                <w:b/>
                <w:sz w:val="24"/>
                <w:szCs w:val="24"/>
              </w:rPr>
              <w:t>-</w:t>
            </w:r>
            <w:r w:rsidR="00051D57" w:rsidRPr="0019568E">
              <w:rPr>
                <w:rFonts w:ascii="Times New Roman" w:hAnsi="Times New Roman" w:cs="Times New Roman"/>
                <w:b/>
                <w:i/>
                <w:sz w:val="24"/>
                <w:szCs w:val="24"/>
                <w:u w:val="single"/>
              </w:rPr>
              <w:t>неприложимо за общини</w:t>
            </w:r>
            <w:r w:rsidR="006339CB" w:rsidRPr="0019568E">
              <w:rPr>
                <w:rFonts w:ascii="Times New Roman" w:hAnsi="Times New Roman" w:cs="Times New Roman"/>
                <w:i/>
                <w:sz w:val="24"/>
                <w:szCs w:val="24"/>
                <w:u w:val="single"/>
              </w:rPr>
              <w:t xml:space="preserve"> </w:t>
            </w:r>
          </w:p>
          <w:p w14:paraId="3009083D" w14:textId="66931905" w:rsidR="00EC1117"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2</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Документи за избора на партньори на база публична и прозрачна процедура (напр. обява във вестник, на интернет страницата на кандидата и др. по преценка на кандидата)</w:t>
            </w:r>
          </w:p>
          <w:p w14:paraId="3D6B10CE" w14:textId="5FD468A9" w:rsidR="00EC1117" w:rsidRPr="0019568E" w:rsidRDefault="00B951B5" w:rsidP="00EC1117">
            <w:pPr>
              <w:spacing w:after="120"/>
              <w:jc w:val="both"/>
              <w:rPr>
                <w:rFonts w:ascii="Times New Roman" w:hAnsi="Times New Roman" w:cs="Times New Roman"/>
                <w:b/>
                <w:i/>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3</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Споразумение за партньорство-подписано от кандидата и всички партньори по проекта. В споразумение за партньорство детайлно са описани ролята и задълженията на всеки участник в партньорството.</w:t>
            </w:r>
            <w:r w:rsidR="002421D1" w:rsidRPr="0019568E">
              <w:rPr>
                <w:rFonts w:ascii="Times New Roman" w:hAnsi="Times New Roman" w:cs="Times New Roman"/>
                <w:sz w:val="24"/>
                <w:szCs w:val="24"/>
              </w:rPr>
              <w:t xml:space="preserve"> </w:t>
            </w:r>
            <w:r w:rsidR="00EC1117" w:rsidRPr="0019568E">
              <w:rPr>
                <w:rFonts w:ascii="Times New Roman" w:hAnsi="Times New Roman" w:cs="Times New Roman"/>
                <w:sz w:val="24"/>
                <w:szCs w:val="24"/>
              </w:rPr>
              <w:t xml:space="preserve">В случай че община е кандидат  и/или партньор споразумението за партньорство трябва да е одобрено от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с Решение (</w:t>
            </w:r>
            <w:r w:rsidR="00EC1117" w:rsidRPr="0019568E">
              <w:rPr>
                <w:rFonts w:ascii="Times New Roman" w:hAnsi="Times New Roman" w:cs="Times New Roman"/>
                <w:b/>
                <w:i/>
                <w:sz w:val="24"/>
                <w:szCs w:val="24"/>
              </w:rPr>
              <w:t>Приложение VI).</w:t>
            </w:r>
          </w:p>
          <w:p w14:paraId="5C0FA99E" w14:textId="7FF1BF36" w:rsidR="001122DD" w:rsidRPr="0019568E" w:rsidRDefault="00B951B5" w:rsidP="001122DD">
            <w:pPr>
              <w:spacing w:after="120"/>
              <w:jc w:val="both"/>
              <w:rPr>
                <w:rFonts w:ascii="Times New Roman" w:hAnsi="Times New Roman" w:cs="Times New Roman"/>
                <w:b/>
                <w:i/>
                <w:sz w:val="24"/>
                <w:szCs w:val="24"/>
                <w:u w:val="single"/>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4</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Автобиографии на екипа за организация и управление – </w:t>
            </w:r>
            <w:r w:rsidR="009D322A" w:rsidRPr="0019568E">
              <w:rPr>
                <w:rFonts w:ascii="Times New Roman" w:hAnsi="Times New Roman" w:cs="Times New Roman"/>
                <w:b/>
                <w:i/>
                <w:sz w:val="24"/>
                <w:szCs w:val="24"/>
                <w:u w:val="single"/>
              </w:rPr>
              <w:t>Приложение VIII</w:t>
            </w:r>
          </w:p>
          <w:p w14:paraId="1C25E737" w14:textId="4A72ABC0" w:rsidR="00873BDA" w:rsidRPr="00314FC7" w:rsidRDefault="0019568E" w:rsidP="00873BDA">
            <w:pPr>
              <w:spacing w:after="120"/>
              <w:jc w:val="both"/>
              <w:rPr>
                <w:rFonts w:ascii="Times New Roman" w:hAnsi="Times New Roman" w:cs="Times New Roman"/>
                <w:b/>
                <w:sz w:val="24"/>
                <w:szCs w:val="24"/>
              </w:rPr>
            </w:pPr>
            <w:r w:rsidRPr="0019568E">
              <w:rPr>
                <w:rFonts w:ascii="Times New Roman" w:hAnsi="Times New Roman" w:cs="Times New Roman"/>
                <w:b/>
                <w:sz w:val="24"/>
                <w:szCs w:val="24"/>
              </w:rPr>
              <w:t>15</w:t>
            </w:r>
            <w:r w:rsidR="00C95B03" w:rsidRPr="0019568E">
              <w:rPr>
                <w:rFonts w:ascii="Times New Roman" w:hAnsi="Times New Roman" w:cs="Times New Roman"/>
                <w:b/>
                <w:sz w:val="24"/>
                <w:szCs w:val="24"/>
              </w:rPr>
              <w:t>.</w:t>
            </w:r>
            <w:r w:rsidR="00C95B03" w:rsidRPr="0019568E">
              <w:t xml:space="preserve"> </w:t>
            </w:r>
            <w:r w:rsidR="00C95B03" w:rsidRPr="0019568E">
              <w:rPr>
                <w:rFonts w:ascii="Times New Roman" w:hAnsi="Times New Roman" w:cs="Times New Roman"/>
                <w:b/>
                <w:sz w:val="24"/>
                <w:szCs w:val="24"/>
              </w:rPr>
              <w:t>Удостоверение за актуално състояние на партньори ЮЛНЦ</w:t>
            </w:r>
          </w:p>
          <w:p w14:paraId="0BF0AF0F" w14:textId="77777777" w:rsidR="006339CB" w:rsidRPr="00884F72"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оферта, от нея следва да е видно лицето, което я е издало от името на оферента, като напр. подпис, електронен подпис или разпечатка на електронно съобщение, с което е получена.</w:t>
            </w:r>
          </w:p>
          <w:p w14:paraId="2B787BF6" w14:textId="77777777" w:rsidR="006339CB"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проучвания в интернет, той следва да приложи разпечатка на съответната интернет страница на производителя/доставчика - прикачена в ИСУН 2020.</w:t>
            </w:r>
          </w:p>
          <w:p w14:paraId="7F257668" w14:textId="246B3119"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В случай</w:t>
            </w:r>
            <w:r w:rsidR="0019568E">
              <w:rPr>
                <w:rFonts w:ascii="Times New Roman" w:hAnsi="Times New Roman" w:cs="Times New Roman"/>
                <w:sz w:val="24"/>
                <w:szCs w:val="24"/>
              </w:rPr>
              <w:t>,</w:t>
            </w:r>
            <w:r w:rsidRPr="001D1FAE">
              <w:rPr>
                <w:rFonts w:ascii="Times New Roman" w:hAnsi="Times New Roman" w:cs="Times New Roman"/>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Кандидатите следва да представят липсващите документи/отстранят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посочен от Комисията за подбор, но не по- малко от </w:t>
            </w:r>
            <w:r w:rsidRPr="00745761">
              <w:rPr>
                <w:rFonts w:ascii="Times New Roman" w:hAnsi="Times New Roman" w:cs="Times New Roman"/>
                <w:sz w:val="24"/>
                <w:szCs w:val="24"/>
              </w:rPr>
              <w:t>една седмица от датата на получаване на уведомлението</w:t>
            </w:r>
            <w:r w:rsidRPr="00E51CDC">
              <w:rPr>
                <w:rFonts w:ascii="Times New Roman" w:hAnsi="Times New Roman" w:cs="Times New Roman"/>
                <w:sz w:val="24"/>
                <w:szCs w:val="24"/>
              </w:rPr>
              <w:t>, като денят на получаването му не се брои.</w:t>
            </w:r>
            <w:r w:rsidRPr="001D1FAE">
              <w:rPr>
                <w:rFonts w:ascii="Times New Roman" w:hAnsi="Times New Roman" w:cs="Times New Roman"/>
                <w:sz w:val="24"/>
                <w:szCs w:val="24"/>
              </w:rPr>
              <w:t xml:space="preserve"> Уведомленията за установени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искането за документи/информация се счита датата на изпращането му чрез ИСУН 2020. </w:t>
            </w:r>
            <w:proofErr w:type="spellStart"/>
            <w:r w:rsidRPr="001D1FAE">
              <w:rPr>
                <w:rFonts w:ascii="Times New Roman" w:hAnsi="Times New Roman" w:cs="Times New Roman"/>
                <w:sz w:val="24"/>
                <w:szCs w:val="24"/>
              </w:rPr>
              <w:t>Неотстраняването</w:t>
            </w:r>
            <w:proofErr w:type="spellEnd"/>
            <w:r w:rsidRPr="001D1FAE">
              <w:rPr>
                <w:rFonts w:ascii="Times New Roman" w:hAnsi="Times New Roman" w:cs="Times New Roman"/>
                <w:sz w:val="24"/>
                <w:szCs w:val="24"/>
              </w:rPr>
              <w:t xml:space="preserve">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може да доведе до: прекратяване на производството по отношение на кандидата; и/или получаване на по-малък брой точки от проектното предложение; и/или редуциране на разходи в бюджета на проекта.</w:t>
            </w:r>
          </w:p>
          <w:p w14:paraId="7576ECE0" w14:textId="77777777" w:rsidR="00AD731B" w:rsidRDefault="00AD731B" w:rsidP="006479FB">
            <w:pPr>
              <w:spacing w:after="120"/>
              <w:jc w:val="both"/>
              <w:rPr>
                <w:rFonts w:ascii="Times New Roman" w:hAnsi="Times New Roman" w:cs="Times New Roman"/>
                <w:b/>
                <w:sz w:val="24"/>
                <w:szCs w:val="24"/>
              </w:rPr>
            </w:pPr>
          </w:p>
          <w:p w14:paraId="58878C0B" w14:textId="77777777" w:rsidR="00DF67D6"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b/>
                <w:sz w:val="24"/>
                <w:szCs w:val="24"/>
              </w:rPr>
              <w:t>ВАЖНО!</w:t>
            </w:r>
            <w:r w:rsidRPr="001D1FAE">
              <w:rPr>
                <w:rFonts w:ascii="Times New Roman" w:hAnsi="Times New Roman" w:cs="Times New Roman"/>
                <w:sz w:val="24"/>
                <w:szCs w:val="24"/>
              </w:rPr>
              <w:t xml:space="preserve"> </w:t>
            </w:r>
          </w:p>
          <w:p w14:paraId="5B3C5DBB" w14:textId="63147229" w:rsidR="006339CB"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 xml:space="preserve">Отстраняването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1D1FAE">
              <w:rPr>
                <w:rFonts w:ascii="Times New Roman" w:hAnsi="Times New Roman" w:cs="Times New Roman"/>
                <w:sz w:val="24"/>
                <w:szCs w:val="24"/>
              </w:rPr>
              <w:t>правноорганизационната</w:t>
            </w:r>
            <w:proofErr w:type="spellEnd"/>
            <w:r w:rsidRPr="001D1FAE">
              <w:rPr>
                <w:rFonts w:ascii="Times New Roman" w:hAnsi="Times New Roman" w:cs="Times New Roman"/>
                <w:sz w:val="24"/>
                <w:szCs w:val="24"/>
              </w:rPr>
              <w:t xml:space="preserve">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35E4A2C7" w14:textId="77777777"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3D899334" w14:textId="77777777" w:rsidR="00DF67D6" w:rsidRDefault="00DF67D6"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ВАЖНО!</w:t>
            </w:r>
            <w:r w:rsidR="006339CB" w:rsidRPr="001D1FAE">
              <w:rPr>
                <w:rFonts w:ascii="Times New Roman" w:hAnsi="Times New Roman" w:cs="Times New Roman"/>
                <w:b/>
                <w:sz w:val="24"/>
                <w:szCs w:val="24"/>
              </w:rPr>
              <w:t xml:space="preserve"> </w:t>
            </w:r>
          </w:p>
          <w:p w14:paraId="4AB02715" w14:textId="61E1165E" w:rsidR="006339CB" w:rsidRDefault="006339CB" w:rsidP="006479FB">
            <w:pPr>
              <w:spacing w:after="120"/>
              <w:jc w:val="both"/>
              <w:rPr>
                <w:rFonts w:ascii="Times New Roman" w:hAnsi="Times New Roman" w:cs="Times New Roman"/>
                <w:b/>
                <w:sz w:val="24"/>
                <w:szCs w:val="24"/>
              </w:rPr>
            </w:pPr>
            <w:r w:rsidRPr="001D1FAE">
              <w:rPr>
                <w:rFonts w:ascii="Times New Roman" w:hAnsi="Times New Roman" w:cs="Times New Roman"/>
                <w:b/>
                <w:sz w:val="24"/>
                <w:szCs w:val="24"/>
              </w:rPr>
              <w:lastRenderedPageBreak/>
              <w:t>При деклариране на неверни данни от страна на кандидатите се уведомяват органите на прокуратурата.</w:t>
            </w:r>
          </w:p>
        </w:tc>
      </w:tr>
    </w:tbl>
    <w:p w14:paraId="0A9CB3CC" w14:textId="77777777" w:rsidR="003661EF" w:rsidRDefault="003661EF"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4263A0C1" w14:textId="77777777" w:rsidTr="00CA777C">
        <w:tc>
          <w:tcPr>
            <w:tcW w:w="10207" w:type="dxa"/>
          </w:tcPr>
          <w:p w14:paraId="38AA573A" w14:textId="3FDC330C" w:rsidR="006339CB" w:rsidRPr="002421D1" w:rsidRDefault="006339CB" w:rsidP="006479FB">
            <w:pPr>
              <w:spacing w:after="120"/>
              <w:jc w:val="both"/>
              <w:rPr>
                <w:rFonts w:ascii="Times New Roman" w:hAnsi="Times New Roman" w:cs="Times New Roman"/>
                <w:b/>
                <w:sz w:val="24"/>
                <w:szCs w:val="24"/>
              </w:rPr>
            </w:pPr>
            <w:r w:rsidRPr="002421D1">
              <w:rPr>
                <w:rFonts w:ascii="Times New Roman" w:hAnsi="Times New Roman" w:cs="Times New Roman"/>
                <w:b/>
                <w:sz w:val="24"/>
                <w:szCs w:val="24"/>
              </w:rPr>
              <w:t>2</w:t>
            </w:r>
            <w:r w:rsidR="00EA3128" w:rsidRPr="002421D1">
              <w:rPr>
                <w:rFonts w:ascii="Times New Roman" w:hAnsi="Times New Roman" w:cs="Times New Roman"/>
                <w:b/>
                <w:sz w:val="24"/>
                <w:szCs w:val="24"/>
              </w:rPr>
              <w:t>3</w:t>
            </w:r>
            <w:r w:rsidRPr="002421D1">
              <w:rPr>
                <w:rFonts w:ascii="Times New Roman" w:hAnsi="Times New Roman" w:cs="Times New Roman"/>
                <w:b/>
                <w:sz w:val="24"/>
                <w:szCs w:val="24"/>
              </w:rPr>
              <w:t>. Краен срок за подаване на проектните предложения</w:t>
            </w:r>
            <w:r w:rsidRPr="002421D1">
              <w:rPr>
                <w:rStyle w:val="af0"/>
                <w:rFonts w:ascii="Times New Roman" w:hAnsi="Times New Roman" w:cs="Times New Roman"/>
                <w:b/>
                <w:sz w:val="24"/>
                <w:szCs w:val="24"/>
              </w:rPr>
              <w:footnoteReference w:id="6"/>
            </w:r>
            <w:r w:rsidRPr="002421D1">
              <w:rPr>
                <w:rFonts w:ascii="Times New Roman" w:hAnsi="Times New Roman" w:cs="Times New Roman"/>
                <w:b/>
                <w:sz w:val="24"/>
                <w:szCs w:val="24"/>
              </w:rPr>
              <w:t>:</w:t>
            </w:r>
          </w:p>
          <w:p w14:paraId="2580B32E" w14:textId="2848E19C" w:rsidR="007400AA"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t>Първи  краен</w:t>
            </w:r>
            <w:r w:rsidR="007400AA" w:rsidRPr="002421D1">
              <w:rPr>
                <w:rFonts w:ascii="Times New Roman" w:hAnsi="Times New Roman" w:cs="Times New Roman"/>
                <w:sz w:val="24"/>
                <w:szCs w:val="24"/>
              </w:rPr>
              <w:t xml:space="preserve"> срок за подаване </w:t>
            </w:r>
            <w:r w:rsidR="00A0258C" w:rsidRPr="002421D1">
              <w:rPr>
                <w:rFonts w:ascii="Times New Roman" w:hAnsi="Times New Roman" w:cs="Times New Roman"/>
                <w:sz w:val="24"/>
                <w:szCs w:val="24"/>
              </w:rPr>
              <w:t xml:space="preserve">на </w:t>
            </w:r>
            <w:r w:rsidR="00A17788" w:rsidRPr="002421D1">
              <w:rPr>
                <w:rFonts w:ascii="Times New Roman" w:hAnsi="Times New Roman" w:cs="Times New Roman"/>
                <w:sz w:val="24"/>
                <w:szCs w:val="24"/>
              </w:rPr>
              <w:t xml:space="preserve">проектните предложения е </w:t>
            </w:r>
            <w:r w:rsidR="0019568E" w:rsidRPr="0019568E">
              <w:rPr>
                <w:rFonts w:ascii="Times New Roman" w:hAnsi="Times New Roman" w:cs="Times New Roman"/>
                <w:sz w:val="24"/>
                <w:szCs w:val="24"/>
                <w:lang w:val="en-US"/>
              </w:rPr>
              <w:t>30</w:t>
            </w:r>
            <w:r w:rsidR="0019568E" w:rsidRPr="0019568E">
              <w:rPr>
                <w:rFonts w:ascii="Times New Roman" w:hAnsi="Times New Roman" w:cs="Times New Roman"/>
                <w:sz w:val="24"/>
                <w:szCs w:val="24"/>
              </w:rPr>
              <w:t xml:space="preserve"> октомври</w:t>
            </w:r>
            <w:r w:rsidR="00A0258C" w:rsidRPr="002421D1">
              <w:rPr>
                <w:rFonts w:ascii="Times New Roman" w:hAnsi="Times New Roman" w:cs="Times New Roman"/>
                <w:sz w:val="24"/>
                <w:szCs w:val="24"/>
              </w:rPr>
              <w:t xml:space="preserve"> 2019г</w:t>
            </w:r>
            <w:r w:rsidR="007400AA" w:rsidRPr="002421D1">
              <w:rPr>
                <w:rFonts w:ascii="Times New Roman" w:hAnsi="Times New Roman" w:cs="Times New Roman"/>
                <w:sz w:val="24"/>
                <w:szCs w:val="24"/>
              </w:rPr>
              <w:t>.</w:t>
            </w:r>
            <w:r w:rsidR="006565E3" w:rsidRPr="002421D1">
              <w:rPr>
                <w:rFonts w:ascii="Times New Roman" w:hAnsi="Times New Roman" w:cs="Times New Roman"/>
                <w:sz w:val="24"/>
                <w:szCs w:val="24"/>
              </w:rPr>
              <w:t xml:space="preserve"> 16:30 часа</w:t>
            </w:r>
          </w:p>
          <w:p w14:paraId="5579DEE9" w14:textId="77777777" w:rsidR="007C6265" w:rsidRPr="002421D1" w:rsidRDefault="007C6265" w:rsidP="007400AA">
            <w:pPr>
              <w:rPr>
                <w:rFonts w:ascii="Times New Roman" w:hAnsi="Times New Roman" w:cs="Times New Roman"/>
                <w:sz w:val="24"/>
                <w:szCs w:val="24"/>
              </w:rPr>
            </w:pPr>
          </w:p>
          <w:p w14:paraId="3F696FA7" w14:textId="0164CC45" w:rsidR="007C6265"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t xml:space="preserve">Ако след приключване на първия краен срок за подаване на проектни предложения </w:t>
            </w:r>
            <w:r w:rsidR="008B185D" w:rsidRPr="002421D1">
              <w:rPr>
                <w:rFonts w:ascii="Times New Roman" w:hAnsi="Times New Roman" w:cs="Times New Roman"/>
                <w:sz w:val="24"/>
                <w:szCs w:val="24"/>
              </w:rPr>
              <w:t xml:space="preserve">има неусвоен финансов ресурс МИГ </w:t>
            </w:r>
            <w:r w:rsidR="007018FE">
              <w:rPr>
                <w:rFonts w:ascii="Times New Roman" w:hAnsi="Times New Roman" w:cs="Times New Roman"/>
                <w:sz w:val="24"/>
                <w:szCs w:val="24"/>
              </w:rPr>
              <w:t xml:space="preserve"> Свиленград Ареал </w:t>
            </w:r>
            <w:r w:rsidR="008B185D" w:rsidRPr="002421D1">
              <w:rPr>
                <w:rFonts w:ascii="Times New Roman" w:hAnsi="Times New Roman" w:cs="Times New Roman"/>
                <w:sz w:val="24"/>
                <w:szCs w:val="24"/>
              </w:rPr>
              <w:t>предвижда втори прием на проектни предложения.</w:t>
            </w:r>
          </w:p>
          <w:p w14:paraId="26E87BA5" w14:textId="77777777" w:rsidR="008B185D" w:rsidRPr="002421D1" w:rsidRDefault="008B185D" w:rsidP="007400AA">
            <w:pPr>
              <w:rPr>
                <w:rFonts w:ascii="Times New Roman" w:hAnsi="Times New Roman" w:cs="Times New Roman"/>
                <w:sz w:val="24"/>
                <w:szCs w:val="24"/>
              </w:rPr>
            </w:pPr>
          </w:p>
          <w:p w14:paraId="5566A70E" w14:textId="4952ADD7" w:rsidR="007400AA" w:rsidRPr="002421D1" w:rsidRDefault="007C6265"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 xml:space="preserve">Втори   краен срок за подаване </w:t>
            </w:r>
            <w:r w:rsidR="006565E3" w:rsidRPr="002421D1">
              <w:rPr>
                <w:rFonts w:ascii="Times New Roman" w:hAnsi="Times New Roman" w:cs="Times New Roman"/>
                <w:sz w:val="24"/>
                <w:szCs w:val="24"/>
              </w:rPr>
              <w:t>на проектните предложения е 10 февруари 2020г. 16:30 часа</w:t>
            </w:r>
            <w:r w:rsidRPr="002421D1">
              <w:rPr>
                <w:rFonts w:ascii="Times New Roman" w:hAnsi="Times New Roman" w:cs="Times New Roman"/>
                <w:sz w:val="24"/>
                <w:szCs w:val="24"/>
              </w:rPr>
              <w:t>.</w:t>
            </w:r>
          </w:p>
          <w:p w14:paraId="79E115CC" w14:textId="02D5BED1" w:rsidR="006339CB" w:rsidRPr="002421D1" w:rsidRDefault="007400AA"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В</w:t>
            </w:r>
            <w:r w:rsidR="006339CB" w:rsidRPr="002421D1">
              <w:rPr>
                <w:rFonts w:ascii="Times New Roman" w:hAnsi="Times New Roman" w:cs="Times New Roman"/>
                <w:sz w:val="24"/>
                <w:szCs w:val="24"/>
              </w:rPr>
              <w:t>сяко проектно предложение, което е подадено след крайния срок, ще бъде отхвърлено и няма да бъде разглеждано по процедурата.</w:t>
            </w:r>
          </w:p>
          <w:p w14:paraId="5C2441D7" w14:textId="77777777" w:rsidR="00DF67D6" w:rsidRPr="002421D1" w:rsidRDefault="00DF67D6" w:rsidP="006479FB">
            <w:pPr>
              <w:spacing w:after="120"/>
              <w:jc w:val="both"/>
              <w:rPr>
                <w:rFonts w:ascii="Times New Roman" w:hAnsi="Times New Roman" w:cs="Times New Roman"/>
                <w:b/>
                <w:sz w:val="24"/>
                <w:szCs w:val="24"/>
              </w:rPr>
            </w:pPr>
          </w:p>
          <w:p w14:paraId="75FEB370" w14:textId="77777777" w:rsidR="00DF67D6"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Pr="002421D1">
              <w:rPr>
                <w:rFonts w:ascii="Times New Roman" w:hAnsi="Times New Roman" w:cs="Times New Roman"/>
                <w:sz w:val="24"/>
                <w:szCs w:val="24"/>
              </w:rPr>
              <w:t xml:space="preserve"> </w:t>
            </w:r>
          </w:p>
          <w:p w14:paraId="0327856E" w14:textId="716DFFC0"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След обявяване на процедура</w:t>
            </w:r>
            <w:r w:rsidR="007400AA" w:rsidRPr="002421D1">
              <w:rPr>
                <w:rFonts w:ascii="Times New Roman" w:hAnsi="Times New Roman" w:cs="Times New Roman"/>
                <w:sz w:val="24"/>
                <w:szCs w:val="24"/>
              </w:rPr>
              <w:t>та за подбор се</w:t>
            </w:r>
            <w:r w:rsidRPr="002421D1">
              <w:rPr>
                <w:rFonts w:ascii="Times New Roman" w:hAnsi="Times New Roman" w:cs="Times New Roman"/>
                <w:sz w:val="24"/>
                <w:szCs w:val="24"/>
              </w:rPr>
              <w:t xml:space="preserve"> осигурява предоставяне на разяснения по документите. 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Разясненията следва да бъдат утвърдени от Председателя на КУО или оправомощено от него лице. Разясненията следва да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съобщават в срок до две седмици преди изтичането на срока за кандидатстване.</w:t>
            </w:r>
          </w:p>
          <w:p w14:paraId="1E368AA1" w14:textId="3EFB0A9D"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Допълнителни въп</w:t>
            </w:r>
            <w:r w:rsidR="007400AA" w:rsidRPr="002421D1">
              <w:rPr>
                <w:rFonts w:ascii="Times New Roman" w:hAnsi="Times New Roman" w:cs="Times New Roman"/>
                <w:sz w:val="24"/>
                <w:szCs w:val="24"/>
              </w:rPr>
              <w:t>роси могат да се задават само на следната</w:t>
            </w:r>
            <w:r w:rsidRPr="002421D1">
              <w:rPr>
                <w:rFonts w:ascii="Times New Roman" w:hAnsi="Times New Roman" w:cs="Times New Roman"/>
                <w:sz w:val="24"/>
                <w:szCs w:val="24"/>
              </w:rPr>
              <w:t xml:space="preserve"> елект</w:t>
            </w:r>
            <w:r w:rsidR="0056657D" w:rsidRPr="002421D1">
              <w:rPr>
                <w:rFonts w:ascii="Times New Roman" w:hAnsi="Times New Roman" w:cs="Times New Roman"/>
                <w:sz w:val="24"/>
                <w:szCs w:val="24"/>
              </w:rPr>
              <w:t xml:space="preserve">ронна поща, </w:t>
            </w:r>
            <w:hyperlink r:id="rId11" w:history="1">
              <w:r w:rsidR="007400AA" w:rsidRPr="002421D1">
                <w:rPr>
                  <w:rStyle w:val="a7"/>
                  <w:rFonts w:ascii="Times New Roman" w:hAnsi="Times New Roman" w:cs="Times New Roman"/>
                  <w:color w:val="auto"/>
                  <w:sz w:val="24"/>
                  <w:szCs w:val="24"/>
                  <w:lang w:val="en-US"/>
                </w:rPr>
                <w:t>migsvilengrad@mail.bg</w:t>
              </w:r>
            </w:hyperlink>
            <w:r w:rsidR="007400AA" w:rsidRPr="002421D1">
              <w:rPr>
                <w:rFonts w:ascii="Times New Roman" w:hAnsi="Times New Roman" w:cs="Times New Roman"/>
                <w:sz w:val="24"/>
                <w:szCs w:val="24"/>
                <w:lang w:val="en-US"/>
              </w:rPr>
              <w:t xml:space="preserve"> </w:t>
            </w:r>
            <w:r w:rsidRPr="002421D1">
              <w:rPr>
                <w:rFonts w:ascii="Times New Roman" w:hAnsi="Times New Roman" w:cs="Times New Roman"/>
                <w:sz w:val="24"/>
                <w:szCs w:val="24"/>
              </w:rPr>
              <w:t xml:space="preserve"> като се посочва наименованието на процедурата за подбор на проекти.</w:t>
            </w:r>
          </w:p>
          <w:p w14:paraId="2D7108C6" w14:textId="7FF2F568"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Отговорите на въпросите на кандидатите се публикуват на</w:t>
            </w:r>
            <w:r w:rsidR="0056657D" w:rsidRPr="002421D1">
              <w:rPr>
                <w:rFonts w:ascii="Times New Roman" w:hAnsi="Times New Roman" w:cs="Times New Roman"/>
                <w:sz w:val="24"/>
                <w:szCs w:val="24"/>
              </w:rPr>
              <w:t xml:space="preserve"> интернет страницата на МИГ</w:t>
            </w:r>
            <w:r w:rsidR="00AD094F" w:rsidRPr="002421D1">
              <w:t xml:space="preserve"> </w:t>
            </w:r>
            <w:r w:rsidR="00AD094F" w:rsidRPr="002421D1">
              <w:rPr>
                <w:rFonts w:ascii="Times New Roman" w:hAnsi="Times New Roman" w:cs="Times New Roman"/>
                <w:sz w:val="24"/>
                <w:szCs w:val="24"/>
              </w:rPr>
              <w:t>Свиленград Ареал</w:t>
            </w:r>
            <w:r w:rsidRPr="002421D1">
              <w:rPr>
                <w:rFonts w:ascii="Times New Roman" w:hAnsi="Times New Roman" w:cs="Times New Roman"/>
                <w:sz w:val="24"/>
                <w:szCs w:val="24"/>
              </w:rPr>
              <w:t xml:space="preserve"> и в ИСУН 2020 в 10-дневен срок от получаването им, но не по-късно от две седмици преди изтичането на срока за кандидатстване.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7190AC58" w14:textId="77777777" w:rsidR="00DF67D6" w:rsidRPr="002421D1" w:rsidRDefault="00DF67D6" w:rsidP="00DF67D6">
            <w:pPr>
              <w:spacing w:after="120"/>
              <w:jc w:val="both"/>
              <w:rPr>
                <w:rFonts w:ascii="Times New Roman" w:hAnsi="Times New Roman" w:cs="Times New Roman"/>
                <w:b/>
                <w:sz w:val="24"/>
                <w:szCs w:val="24"/>
              </w:rPr>
            </w:pPr>
          </w:p>
          <w:p w14:paraId="7BA9F1E8" w14:textId="77777777" w:rsidR="00DF67D6"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00DF67D6" w:rsidRPr="002421D1">
              <w:rPr>
                <w:rFonts w:ascii="Times New Roman" w:hAnsi="Times New Roman" w:cs="Times New Roman"/>
                <w:b/>
                <w:sz w:val="24"/>
                <w:szCs w:val="24"/>
              </w:rPr>
              <w:t>!</w:t>
            </w:r>
            <w:r w:rsidRPr="002421D1">
              <w:rPr>
                <w:rFonts w:ascii="Times New Roman" w:hAnsi="Times New Roman" w:cs="Times New Roman"/>
                <w:sz w:val="24"/>
                <w:szCs w:val="24"/>
              </w:rPr>
              <w:t xml:space="preserve"> </w:t>
            </w:r>
          </w:p>
          <w:p w14:paraId="61E251A9" w14:textId="4EA0D84A" w:rsidR="006339CB"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предложение от кандидат</w:t>
            </w:r>
            <w:r w:rsidR="001A018A" w:rsidRPr="002421D1">
              <w:rPr>
                <w:rFonts w:ascii="Times New Roman" w:hAnsi="Times New Roman" w:cs="Times New Roman"/>
                <w:sz w:val="24"/>
                <w:szCs w:val="24"/>
                <w:lang w:val="en-US"/>
              </w:rPr>
              <w:t xml:space="preserve"> </w:t>
            </w:r>
            <w:r w:rsidR="001A018A" w:rsidRPr="002421D1">
              <w:rPr>
                <w:rFonts w:ascii="Times New Roman" w:hAnsi="Times New Roman" w:cs="Times New Roman"/>
                <w:sz w:val="24"/>
                <w:szCs w:val="24"/>
              </w:rPr>
              <w:t>к</w:t>
            </w:r>
            <w:r w:rsidRPr="002421D1">
              <w:rPr>
                <w:rFonts w:ascii="Times New Roman" w:hAnsi="Times New Roman" w:cs="Times New Roman"/>
                <w:sz w:val="24"/>
                <w:szCs w:val="24"/>
              </w:rPr>
              <w:t xml:space="preserve">омисията за подбор разглежда само последното, като предходните </w:t>
            </w:r>
            <w:r w:rsidR="0056657D" w:rsidRPr="002421D1">
              <w:rPr>
                <w:rFonts w:ascii="Times New Roman" w:hAnsi="Times New Roman" w:cs="Times New Roman"/>
                <w:sz w:val="24"/>
                <w:szCs w:val="24"/>
              </w:rPr>
              <w:t>се считат за оттеглени. МИГ</w:t>
            </w:r>
            <w:r w:rsidR="007018FE">
              <w:rPr>
                <w:rFonts w:ascii="Times New Roman" w:hAnsi="Times New Roman" w:cs="Times New Roman"/>
                <w:sz w:val="24"/>
                <w:szCs w:val="24"/>
              </w:rPr>
              <w:t xml:space="preserve"> Свиленград Ареал </w:t>
            </w:r>
            <w:r w:rsidRPr="002421D1">
              <w:rPr>
                <w:rFonts w:ascii="Times New Roman" w:hAnsi="Times New Roman" w:cs="Times New Roman"/>
                <w:sz w:val="24"/>
                <w:szCs w:val="24"/>
              </w:rPr>
              <w:t xml:space="preserve"> гарантира изпълнението на това обстоятелство със залагането на съответните проверки, които трябва да се извършат от Комисията за подбор. </w:t>
            </w:r>
          </w:p>
        </w:tc>
      </w:tr>
    </w:tbl>
    <w:p w14:paraId="031AD639" w14:textId="77777777" w:rsidR="004724AA" w:rsidRDefault="004724AA"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27D103B6" w14:textId="77777777" w:rsidTr="00CA777C">
        <w:tc>
          <w:tcPr>
            <w:tcW w:w="10207" w:type="dxa"/>
          </w:tcPr>
          <w:p w14:paraId="3798EE79" w14:textId="0045B512" w:rsidR="006339CB" w:rsidRPr="001D1FAE" w:rsidRDefault="006339CB" w:rsidP="006479FB">
            <w:pPr>
              <w:spacing w:after="120"/>
              <w:jc w:val="both"/>
              <w:rPr>
                <w:rFonts w:ascii="Times New Roman" w:hAnsi="Times New Roman" w:cs="Times New Roman"/>
                <w:sz w:val="24"/>
                <w:szCs w:val="24"/>
              </w:rPr>
            </w:pPr>
            <w:r>
              <w:rPr>
                <w:rFonts w:ascii="Times New Roman" w:hAnsi="Times New Roman" w:cs="Times New Roman"/>
                <w:b/>
                <w:sz w:val="24"/>
                <w:szCs w:val="24"/>
              </w:rPr>
              <w:t>2</w:t>
            </w:r>
            <w:r w:rsidR="00EA3128">
              <w:rPr>
                <w:rFonts w:ascii="Times New Roman" w:hAnsi="Times New Roman" w:cs="Times New Roman"/>
                <w:b/>
                <w:sz w:val="24"/>
                <w:szCs w:val="24"/>
              </w:rPr>
              <w:t>4</w:t>
            </w:r>
            <w:r w:rsidRPr="001D1FAE">
              <w:rPr>
                <w:rFonts w:ascii="Times New Roman" w:hAnsi="Times New Roman" w:cs="Times New Roman"/>
                <w:b/>
                <w:sz w:val="24"/>
                <w:szCs w:val="24"/>
              </w:rPr>
              <w:t>. Адрес за подаване на проектните предложения/концепциите за проектни предложения</w:t>
            </w:r>
            <w:r>
              <w:rPr>
                <w:rStyle w:val="af0"/>
                <w:rFonts w:ascii="Times New Roman" w:hAnsi="Times New Roman" w:cs="Times New Roman"/>
                <w:b/>
                <w:sz w:val="24"/>
                <w:szCs w:val="24"/>
              </w:rPr>
              <w:footnoteReference w:id="7"/>
            </w:r>
            <w:r w:rsidRPr="001D1FAE">
              <w:rPr>
                <w:rFonts w:ascii="Times New Roman" w:hAnsi="Times New Roman" w:cs="Times New Roman"/>
                <w:sz w:val="24"/>
                <w:szCs w:val="24"/>
              </w:rPr>
              <w:t>:</w:t>
            </w:r>
          </w:p>
          <w:p w14:paraId="4A67E6AB" w14:textId="100475EE" w:rsidR="00C07E91" w:rsidRPr="00C07E91" w:rsidRDefault="00C07E91" w:rsidP="006479FB">
            <w:pPr>
              <w:spacing w:after="120"/>
              <w:jc w:val="both"/>
              <w:rPr>
                <w:rFonts w:ascii="Times New Roman" w:hAnsi="Times New Roman" w:cs="Times New Roman"/>
                <w:sz w:val="24"/>
                <w:szCs w:val="24"/>
              </w:rPr>
            </w:pPr>
            <w:r w:rsidRPr="00C07E91">
              <w:rPr>
                <w:rFonts w:ascii="Times New Roman" w:hAnsi="Times New Roman" w:cs="Times New Roman"/>
                <w:sz w:val="24"/>
                <w:szCs w:val="24"/>
              </w:rPr>
              <w:t xml:space="preserve">Проектните предложения по настоящата процедура за предоставяне на безвъзмездна финансова помощ, следва да бъдат подадени само по електронен път с КЕП като се използва Информационната система за управление и наблюдение на Структурните инструменти на ЕС в България (ИСУН 2020) - </w:t>
            </w:r>
            <w:hyperlink r:id="rId12" w:history="1">
              <w:r w:rsidRPr="00AD23D8">
                <w:rPr>
                  <w:rStyle w:val="a7"/>
                  <w:rFonts w:ascii="Times New Roman" w:hAnsi="Times New Roman" w:cs="Times New Roman"/>
                  <w:sz w:val="24"/>
                  <w:szCs w:val="24"/>
                </w:rPr>
                <w:t>https://eumis2020.government.bg</w:t>
              </w:r>
            </w:hyperlink>
            <w:r>
              <w:rPr>
                <w:rFonts w:ascii="Times New Roman" w:hAnsi="Times New Roman" w:cs="Times New Roman"/>
                <w:sz w:val="24"/>
                <w:szCs w:val="24"/>
              </w:rPr>
              <w:t>.</w:t>
            </w:r>
          </w:p>
          <w:p w14:paraId="2CDCA5CA" w14:textId="0F08FB86" w:rsidR="006339CB" w:rsidRDefault="00C07E91" w:rsidP="006479FB">
            <w:pPr>
              <w:spacing w:after="120"/>
              <w:jc w:val="both"/>
              <w:rPr>
                <w:rFonts w:ascii="Times New Roman" w:hAnsi="Times New Roman" w:cs="Times New Roman"/>
                <w:b/>
                <w:sz w:val="24"/>
                <w:szCs w:val="24"/>
              </w:rPr>
            </w:pPr>
            <w:r w:rsidRPr="00C07E91">
              <w:rPr>
                <w:rFonts w:ascii="Times New Roman" w:hAnsi="Times New Roman" w:cs="Times New Roman"/>
                <w:sz w:val="24"/>
                <w:szCs w:val="24"/>
              </w:rPr>
              <w:t>Ако проектното предложение бъде представено на хартия, то няма да бъде допуснато до оценка.</w:t>
            </w:r>
          </w:p>
        </w:tc>
      </w:tr>
    </w:tbl>
    <w:p w14:paraId="18882D7B" w14:textId="77777777" w:rsidR="006339CB" w:rsidRDefault="006339CB"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7FC56E69" w14:textId="77777777" w:rsidTr="00CA777C">
        <w:tc>
          <w:tcPr>
            <w:tcW w:w="10207" w:type="dxa"/>
          </w:tcPr>
          <w:p w14:paraId="3B458709" w14:textId="0D4033E8" w:rsidR="006339CB" w:rsidRPr="006D082E"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sidR="00EA3128">
              <w:rPr>
                <w:rFonts w:ascii="Times New Roman" w:hAnsi="Times New Roman" w:cs="Times New Roman"/>
                <w:b/>
                <w:sz w:val="24"/>
                <w:szCs w:val="24"/>
              </w:rPr>
              <w:t>5</w:t>
            </w:r>
            <w:r w:rsidRPr="006D082E">
              <w:rPr>
                <w:rFonts w:ascii="Times New Roman" w:hAnsi="Times New Roman" w:cs="Times New Roman"/>
                <w:b/>
                <w:sz w:val="24"/>
                <w:szCs w:val="24"/>
              </w:rPr>
              <w:t>. Допълнителна информация:</w:t>
            </w:r>
          </w:p>
          <w:p w14:paraId="755A4111" w14:textId="7313FFE1" w:rsidR="006339CB" w:rsidRPr="00A174FD" w:rsidRDefault="006339CB" w:rsidP="006479FB">
            <w:pPr>
              <w:spacing w:after="120"/>
              <w:jc w:val="both"/>
              <w:rPr>
                <w:rFonts w:ascii="Times New Roman" w:hAnsi="Times New Roman" w:cs="Times New Roman"/>
                <w:b/>
                <w:sz w:val="24"/>
                <w:szCs w:val="24"/>
              </w:rPr>
            </w:pPr>
            <w:r w:rsidRPr="008E189A">
              <w:rPr>
                <w:rFonts w:ascii="Times New Roman" w:hAnsi="Times New Roman" w:cs="Times New Roman"/>
                <w:b/>
                <w:sz w:val="24"/>
                <w:szCs w:val="24"/>
              </w:rPr>
              <w:t>2</w:t>
            </w:r>
            <w:r w:rsidR="00EA3128">
              <w:rPr>
                <w:rFonts w:ascii="Times New Roman" w:hAnsi="Times New Roman" w:cs="Times New Roman"/>
                <w:b/>
                <w:sz w:val="24"/>
                <w:szCs w:val="24"/>
              </w:rPr>
              <w:t>5</w:t>
            </w:r>
            <w:r w:rsidRPr="002457EF">
              <w:rPr>
                <w:rFonts w:ascii="Times New Roman" w:hAnsi="Times New Roman" w:cs="Times New Roman"/>
                <w:b/>
                <w:sz w:val="24"/>
                <w:szCs w:val="24"/>
              </w:rPr>
              <w:t xml:space="preserve">.1. Процедура за уведомяване на </w:t>
            </w:r>
            <w:proofErr w:type="spellStart"/>
            <w:r w:rsidRPr="002457EF">
              <w:rPr>
                <w:rFonts w:ascii="Times New Roman" w:hAnsi="Times New Roman" w:cs="Times New Roman"/>
                <w:b/>
                <w:sz w:val="24"/>
                <w:szCs w:val="24"/>
              </w:rPr>
              <w:t>неуспелите</w:t>
            </w:r>
            <w:proofErr w:type="spellEnd"/>
            <w:r w:rsidRPr="002457EF">
              <w:rPr>
                <w:rFonts w:ascii="Times New Roman" w:hAnsi="Times New Roman" w:cs="Times New Roman"/>
                <w:b/>
                <w:sz w:val="24"/>
                <w:szCs w:val="24"/>
              </w:rPr>
              <w:t xml:space="preserve"> и о</w:t>
            </w:r>
            <w:r w:rsidRPr="00A174FD">
              <w:rPr>
                <w:rFonts w:ascii="Times New Roman" w:hAnsi="Times New Roman" w:cs="Times New Roman"/>
                <w:b/>
                <w:sz w:val="24"/>
                <w:szCs w:val="24"/>
              </w:rPr>
              <w:t>добрените кандидати и сключване на административни договори за безвъзмездна финансова помощ</w:t>
            </w:r>
          </w:p>
          <w:p w14:paraId="227F14C6" w14:textId="266809A0" w:rsidR="006339CB" w:rsidRPr="007B0371"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Подборът на проектни предложения към стратегии за ВОМР се извършва от Комисия за подбор, назначена от МИГ</w:t>
            </w:r>
            <w:r w:rsidR="00AD094F">
              <w:rPr>
                <w:rFonts w:ascii="Times New Roman" w:hAnsi="Times New Roman" w:cs="Times New Roman"/>
                <w:sz w:val="24"/>
                <w:szCs w:val="24"/>
              </w:rPr>
              <w:t xml:space="preserve"> </w:t>
            </w:r>
            <w:r w:rsidR="00AD094F" w:rsidRPr="00AD094F">
              <w:rPr>
                <w:rFonts w:ascii="Times New Roman" w:hAnsi="Times New Roman" w:cs="Times New Roman"/>
                <w:sz w:val="24"/>
                <w:szCs w:val="24"/>
              </w:rPr>
              <w:t>Свиленград Ареал</w:t>
            </w:r>
            <w:r w:rsidRPr="00A174FD">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A174FD">
              <w:rPr>
                <w:rFonts w:ascii="Times New Roman" w:hAnsi="Times New Roman" w:cs="Times New Roman"/>
                <w:sz w:val="24"/>
                <w:szCs w:val="24"/>
              </w:rPr>
              <w:t>Комисията за подбор извършва оценка на всички постъп</w:t>
            </w:r>
            <w:r w:rsidRPr="006475F9">
              <w:rPr>
                <w:rFonts w:ascii="Times New Roman" w:hAnsi="Times New Roman" w:cs="Times New Roman"/>
                <w:sz w:val="24"/>
                <w:szCs w:val="24"/>
              </w:rPr>
              <w:t xml:space="preserve">или проекти в срок до </w:t>
            </w:r>
            <w:r w:rsidRPr="007B0371">
              <w:rPr>
                <w:rFonts w:ascii="Times New Roman" w:hAnsi="Times New Roman" w:cs="Times New Roman"/>
                <w:sz w:val="24"/>
                <w:szCs w:val="24"/>
              </w:rPr>
              <w:t>30 работни дни от изтичане на крайния срок на приема.</w:t>
            </w:r>
          </w:p>
          <w:p w14:paraId="004CC37B" w14:textId="29F4E20A"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Работа</w:t>
            </w:r>
            <w:r w:rsidR="00821222">
              <w:rPr>
                <w:rFonts w:ascii="Times New Roman" w:hAnsi="Times New Roman" w:cs="Times New Roman"/>
                <w:sz w:val="24"/>
                <w:szCs w:val="24"/>
              </w:rPr>
              <w:t xml:space="preserve">та на Комисията за подбор </w:t>
            </w:r>
            <w:r w:rsidRPr="007B0371">
              <w:rPr>
                <w:rFonts w:ascii="Times New Roman" w:hAnsi="Times New Roman" w:cs="Times New Roman"/>
                <w:sz w:val="24"/>
                <w:szCs w:val="24"/>
              </w:rPr>
              <w:t xml:space="preserve"> приключва с оценителен доклад до ръководителя на Управляващия орган. Оценителният доклад се генерира в ИСУН 2020. Оценителният доклад се</w:t>
            </w:r>
            <w:r w:rsidRPr="006D082E">
              <w:rPr>
                <w:rFonts w:ascii="Times New Roman" w:hAnsi="Times New Roman" w:cs="Times New Roman"/>
                <w:sz w:val="24"/>
                <w:szCs w:val="24"/>
              </w:rPr>
              <w:t xml:space="preserve"> подписва от председателя, секретаря и от всички членове на комисията. Оценителният доклад се одобрява от УС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прикачва в ИСУН 2020 всички документи, свързани с процеса на оценка (вкл. и доклада) и уведомява УО за това.</w:t>
            </w:r>
          </w:p>
          <w:p w14:paraId="1BF3E71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Оценителният доклад включва:</w:t>
            </w:r>
          </w:p>
          <w:p w14:paraId="76F5AAB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w:t>
            </w:r>
          </w:p>
          <w:p w14:paraId="49A3D1C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разясненията, които са предоставяни на кандидатите преди представянето на проектните предложения;</w:t>
            </w:r>
          </w:p>
          <w:p w14:paraId="2CB487B5"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кореспонденцията, водена с кандидатите по време на оценителния процес</w:t>
            </w:r>
            <w:r w:rsidRPr="006D082E">
              <w:rPr>
                <w:rStyle w:val="af0"/>
                <w:rFonts w:ascii="Times New Roman" w:hAnsi="Times New Roman" w:cs="Times New Roman"/>
                <w:sz w:val="24"/>
                <w:szCs w:val="24"/>
              </w:rPr>
              <w:footnoteReference w:id="8"/>
            </w:r>
            <w:r w:rsidRPr="006D082E">
              <w:rPr>
                <w:rFonts w:ascii="Times New Roman" w:hAnsi="Times New Roman" w:cs="Times New Roman"/>
                <w:sz w:val="24"/>
                <w:szCs w:val="24"/>
              </w:rPr>
              <w:t>;</w:t>
            </w:r>
          </w:p>
          <w:p w14:paraId="24C6E340" w14:textId="77777777" w:rsidR="006339CB" w:rsidRPr="002457EF" w:rsidRDefault="006339CB" w:rsidP="006479FB">
            <w:pPr>
              <w:spacing w:after="120"/>
              <w:jc w:val="both"/>
              <w:rPr>
                <w:rFonts w:ascii="Times New Roman" w:hAnsi="Times New Roman" w:cs="Times New Roman"/>
                <w:sz w:val="24"/>
                <w:szCs w:val="24"/>
              </w:rPr>
            </w:pPr>
            <w:r w:rsidRPr="008E189A">
              <w:rPr>
                <w:rFonts w:ascii="Times New Roman" w:hAnsi="Times New Roman" w:cs="Times New Roman"/>
                <w:sz w:val="24"/>
                <w:szCs w:val="24"/>
              </w:rPr>
              <w:t>4. кореспонденция с компетентн</w:t>
            </w:r>
            <w:r w:rsidRPr="002457EF">
              <w:rPr>
                <w:rFonts w:ascii="Times New Roman" w:hAnsi="Times New Roman" w:cs="Times New Roman"/>
                <w:sz w:val="24"/>
                <w:szCs w:val="24"/>
              </w:rPr>
              <w:t>ите органи/институции (ако има такава);</w:t>
            </w:r>
          </w:p>
          <w:p w14:paraId="7D08E670" w14:textId="77777777" w:rsidR="006339CB" w:rsidRPr="00A174FD"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5. протоколи от отделните етапи на оценката, подписани от участвалите в съответния етап на оценка лица;</w:t>
            </w:r>
          </w:p>
          <w:p w14:paraId="597D4EDF" w14:textId="77777777" w:rsidR="006339CB" w:rsidRPr="006475F9"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6. други документи, ако е приложимо.</w:t>
            </w:r>
          </w:p>
          <w:p w14:paraId="3747A857" w14:textId="77777777" w:rsidR="006339CB" w:rsidRPr="006475F9" w:rsidRDefault="006339CB" w:rsidP="006479FB">
            <w:pPr>
              <w:spacing w:after="120"/>
              <w:jc w:val="both"/>
              <w:rPr>
                <w:rFonts w:ascii="Times New Roman" w:hAnsi="Times New Roman" w:cs="Times New Roman"/>
                <w:sz w:val="24"/>
                <w:szCs w:val="24"/>
              </w:rPr>
            </w:pPr>
            <w:r w:rsidRPr="006475F9">
              <w:rPr>
                <w:rFonts w:ascii="Times New Roman" w:hAnsi="Times New Roman" w:cs="Times New Roman"/>
                <w:sz w:val="24"/>
                <w:szCs w:val="24"/>
              </w:rPr>
              <w:t>Към оценителния доклад се прилагат:</w:t>
            </w:r>
          </w:p>
          <w:p w14:paraId="5311D796" w14:textId="77777777" w:rsidR="006339CB" w:rsidRPr="007B0371"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6E88885B" w14:textId="77777777"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lastRenderedPageBreak/>
              <w:t>2. списък с резервните проектни предложения, които успешно са преминали оценяването, но за които не дост</w:t>
            </w:r>
            <w:r w:rsidRPr="006D082E">
              <w:rPr>
                <w:rFonts w:ascii="Times New Roman" w:hAnsi="Times New Roman" w:cs="Times New Roman"/>
                <w:sz w:val="24"/>
                <w:szCs w:val="24"/>
              </w:rPr>
              <w:t>ига финансиране, подредени по реда на тяхното класиране;</w:t>
            </w:r>
          </w:p>
          <w:p w14:paraId="06E3F65C"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списък на предложените за отхвърляне проектни предложения и основанието за отхвърлянето им;</w:t>
            </w:r>
          </w:p>
          <w:p w14:paraId="726EDF17"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4. списък на оттеглените по време на оценката проектни предложения.</w:t>
            </w:r>
          </w:p>
          <w:p w14:paraId="227173F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6D082E">
              <w:rPr>
                <w:rFonts w:ascii="Times New Roman" w:hAnsi="Times New Roman" w:cs="Times New Roman"/>
                <w:sz w:val="24"/>
                <w:szCs w:val="24"/>
              </w:rPr>
              <w:t>обективира</w:t>
            </w:r>
            <w:proofErr w:type="spellEnd"/>
            <w:r w:rsidRPr="006D082E">
              <w:rPr>
                <w:rFonts w:ascii="Times New Roman" w:hAnsi="Times New Roman" w:cs="Times New Roman"/>
                <w:sz w:val="24"/>
                <w:szCs w:val="24"/>
              </w:rPr>
              <w:t xml:space="preserve"> в административен договор с всеки отделен бенефициент.</w:t>
            </w:r>
          </w:p>
          <w:p w14:paraId="757B637C" w14:textId="27BF24A9"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Уведомяването на </w:t>
            </w:r>
            <w:proofErr w:type="spellStart"/>
            <w:r w:rsidRPr="006D082E">
              <w:rPr>
                <w:rFonts w:ascii="Times New Roman" w:hAnsi="Times New Roman" w:cs="Times New Roman"/>
                <w:sz w:val="24"/>
                <w:szCs w:val="24"/>
              </w:rPr>
              <w:t>неуспелите</w:t>
            </w:r>
            <w:proofErr w:type="spellEnd"/>
            <w:r w:rsidRPr="006D082E">
              <w:rPr>
                <w:rFonts w:ascii="Times New Roman" w:hAnsi="Times New Roman" w:cs="Times New Roman"/>
                <w:sz w:val="24"/>
                <w:szCs w:val="24"/>
              </w:rPr>
              <w:t xml:space="preserve"> и одобрените кандидати за сключване на административни договори за безвъзмездна финансова помощ се извършва чрез ИСУН 2020.</w:t>
            </w:r>
          </w:p>
          <w:p w14:paraId="19A47D3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Всеки кандидат, получил уведомително писмо, че проектното му предложение не е одобрено или че е частично одобрено, има право да възрази писмено до Ръководителя на УО на ОП НОИР в срок до 3 работни дни от датата на получаването на уведомлението. Ръководителят на УО на ОП НОИР се произнася по основателността на възражението в срок до 10 работни дни от неговото получаване, като:</w:t>
            </w:r>
          </w:p>
          <w:p w14:paraId="56637F1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 връща проектното предложение за повторно извършване на процедурата по оценка;</w:t>
            </w:r>
          </w:p>
          <w:p w14:paraId="420E86D8" w14:textId="5537710C"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потвърждава предварителното решение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w:t>
            </w:r>
          </w:p>
          <w:p w14:paraId="09076CB6" w14:textId="77777777" w:rsidR="002F2383" w:rsidRDefault="002F2383" w:rsidP="006479FB">
            <w:pPr>
              <w:spacing w:after="120"/>
              <w:jc w:val="both"/>
              <w:rPr>
                <w:rFonts w:ascii="Times New Roman" w:hAnsi="Times New Roman" w:cs="Times New Roman"/>
                <w:b/>
                <w:sz w:val="24"/>
                <w:szCs w:val="24"/>
              </w:rPr>
            </w:pPr>
          </w:p>
          <w:p w14:paraId="3D560A21" w14:textId="77777777" w:rsidR="00FD7D4F"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 xml:space="preserve">ВАЖНО! </w:t>
            </w:r>
          </w:p>
          <w:p w14:paraId="4257D3E0" w14:textId="28CF6E94" w:rsidR="006339CB" w:rsidRPr="00F50686"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При одобрен оценителен доклад, кандидатите, чиито проектни предложения са предложени за финансиране, се поканват от </w:t>
            </w:r>
            <w:r w:rsidRPr="00F50686">
              <w:rPr>
                <w:rFonts w:ascii="Times New Roman" w:hAnsi="Times New Roman" w:cs="Times New Roman"/>
                <w:sz w:val="24"/>
                <w:szCs w:val="24"/>
              </w:rPr>
              <w:t xml:space="preserve">УО на ОП НОИР да представят в </w:t>
            </w:r>
            <w:r w:rsidR="00CA5328" w:rsidRPr="00F50686">
              <w:rPr>
                <w:rFonts w:ascii="Times New Roman" w:hAnsi="Times New Roman" w:cs="Times New Roman"/>
                <w:sz w:val="24"/>
                <w:szCs w:val="24"/>
              </w:rPr>
              <w:t>3</w:t>
            </w:r>
            <w:r w:rsidRPr="00F50686">
              <w:rPr>
                <w:rFonts w:ascii="Times New Roman" w:hAnsi="Times New Roman" w:cs="Times New Roman"/>
                <w:sz w:val="24"/>
                <w:szCs w:val="24"/>
              </w:rPr>
              <w:t>0-дневен срок доказателства, че отговарят на изискванията за бенефициент, като представят необходимите документи.</w:t>
            </w:r>
          </w:p>
          <w:p w14:paraId="3A27F2CC" w14:textId="77777777" w:rsidR="006339CB" w:rsidRPr="00F50686" w:rsidRDefault="006339CB" w:rsidP="006479FB">
            <w:pPr>
              <w:spacing w:after="120"/>
              <w:jc w:val="both"/>
              <w:rPr>
                <w:rFonts w:ascii="Times New Roman" w:hAnsi="Times New Roman" w:cs="Times New Roman"/>
                <w:sz w:val="24"/>
                <w:szCs w:val="24"/>
              </w:rPr>
            </w:pPr>
            <w:r w:rsidRPr="00F50686">
              <w:rPr>
                <w:rFonts w:ascii="Times New Roman" w:hAnsi="Times New Roman" w:cs="Times New Roman"/>
                <w:sz w:val="24"/>
                <w:szCs w:val="24"/>
              </w:rPr>
              <w:t xml:space="preserve">УО на ОП НОИР може да изиска допълнителни </w:t>
            </w:r>
            <w:proofErr w:type="spellStart"/>
            <w:r w:rsidRPr="00F50686">
              <w:rPr>
                <w:rFonts w:ascii="Times New Roman" w:hAnsi="Times New Roman" w:cs="Times New Roman"/>
                <w:sz w:val="24"/>
                <w:szCs w:val="24"/>
              </w:rPr>
              <w:t>относими</w:t>
            </w:r>
            <w:proofErr w:type="spellEnd"/>
            <w:r w:rsidRPr="00F50686">
              <w:rPr>
                <w:rFonts w:ascii="Times New Roman" w:hAnsi="Times New Roman" w:cs="Times New Roman"/>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1FA2701F" w14:textId="40C13161" w:rsidR="00FB13F7" w:rsidRPr="008E189A" w:rsidRDefault="006339CB" w:rsidP="006479FB">
            <w:pPr>
              <w:spacing w:after="120"/>
              <w:jc w:val="both"/>
              <w:rPr>
                <w:rFonts w:ascii="Times New Roman" w:hAnsi="Times New Roman" w:cs="Times New Roman"/>
                <w:b/>
                <w:i/>
                <w:sz w:val="24"/>
                <w:szCs w:val="24"/>
              </w:rPr>
            </w:pPr>
            <w:r w:rsidRPr="006D082E">
              <w:rPr>
                <w:rFonts w:ascii="Times New Roman" w:hAnsi="Times New Roman" w:cs="Times New Roman"/>
                <w:b/>
                <w:i/>
                <w:sz w:val="24"/>
                <w:szCs w:val="24"/>
              </w:rPr>
              <w:t xml:space="preserve">Списък на документите, които се представят на етап договаряне и са част от документацията по чл. 26, ал. 1 на ЗУСЕСИФ </w:t>
            </w:r>
            <w:r w:rsidR="003B4CCD" w:rsidRPr="006D082E">
              <w:rPr>
                <w:rFonts w:ascii="Times New Roman" w:hAnsi="Times New Roman" w:cs="Times New Roman"/>
                <w:b/>
                <w:i/>
                <w:sz w:val="24"/>
                <w:szCs w:val="24"/>
              </w:rPr>
              <w:t>и ще бъдат изискани от УО на ОП НОИР</w:t>
            </w:r>
            <w:r w:rsidR="00F50686">
              <w:rPr>
                <w:rFonts w:ascii="Times New Roman" w:hAnsi="Times New Roman" w:cs="Times New Roman"/>
                <w:b/>
                <w:i/>
                <w:sz w:val="24"/>
                <w:szCs w:val="24"/>
              </w:rPr>
              <w:t>– списъка</w:t>
            </w:r>
            <w:r w:rsidRPr="006D082E">
              <w:rPr>
                <w:rFonts w:ascii="Times New Roman" w:hAnsi="Times New Roman" w:cs="Times New Roman"/>
                <w:b/>
                <w:i/>
                <w:sz w:val="24"/>
                <w:szCs w:val="24"/>
              </w:rPr>
              <w:t xml:space="preserve"> не е изчерпателен:</w:t>
            </w:r>
          </w:p>
          <w:p w14:paraId="5B78B950" w14:textId="7B240FE1" w:rsidR="0092464C" w:rsidRPr="00264A85" w:rsidRDefault="0092464C" w:rsidP="006479FB">
            <w:pPr>
              <w:spacing w:after="120"/>
              <w:jc w:val="both"/>
              <w:rPr>
                <w:rFonts w:ascii="Times New Roman" w:hAnsi="Times New Roman" w:cs="Times New Roman"/>
                <w:b/>
                <w:i/>
                <w:sz w:val="24"/>
                <w:szCs w:val="24"/>
              </w:rPr>
            </w:pPr>
            <w:r w:rsidRPr="00A174FD">
              <w:rPr>
                <w:rFonts w:ascii="Times New Roman" w:hAnsi="Times New Roman" w:cs="Times New Roman"/>
                <w:sz w:val="24"/>
                <w:szCs w:val="24"/>
              </w:rPr>
              <w:t>1. Декларация по чл. 25, ал. 2 от ЗУСЕСИФ</w:t>
            </w:r>
            <w:r w:rsidRPr="006475F9">
              <w:rPr>
                <w:rFonts w:ascii="Times New Roman" w:hAnsi="Times New Roman" w:cs="Times New Roman"/>
                <w:sz w:val="24"/>
                <w:szCs w:val="24"/>
              </w:rPr>
              <w:t xml:space="preserve">, в случай че към датата на подписване на административния договор са настъпили промени в декларираните обстоятелства на етап </w:t>
            </w:r>
            <w:r w:rsidRPr="00264A85">
              <w:rPr>
                <w:rFonts w:ascii="Times New Roman" w:hAnsi="Times New Roman" w:cs="Times New Roman"/>
                <w:sz w:val="24"/>
                <w:szCs w:val="24"/>
              </w:rPr>
              <w:t>кандидатстване (Приложение I);</w:t>
            </w:r>
          </w:p>
          <w:p w14:paraId="1B9F76DF" w14:textId="7F97583D"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за нере</w:t>
            </w:r>
            <w:r w:rsidR="00527AC7" w:rsidRPr="00264A85">
              <w:rPr>
                <w:rFonts w:ascii="Times New Roman" w:hAnsi="Times New Roman" w:cs="Times New Roman"/>
                <w:sz w:val="24"/>
                <w:szCs w:val="24"/>
              </w:rPr>
              <w:t xml:space="preserve">дности – по образец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VIII</w:t>
            </w:r>
            <w:r w:rsidRPr="00264A85">
              <w:rPr>
                <w:rFonts w:ascii="Times New Roman" w:hAnsi="Times New Roman" w:cs="Times New Roman"/>
                <w:sz w:val="24"/>
                <w:szCs w:val="24"/>
              </w:rPr>
              <w:t>);</w:t>
            </w:r>
          </w:p>
          <w:p w14:paraId="22DC1FAD" w14:textId="7E8472B6" w:rsidR="0092464C" w:rsidRPr="006D082E"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3. Формуляр за финансова идентификация;</w:t>
            </w:r>
          </w:p>
          <w:p w14:paraId="71B7E3D8" w14:textId="028CBA0C"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lastRenderedPageBreak/>
              <w:t xml:space="preserve">4.  Заявление за профил за достъп на бенефициенти до </w:t>
            </w:r>
            <w:r w:rsidRPr="00264A85">
              <w:rPr>
                <w:rFonts w:ascii="Times New Roman" w:hAnsi="Times New Roman" w:cs="Times New Roman"/>
                <w:sz w:val="24"/>
                <w:szCs w:val="24"/>
              </w:rPr>
              <w:t>ИСУН 2020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w:t>
            </w:r>
            <w:r w:rsidRPr="00264A85">
              <w:rPr>
                <w:rFonts w:ascii="Times New Roman" w:hAnsi="Times New Roman" w:cs="Times New Roman"/>
                <w:sz w:val="24"/>
                <w:szCs w:val="24"/>
              </w:rPr>
              <w:t xml:space="preserve">); </w:t>
            </w:r>
          </w:p>
          <w:p w14:paraId="36ACD7EB" w14:textId="366E9442" w:rsidR="0092464C"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5.  Заявление за профил за достъп на упълномощени от бенефициента лица до ИСУН 2020 (ако е приложимо)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XXII</w:t>
            </w:r>
            <w:r w:rsidRPr="00264A85">
              <w:rPr>
                <w:rFonts w:ascii="Times New Roman" w:hAnsi="Times New Roman" w:cs="Times New Roman"/>
                <w:sz w:val="24"/>
                <w:szCs w:val="24"/>
              </w:rPr>
              <w:t>).</w:t>
            </w:r>
          </w:p>
          <w:p w14:paraId="4B3A82F0" w14:textId="42E69ABB"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Освен посочените по-горе документи, всички кандидати/партньори, с изключение на общини, общински и държавни детски градини и училища, следва да представят:</w:t>
            </w:r>
          </w:p>
          <w:p w14:paraId="23CAD166" w14:textId="07B05BE8"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1. Удостоверение, потвърждаващо, че кандидатът/партньорът не е обявен в процедура по ликвидация издадено от съответния оторизиран орган не по-рано от 3 месеца преди датата на предоставяне</w:t>
            </w:r>
            <w:r w:rsidR="005D5EA4">
              <w:rPr>
                <w:rFonts w:ascii="Times New Roman" w:hAnsi="Times New Roman" w:cs="Times New Roman"/>
                <w:sz w:val="24"/>
                <w:szCs w:val="24"/>
              </w:rPr>
              <w:t>то му от кандидата;</w:t>
            </w:r>
          </w:p>
          <w:p w14:paraId="2A9DF638" w14:textId="4A3EBEEB"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5D5EA4">
              <w:rPr>
                <w:rFonts w:ascii="Times New Roman" w:hAnsi="Times New Roman" w:cs="Times New Roman"/>
                <w:sz w:val="24"/>
                <w:szCs w:val="24"/>
              </w:rPr>
              <w:t xml:space="preserve">Удостоверение, потвърждаващо, че кандидатът/партньорът не е </w:t>
            </w:r>
            <w:r>
              <w:rPr>
                <w:rFonts w:ascii="Times New Roman" w:hAnsi="Times New Roman" w:cs="Times New Roman"/>
                <w:sz w:val="24"/>
                <w:szCs w:val="24"/>
              </w:rPr>
              <w:t>обявен в процедура по несъстоятелност,</w:t>
            </w:r>
            <w:r w:rsidRPr="005D5EA4">
              <w:rPr>
                <w:rFonts w:ascii="Times New Roman" w:hAnsi="Times New Roman" w:cs="Times New Roman"/>
                <w:sz w:val="24"/>
                <w:szCs w:val="24"/>
              </w:rPr>
              <w:t xml:space="preserve"> издадено от съответния оторизиран орган не по-рано от 3 месеца п</w:t>
            </w:r>
            <w:r>
              <w:rPr>
                <w:rFonts w:ascii="Times New Roman" w:hAnsi="Times New Roman" w:cs="Times New Roman"/>
                <w:sz w:val="24"/>
                <w:szCs w:val="24"/>
              </w:rPr>
              <w:t>реди датата на предоставянето му</w:t>
            </w:r>
            <w:r w:rsidRPr="005D5EA4">
              <w:rPr>
                <w:rFonts w:ascii="Times New Roman" w:hAnsi="Times New Roman" w:cs="Times New Roman"/>
                <w:sz w:val="24"/>
                <w:szCs w:val="24"/>
              </w:rPr>
              <w:t xml:space="preserve"> от кандидата;</w:t>
            </w:r>
          </w:p>
          <w:p w14:paraId="7A0680DD" w14:textId="33E51BAC"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3. Удостоверение от Национална агенция за приходите за липса на задължения на кандидата/партньора, </w:t>
            </w:r>
            <w:r w:rsidRPr="005D5EA4">
              <w:rPr>
                <w:rFonts w:ascii="Times New Roman" w:hAnsi="Times New Roman" w:cs="Times New Roman"/>
                <w:sz w:val="24"/>
                <w:szCs w:val="24"/>
              </w:rPr>
              <w:t>издаден</w:t>
            </w:r>
            <w:r>
              <w:rPr>
                <w:rFonts w:ascii="Times New Roman" w:hAnsi="Times New Roman" w:cs="Times New Roman"/>
                <w:sz w:val="24"/>
                <w:szCs w:val="24"/>
              </w:rPr>
              <w:t xml:space="preserve">о </w:t>
            </w:r>
            <w:r w:rsidRPr="005D5EA4">
              <w:rPr>
                <w:rFonts w:ascii="Times New Roman" w:hAnsi="Times New Roman" w:cs="Times New Roman"/>
                <w:sz w:val="24"/>
                <w:szCs w:val="24"/>
              </w:rPr>
              <w:t xml:space="preserve"> </w:t>
            </w:r>
            <w:r>
              <w:rPr>
                <w:rFonts w:ascii="Times New Roman" w:hAnsi="Times New Roman" w:cs="Times New Roman"/>
                <w:sz w:val="24"/>
                <w:szCs w:val="24"/>
              </w:rPr>
              <w:t>не по-рано от 6</w:t>
            </w:r>
            <w:r w:rsidRPr="005D5EA4">
              <w:rPr>
                <w:rFonts w:ascii="Times New Roman" w:hAnsi="Times New Roman" w:cs="Times New Roman"/>
                <w:sz w:val="24"/>
                <w:szCs w:val="24"/>
              </w:rPr>
              <w:t xml:space="preserve"> месеца преди датата н</w:t>
            </w:r>
            <w:r>
              <w:rPr>
                <w:rFonts w:ascii="Times New Roman" w:hAnsi="Times New Roman" w:cs="Times New Roman"/>
                <w:sz w:val="24"/>
                <w:szCs w:val="24"/>
              </w:rPr>
              <w:t>а предоставянето му</w:t>
            </w:r>
            <w:r w:rsidRPr="005D5EA4">
              <w:rPr>
                <w:rFonts w:ascii="Times New Roman" w:hAnsi="Times New Roman" w:cs="Times New Roman"/>
                <w:sz w:val="24"/>
                <w:szCs w:val="24"/>
              </w:rPr>
              <w:t>;</w:t>
            </w:r>
          </w:p>
          <w:p w14:paraId="2428A093" w14:textId="73D3B09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5D5EA4">
              <w:rPr>
                <w:rFonts w:ascii="Times New Roman" w:hAnsi="Times New Roman" w:cs="Times New Roman"/>
                <w:sz w:val="24"/>
                <w:szCs w:val="24"/>
              </w:rPr>
              <w:t>Удостоверение от</w:t>
            </w:r>
            <w:r>
              <w:rPr>
                <w:rFonts w:ascii="Times New Roman" w:hAnsi="Times New Roman" w:cs="Times New Roman"/>
                <w:sz w:val="24"/>
                <w:szCs w:val="24"/>
              </w:rPr>
              <w:t xml:space="preserve"> общината по седалището на </w:t>
            </w:r>
            <w:r w:rsidRPr="005D5EA4">
              <w:rPr>
                <w:rFonts w:ascii="Times New Roman" w:hAnsi="Times New Roman" w:cs="Times New Roman"/>
                <w:sz w:val="24"/>
                <w:szCs w:val="24"/>
              </w:rPr>
              <w:t>кандидата/партньора, за липса на задължения на кандидата/партньора издадено  не по-рано от 6 месеца преди датата на предоставянето му</w:t>
            </w:r>
            <w:r>
              <w:rPr>
                <w:rFonts w:ascii="Times New Roman" w:hAnsi="Times New Roman" w:cs="Times New Roman"/>
                <w:sz w:val="24"/>
                <w:szCs w:val="24"/>
                <w:lang w:val="en-US"/>
              </w:rPr>
              <w:t xml:space="preserve"> </w:t>
            </w:r>
            <w:r>
              <w:rPr>
                <w:rFonts w:ascii="Times New Roman" w:hAnsi="Times New Roman" w:cs="Times New Roman"/>
                <w:sz w:val="24"/>
                <w:szCs w:val="24"/>
              </w:rPr>
              <w:t>- не се отнася за кандидат/партньор, чието седалище е на територията на Община София</w:t>
            </w:r>
            <w:r>
              <w:rPr>
                <w:rFonts w:ascii="Times New Roman" w:hAnsi="Times New Roman" w:cs="Times New Roman"/>
                <w:sz w:val="24"/>
                <w:szCs w:val="24"/>
                <w:lang w:val="en-US"/>
              </w:rPr>
              <w:t>(</w:t>
            </w:r>
            <w:r>
              <w:rPr>
                <w:rFonts w:ascii="Times New Roman" w:hAnsi="Times New Roman" w:cs="Times New Roman"/>
                <w:sz w:val="24"/>
                <w:szCs w:val="24"/>
              </w:rPr>
              <w:t>в този случай проверката се прави по служебен път</w:t>
            </w:r>
            <w:r w:rsidRPr="005D5EA4">
              <w:rPr>
                <w:rFonts w:ascii="Times New Roman" w:hAnsi="Times New Roman" w:cs="Times New Roman"/>
                <w:sz w:val="24"/>
                <w:szCs w:val="24"/>
              </w:rPr>
              <w:t>;</w:t>
            </w:r>
          </w:p>
          <w:p w14:paraId="1B2A7364" w14:textId="439F8EF0"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Свидетелство за съдимост на всички лица представляващи кандидата/партньора, издадено не по-рано от 6 месеца преди датата на представянето му;</w:t>
            </w:r>
          </w:p>
          <w:p w14:paraId="5B3B6C1F" w14:textId="556AC124"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6. Нотариално заверено пълномощно, в случаите, когато административния договор за безвъзмездна финансова помощ ще бъде подписан от лице, различно от законния/</w:t>
            </w:r>
            <w:proofErr w:type="spellStart"/>
            <w:r>
              <w:rPr>
                <w:rFonts w:ascii="Times New Roman" w:hAnsi="Times New Roman" w:cs="Times New Roman"/>
                <w:sz w:val="24"/>
                <w:szCs w:val="24"/>
              </w:rPr>
              <w:t>ите</w:t>
            </w:r>
            <w:proofErr w:type="spellEnd"/>
            <w:r>
              <w:rPr>
                <w:rFonts w:ascii="Times New Roman" w:hAnsi="Times New Roman" w:cs="Times New Roman"/>
                <w:sz w:val="24"/>
                <w:szCs w:val="24"/>
              </w:rPr>
              <w:t xml:space="preserve"> представител/и на кандидата;</w:t>
            </w:r>
          </w:p>
          <w:p w14:paraId="7B806880" w14:textId="36A0FA7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en-US"/>
              </w:rPr>
            </w:pPr>
            <w:r>
              <w:rPr>
                <w:rFonts w:ascii="Times New Roman" w:hAnsi="Times New Roman" w:cs="Times New Roman"/>
                <w:sz w:val="24"/>
                <w:szCs w:val="24"/>
              </w:rPr>
              <w:t>7. Декларация</w:t>
            </w:r>
            <w:r w:rsidR="0053509E">
              <w:rPr>
                <w:rFonts w:ascii="Times New Roman" w:hAnsi="Times New Roman" w:cs="Times New Roman"/>
                <w:sz w:val="24"/>
                <w:szCs w:val="24"/>
              </w:rPr>
              <w:t xml:space="preserve"> за разграничаване на икономическата и неикономическата дейност към датата на сключване на Административния договор</w:t>
            </w:r>
            <w:r w:rsidR="0053509E">
              <w:rPr>
                <w:rFonts w:ascii="Times New Roman" w:hAnsi="Times New Roman" w:cs="Times New Roman"/>
                <w:sz w:val="24"/>
                <w:szCs w:val="24"/>
                <w:lang w:val="en-US"/>
              </w:rPr>
              <w:t>(</w:t>
            </w:r>
            <w:r w:rsidR="0053509E">
              <w:rPr>
                <w:rFonts w:ascii="Times New Roman" w:hAnsi="Times New Roman" w:cs="Times New Roman"/>
                <w:sz w:val="24"/>
                <w:szCs w:val="24"/>
              </w:rPr>
              <w:t>ако е приложимо-за партньори ЮЛНЦ</w:t>
            </w:r>
            <w:r w:rsidR="0053509E">
              <w:rPr>
                <w:rFonts w:ascii="Times New Roman" w:hAnsi="Times New Roman" w:cs="Times New Roman"/>
                <w:sz w:val="24"/>
                <w:szCs w:val="24"/>
                <w:lang w:val="en-US"/>
              </w:rPr>
              <w:t>)]</w:t>
            </w:r>
          </w:p>
          <w:p w14:paraId="58B56618" w14:textId="79D8DE7E" w:rsidR="0053509E" w:rsidRDefault="0053509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 У</w:t>
            </w:r>
            <w:r w:rsidR="001E00AE">
              <w:rPr>
                <w:rFonts w:ascii="Times New Roman" w:hAnsi="Times New Roman" w:cs="Times New Roman"/>
                <w:sz w:val="24"/>
                <w:szCs w:val="24"/>
              </w:rPr>
              <w:t>достоверение от Главна инспекция по труда, че кандидатът/партньорът няма влязло в сила наказателно постановление или съдебно решение, за нарушение на чл.61, ал.1 чл.62, ал.1 или 3, чл.63, ал.1 или 2, чл. 118, чл.128, ал.3, чл.245 и чл. 301-305 от Кодекса на труда или чл.13 ал.1 от Закона за трудовата миграция и трудовата мобилност или аналогични задължения, установени с акт на компетентен орган.</w:t>
            </w:r>
          </w:p>
          <w:p w14:paraId="0FDC7060" w14:textId="5F7F68F7" w:rsidR="00361D2D" w:rsidRDefault="00361D2D"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361D2D">
              <w:rPr>
                <w:rFonts w:ascii="Times New Roman" w:hAnsi="Times New Roman" w:cs="Times New Roman"/>
                <w:b/>
                <w:sz w:val="24"/>
                <w:szCs w:val="24"/>
              </w:rPr>
              <w:t>За обстоятелствата по документите по т.1, 2, 3, 4, 5 и 8 УО на ОПНОИР извършва служебна проверка при възможност за това. В този случай документите няма да бъдат изисквани от съответния кандидат/партньор. УО на ОПНОИР си запазва правото да изиска допълнителни документи на удостоверяване на съответните обстоятелства.</w:t>
            </w:r>
          </w:p>
          <w:p w14:paraId="35EAAD96" w14:textId="77777777" w:rsidR="00E86703" w:rsidRPr="00361D2D" w:rsidRDefault="00E86703"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p>
          <w:p w14:paraId="7FF5A934" w14:textId="45402500" w:rsidR="0092464C" w:rsidRPr="006D082E" w:rsidRDefault="00EA3128"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Pr>
                <w:rFonts w:ascii="Times New Roman" w:hAnsi="Times New Roman" w:cs="Times New Roman"/>
                <w:b/>
                <w:sz w:val="24"/>
                <w:szCs w:val="24"/>
              </w:rPr>
              <w:t>5</w:t>
            </w:r>
            <w:r w:rsidR="006339CB" w:rsidRPr="006D082E">
              <w:rPr>
                <w:rFonts w:ascii="Times New Roman" w:hAnsi="Times New Roman" w:cs="Times New Roman"/>
                <w:b/>
                <w:sz w:val="24"/>
                <w:szCs w:val="24"/>
              </w:rPr>
              <w:t>.2. Процедура за сключване на Административен договор за безвъзмездна финансова помощ</w:t>
            </w:r>
          </w:p>
          <w:p w14:paraId="5C7B1D2C" w14:textId="4A270075" w:rsidR="0092464C" w:rsidRPr="00F50686" w:rsidRDefault="00FB13F7"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изпраща </w:t>
            </w:r>
            <w:r w:rsidR="006339CB" w:rsidRPr="006D082E">
              <w:rPr>
                <w:rFonts w:ascii="Times New Roman" w:hAnsi="Times New Roman" w:cs="Times New Roman"/>
                <w:sz w:val="24"/>
                <w:szCs w:val="24"/>
              </w:rPr>
              <w:t xml:space="preserve">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w:t>
            </w:r>
            <w:r w:rsidR="006339CB" w:rsidRPr="00F50686">
              <w:rPr>
                <w:rFonts w:ascii="Times New Roman" w:hAnsi="Times New Roman" w:cs="Times New Roman"/>
                <w:sz w:val="24"/>
                <w:szCs w:val="24"/>
              </w:rPr>
              <w:t xml:space="preserve">Административен договор </w:t>
            </w: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изисква всички описани документи в </w:t>
            </w:r>
            <w:r w:rsidR="006339CB" w:rsidRPr="00F50686">
              <w:rPr>
                <w:rFonts w:ascii="Times New Roman" w:hAnsi="Times New Roman" w:cs="Times New Roman"/>
                <w:sz w:val="24"/>
                <w:szCs w:val="24"/>
              </w:rPr>
              <w:lastRenderedPageBreak/>
              <w:t xml:space="preserve">Списъка на документите, които се представят на етап договаряне. Срокът за представяне на документите за договаряне е </w:t>
            </w:r>
            <w:r w:rsidR="009D3F30" w:rsidRPr="00F50686">
              <w:rPr>
                <w:rFonts w:ascii="Times New Roman" w:hAnsi="Times New Roman" w:cs="Times New Roman"/>
                <w:sz w:val="24"/>
                <w:szCs w:val="24"/>
              </w:rPr>
              <w:t>3</w:t>
            </w:r>
            <w:r w:rsidR="006339CB" w:rsidRPr="00F50686">
              <w:rPr>
                <w:rFonts w:ascii="Times New Roman" w:hAnsi="Times New Roman" w:cs="Times New Roman"/>
                <w:sz w:val="24"/>
                <w:szCs w:val="24"/>
              </w:rPr>
              <w:t>0 дни, считано от датата на получаване на поканата.</w:t>
            </w:r>
          </w:p>
          <w:p w14:paraId="57FDAE10" w14:textId="6D07405C" w:rsidR="0092464C"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b/>
                <w:i/>
                <w:sz w:val="24"/>
                <w:szCs w:val="24"/>
              </w:rPr>
              <w:t xml:space="preserve">Преди сключване на Административен договор за предоставяне на безвъзмездна финансова помощ УО та ОП НОИР извършва проверка </w:t>
            </w:r>
            <w:r w:rsidRPr="006D082E">
              <w:rPr>
                <w:rFonts w:ascii="Times New Roman" w:hAnsi="Times New Roman" w:cs="Times New Roman"/>
                <w:b/>
                <w:i/>
                <w:sz w:val="24"/>
                <w:szCs w:val="24"/>
              </w:rPr>
              <w:t>на</w:t>
            </w:r>
            <w:r w:rsidR="003B033F" w:rsidRPr="00E542A9">
              <w:rPr>
                <w:rFonts w:ascii="Times New Roman" w:hAnsi="Times New Roman" w:cs="Times New Roman"/>
                <w:b/>
                <w:i/>
                <w:sz w:val="24"/>
                <w:szCs w:val="24"/>
              </w:rPr>
              <w:t xml:space="preserve"> </w:t>
            </w:r>
            <w:r w:rsidRPr="006D082E">
              <w:rPr>
                <w:rFonts w:ascii="Times New Roman" w:hAnsi="Times New Roman" w:cs="Times New Roman"/>
                <w:b/>
                <w:sz w:val="24"/>
                <w:szCs w:val="24"/>
              </w:rPr>
              <w:t>съответствие на кандидатите</w:t>
            </w:r>
            <w:r w:rsidR="00FB13F7" w:rsidRPr="006D082E">
              <w:rPr>
                <w:rFonts w:ascii="Times New Roman" w:hAnsi="Times New Roman" w:cs="Times New Roman"/>
                <w:b/>
                <w:sz w:val="24"/>
                <w:szCs w:val="24"/>
              </w:rPr>
              <w:t xml:space="preserve"> и партньорите</w:t>
            </w:r>
            <w:r w:rsidRPr="006D082E">
              <w:rPr>
                <w:rFonts w:ascii="Times New Roman" w:hAnsi="Times New Roman" w:cs="Times New Roman"/>
                <w:b/>
                <w:sz w:val="24"/>
                <w:szCs w:val="24"/>
              </w:rPr>
              <w:t xml:space="preserve"> с изискванията на чл. 25, ал. 2 от ЗУСЕСИФ на основа на представените документи</w:t>
            </w:r>
            <w:r w:rsidR="003B033F" w:rsidRPr="00E542A9">
              <w:rPr>
                <w:rFonts w:ascii="Times New Roman" w:hAnsi="Times New Roman" w:cs="Times New Roman"/>
                <w:sz w:val="24"/>
                <w:szCs w:val="24"/>
              </w:rPr>
              <w:t>.</w:t>
            </w:r>
          </w:p>
          <w:p w14:paraId="2BE393CA"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703D3C8D"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поредността на класирането, до изчерпване на общия наличен бюджет по процедурата.</w:t>
            </w:r>
          </w:p>
          <w:p w14:paraId="396871E3" w14:textId="76E5E47B"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поредността на класирането, до изчерпване на наличния бюджет по процедурата. Уведомяването на всички кандидати се извършва само и единствено чрез ИСУН 2020.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9929728" w14:textId="513D3F24" w:rsidR="006339CB"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 НОИР и/или от бенефициентите на безвъзмездна финансова помощ по ОП НОИР, които при изпълнение на договор, сключен по проект финансиран от </w:t>
            </w:r>
            <w:r w:rsidR="00FB13F7" w:rsidRPr="006D082E">
              <w:rPr>
                <w:rFonts w:ascii="Times New Roman" w:hAnsi="Times New Roman" w:cs="Times New Roman"/>
                <w:sz w:val="24"/>
                <w:szCs w:val="24"/>
              </w:rPr>
              <w:t>Европейските структурни и инвестиционни фондове</w:t>
            </w:r>
            <w:r w:rsidRPr="006D082E">
              <w:rPr>
                <w:rFonts w:ascii="Times New Roman" w:hAnsi="Times New Roman" w:cs="Times New Roman"/>
                <w:sz w:val="24"/>
                <w:szCs w:val="24"/>
              </w:rPr>
              <w:t>, предоставят невярна и/или подвеждаща информация за вписване в регистъра и проверка.</w:t>
            </w:r>
          </w:p>
          <w:p w14:paraId="0034364B" w14:textId="34710565" w:rsidR="0093448B" w:rsidRPr="00F50686" w:rsidRDefault="00F50686"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eastAsia="Calibri" w:hAnsi="Times New Roman" w:cs="Times New Roman"/>
                <w:iCs/>
                <w:sz w:val="24"/>
                <w:szCs w:val="24"/>
              </w:rPr>
              <w:t>МИГ Свиленград Ареал подписва</w:t>
            </w:r>
            <w:r w:rsidR="0093448B" w:rsidRPr="00F50686">
              <w:rPr>
                <w:rFonts w:ascii="Times New Roman" w:eastAsia="Calibri" w:hAnsi="Times New Roman" w:cs="Times New Roman"/>
                <w:iCs/>
                <w:sz w:val="24"/>
                <w:szCs w:val="24"/>
              </w:rPr>
              <w:t xml:space="preserve"> договора като трета страна.</w:t>
            </w:r>
          </w:p>
          <w:p w14:paraId="51191EC9" w14:textId="686CDB7A" w:rsidR="0093448B" w:rsidRPr="006D082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F5BCC9C" w14:textId="282C6661" w:rsidR="00FB13F7" w:rsidRPr="001C09A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Правата и задълженията, които възникват за бенефициента са описани в приложения административен договор за предоставяне на безвъзмездна финансова помощ по Оперативна програма „Наука и образование за </w:t>
            </w:r>
            <w:r w:rsidRPr="00264A85">
              <w:rPr>
                <w:rFonts w:ascii="Times New Roman" w:hAnsi="Times New Roman" w:cs="Times New Roman"/>
                <w:sz w:val="24"/>
                <w:szCs w:val="24"/>
              </w:rPr>
              <w:t xml:space="preserve">интелигентен растеж” 2014-2020 </w:t>
            </w:r>
            <w:r w:rsidR="00536CA6" w:rsidRPr="00264A85">
              <w:rPr>
                <w:rFonts w:ascii="Times New Roman" w:hAnsi="Times New Roman" w:cs="Times New Roman"/>
                <w:sz w:val="24"/>
                <w:szCs w:val="24"/>
              </w:rPr>
              <w:t xml:space="preserve">г. </w:t>
            </w:r>
            <w:r w:rsidRPr="00264A85">
              <w:rPr>
                <w:rFonts w:ascii="Times New Roman" w:hAnsi="Times New Roman" w:cs="Times New Roman"/>
                <w:sz w:val="24"/>
                <w:szCs w:val="24"/>
              </w:rPr>
              <w:t>(</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w:t>
            </w:r>
            <w:r w:rsidRPr="00264A85">
              <w:rPr>
                <w:rFonts w:ascii="Times New Roman" w:hAnsi="Times New Roman" w:cs="Times New Roman"/>
                <w:sz w:val="24"/>
                <w:szCs w:val="24"/>
              </w:rPr>
              <w:t>) и общите условия при предоставяне на безвъзмездна финансова помощ по приоритетни оси 2 и 3 по Оперативна програма „Наука и образование за интелигентен растеж”</w:t>
            </w:r>
            <w:r w:rsidR="00600170"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2014-2020 г.</w:t>
            </w:r>
            <w:r w:rsidRPr="00264A85">
              <w:rPr>
                <w:rFonts w:ascii="Times New Roman" w:hAnsi="Times New Roman" w:cs="Times New Roman"/>
                <w:sz w:val="24"/>
                <w:szCs w:val="24"/>
              </w:rPr>
              <w:t xml:space="preserve"> (Приложение </w:t>
            </w:r>
            <w:r w:rsidR="00B22B4E" w:rsidRPr="00264A85">
              <w:rPr>
                <w:rFonts w:ascii="Times New Roman" w:hAnsi="Times New Roman" w:cs="Times New Roman"/>
                <w:sz w:val="24"/>
                <w:szCs w:val="24"/>
                <w:lang w:val="en-US"/>
              </w:rPr>
              <w:t>XIX</w:t>
            </w:r>
            <w:r w:rsidRPr="00264A85">
              <w:rPr>
                <w:rFonts w:ascii="Times New Roman" w:hAnsi="Times New Roman" w:cs="Times New Roman"/>
                <w:sz w:val="24"/>
                <w:szCs w:val="24"/>
              </w:rPr>
              <w:t xml:space="preserve">), които са неразделна част от договора за предоставяне на безвъзмездна финансова помощ). В процеса на изпълнение на проекта, бенефициентът следва да се придържа към правилата и </w:t>
            </w:r>
            <w:r w:rsidRPr="00264A85">
              <w:rPr>
                <w:rFonts w:ascii="Times New Roman" w:hAnsi="Times New Roman" w:cs="Times New Roman"/>
                <w:sz w:val="24"/>
                <w:szCs w:val="24"/>
              </w:rPr>
              <w:lastRenderedPageBreak/>
              <w:t xml:space="preserve">процедурите, описани в </w:t>
            </w:r>
            <w:r w:rsidRPr="00264A85">
              <w:rPr>
                <w:rFonts w:ascii="Times New Roman" w:hAnsi="Times New Roman" w:cs="Times New Roman"/>
                <w:b/>
                <w:sz w:val="24"/>
                <w:szCs w:val="24"/>
              </w:rPr>
              <w:t xml:space="preserve">ръководството за </w:t>
            </w:r>
            <w:r w:rsidRPr="006D082E">
              <w:rPr>
                <w:rFonts w:ascii="Times New Roman" w:hAnsi="Times New Roman" w:cs="Times New Roman"/>
                <w:b/>
                <w:sz w:val="24"/>
                <w:szCs w:val="24"/>
              </w:rPr>
              <w:t>изпълнение на договори за безвъзмездна финансова помощ по приоритетни оси 2 и 3 на ОП НОИР</w:t>
            </w:r>
            <w:r w:rsidRPr="006D082E">
              <w:rPr>
                <w:rFonts w:ascii="Times New Roman" w:hAnsi="Times New Roman" w:cs="Times New Roman"/>
                <w:sz w:val="24"/>
                <w:szCs w:val="24"/>
              </w:rPr>
              <w:t xml:space="preserve"> - </w:t>
            </w:r>
            <w:hyperlink r:id="rId13" w:history="1">
              <w:r w:rsidRPr="006D082E">
                <w:rPr>
                  <w:rStyle w:val="a7"/>
                  <w:rFonts w:ascii="Times New Roman" w:hAnsi="Times New Roman" w:cs="Times New Roman"/>
                  <w:sz w:val="24"/>
                  <w:szCs w:val="24"/>
                </w:rPr>
                <w:t>http://sf.mon.bg/?go=page&amp;pageId=139</w:t>
              </w:r>
            </w:hyperlink>
            <w:r w:rsidR="001C09AE">
              <w:rPr>
                <w:rFonts w:ascii="Times New Roman" w:hAnsi="Times New Roman" w:cs="Times New Roman"/>
                <w:sz w:val="24"/>
                <w:szCs w:val="24"/>
              </w:rPr>
              <w:t xml:space="preserve"> .</w:t>
            </w:r>
          </w:p>
        </w:tc>
      </w:tr>
    </w:tbl>
    <w:p w14:paraId="5D24E3AA" w14:textId="77777777" w:rsidR="001D1FAE" w:rsidRDefault="001D1FAE" w:rsidP="006479FB">
      <w:pPr>
        <w:spacing w:after="120" w:line="240" w:lineRule="auto"/>
        <w:jc w:val="both"/>
        <w:rPr>
          <w:rFonts w:ascii="Times New Roman" w:hAnsi="Times New Roman" w:cs="Times New Roman"/>
          <w:sz w:val="24"/>
          <w:szCs w:val="24"/>
        </w:rPr>
      </w:pPr>
    </w:p>
    <w:p w14:paraId="7BCDBF83" w14:textId="77777777" w:rsidR="00AD731B" w:rsidRDefault="00AD731B" w:rsidP="006479FB">
      <w:pPr>
        <w:spacing w:after="120" w:line="240" w:lineRule="auto"/>
        <w:jc w:val="both"/>
        <w:rPr>
          <w:rFonts w:ascii="Times New Roman" w:hAnsi="Times New Roman" w:cs="Times New Roman"/>
          <w:sz w:val="24"/>
          <w:szCs w:val="24"/>
        </w:rPr>
      </w:pPr>
    </w:p>
    <w:p w14:paraId="1F38F8CE" w14:textId="77777777" w:rsidR="00AD731B" w:rsidRDefault="00AD731B"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A777C" w14:paraId="6B6CEBC7" w14:textId="77777777" w:rsidTr="00CA777C">
        <w:tc>
          <w:tcPr>
            <w:tcW w:w="10207" w:type="dxa"/>
          </w:tcPr>
          <w:p w14:paraId="6B3EE87E" w14:textId="2BBEF729" w:rsidR="00CA777C" w:rsidRPr="009512B9"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t>26</w:t>
            </w:r>
            <w:r w:rsidR="00CA777C" w:rsidRPr="009512B9">
              <w:rPr>
                <w:rFonts w:ascii="Times New Roman" w:hAnsi="Times New Roman" w:cs="Times New Roman"/>
                <w:b/>
                <w:sz w:val="24"/>
                <w:szCs w:val="24"/>
              </w:rPr>
              <w:t>. Приложения към Условията за кандидатстване:</w:t>
            </w:r>
          </w:p>
          <w:p w14:paraId="7FEE8D9B" w14:textId="44EAED0D" w:rsidR="00D15720" w:rsidRDefault="00CA777C" w:rsidP="006479FB">
            <w:pPr>
              <w:spacing w:after="120"/>
              <w:jc w:val="both"/>
              <w:rPr>
                <w:rFonts w:ascii="Times New Roman" w:hAnsi="Times New Roman" w:cs="Times New Roman"/>
                <w:sz w:val="24"/>
                <w:szCs w:val="24"/>
              </w:rPr>
            </w:pPr>
            <w:r w:rsidRPr="009512B9">
              <w:rPr>
                <w:rFonts w:ascii="Times New Roman" w:hAnsi="Times New Roman" w:cs="Times New Roman"/>
                <w:sz w:val="24"/>
                <w:szCs w:val="24"/>
              </w:rPr>
              <w:t>Документите за попълване задължително се попълват от кандидата</w:t>
            </w:r>
            <w:r w:rsidR="006A6B79">
              <w:rPr>
                <w:rFonts w:ascii="Times New Roman" w:hAnsi="Times New Roman" w:cs="Times New Roman"/>
                <w:sz w:val="24"/>
                <w:szCs w:val="24"/>
              </w:rPr>
              <w:t xml:space="preserve"> и партньорите</w:t>
            </w:r>
            <w:r w:rsidRPr="009512B9">
              <w:rPr>
                <w:rFonts w:ascii="Times New Roman" w:hAnsi="Times New Roman" w:cs="Times New Roman"/>
                <w:sz w:val="24"/>
                <w:szCs w:val="24"/>
              </w:rPr>
              <w:t xml:space="preserve"> и се прилагат</w:t>
            </w:r>
            <w:r w:rsidR="00821222">
              <w:rPr>
                <w:rFonts w:ascii="Times New Roman" w:hAnsi="Times New Roman" w:cs="Times New Roman"/>
                <w:sz w:val="24"/>
                <w:szCs w:val="24"/>
              </w:rPr>
              <w:t xml:space="preserve"> при кандидатстване.</w:t>
            </w:r>
          </w:p>
          <w:p w14:paraId="1B0CC71F" w14:textId="77AD638F" w:rsidR="007217F6"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Приложения за попълване :</w:t>
            </w:r>
          </w:p>
          <w:p w14:paraId="543FA768" w14:textId="1006CB25"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1. Декларация по чл. 25, ал. 2 от Закона за управление на средствата от европейските структурни и инвестиционни фондове </w:t>
            </w:r>
            <w:r w:rsidR="00DD3734" w:rsidRPr="00264A85">
              <w:rPr>
                <w:rFonts w:ascii="Times New Roman" w:hAnsi="Times New Roman" w:cs="Times New Roman"/>
                <w:sz w:val="24"/>
                <w:szCs w:val="24"/>
              </w:rPr>
              <w:t xml:space="preserve">(Приложение </w:t>
            </w:r>
            <w:r w:rsidR="00DD3734" w:rsidRPr="00264A85">
              <w:rPr>
                <w:rFonts w:ascii="Times New Roman" w:hAnsi="Times New Roman" w:cs="Times New Roman"/>
                <w:sz w:val="24"/>
                <w:szCs w:val="24"/>
                <w:lang w:val="en-US"/>
              </w:rPr>
              <w:t>I</w:t>
            </w:r>
            <w:r w:rsidR="00DD3734" w:rsidRPr="00264A85">
              <w:rPr>
                <w:rFonts w:ascii="Times New Roman" w:hAnsi="Times New Roman" w:cs="Times New Roman"/>
                <w:sz w:val="24"/>
                <w:szCs w:val="24"/>
              </w:rPr>
              <w:t xml:space="preserve"> към Условията за кандидатстване)</w:t>
            </w:r>
          </w:p>
          <w:p w14:paraId="290634FF"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от кандидата относно задължението да представя оригинали на УО, попълнена по образец (Приложение II към Условията за кандидатстване).</w:t>
            </w:r>
          </w:p>
          <w:p w14:paraId="6E2BE9E9"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3. Декларация за съгласие на кандидата и на партньора за ползване и разпространение на обобщените данни по проекта от УО и от НСИ,  попълнена по образец (Приложение III към Условията за кандидатстване).</w:t>
            </w:r>
          </w:p>
          <w:p w14:paraId="25B9703B" w14:textId="128E6155" w:rsidR="007217F6" w:rsidRPr="00264A85" w:rsidRDefault="00264A85" w:rsidP="006479FB">
            <w:pPr>
              <w:spacing w:after="120"/>
              <w:jc w:val="both"/>
              <w:rPr>
                <w:rFonts w:ascii="Times New Roman" w:hAnsi="Times New Roman" w:cs="Times New Roman"/>
                <w:sz w:val="24"/>
                <w:szCs w:val="24"/>
              </w:rPr>
            </w:pPr>
            <w:r>
              <w:rPr>
                <w:rFonts w:ascii="Times New Roman" w:hAnsi="Times New Roman" w:cs="Times New Roman"/>
                <w:sz w:val="24"/>
                <w:szCs w:val="24"/>
              </w:rPr>
              <w:t>4. Декларация за липс</w:t>
            </w:r>
            <w:r w:rsidR="007217F6" w:rsidRPr="00264A85">
              <w:rPr>
                <w:rFonts w:ascii="Times New Roman" w:hAnsi="Times New Roman" w:cs="Times New Roman"/>
                <w:sz w:val="24"/>
                <w:szCs w:val="24"/>
              </w:rPr>
              <w:t>а на двойно финансиране от кандидата и от партньорите, попълнена по образец (Приложение IV към Условията за кандидатстване).</w:t>
            </w:r>
          </w:p>
          <w:p w14:paraId="56134027" w14:textId="70C7616B"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5. Декларация за разграничаване на икономическата от неикономическ</w:t>
            </w:r>
            <w:r w:rsidR="0093448B" w:rsidRPr="00264A85">
              <w:rPr>
                <w:rFonts w:ascii="Times New Roman" w:hAnsi="Times New Roman" w:cs="Times New Roman"/>
                <w:sz w:val="24"/>
                <w:szCs w:val="24"/>
              </w:rPr>
              <w:t>а</w:t>
            </w:r>
            <w:r w:rsidRPr="00264A85">
              <w:rPr>
                <w:rFonts w:ascii="Times New Roman" w:hAnsi="Times New Roman" w:cs="Times New Roman"/>
                <w:sz w:val="24"/>
                <w:szCs w:val="24"/>
              </w:rPr>
              <w:t>та дейност, когато е приложимо – за партньори ЮЛНЦ (Приложение V).</w:t>
            </w:r>
          </w:p>
          <w:p w14:paraId="3B910544"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Споразумение за партньорство (Приложение VI).</w:t>
            </w:r>
          </w:p>
          <w:p w14:paraId="4583C729" w14:textId="42893004"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7. Детайлна разбивка на разходите – Приложение VII</w:t>
            </w:r>
            <w:r w:rsidR="00FF21BC" w:rsidRPr="00264A85">
              <w:rPr>
                <w:rFonts w:ascii="Times New Roman" w:hAnsi="Times New Roman" w:cs="Times New Roman"/>
                <w:sz w:val="24"/>
                <w:szCs w:val="24"/>
              </w:rPr>
              <w:t>.</w:t>
            </w:r>
          </w:p>
          <w:p w14:paraId="1C555DE6" w14:textId="6B7C5858"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8. Автобиография – Приложение VIII.</w:t>
            </w:r>
          </w:p>
          <w:p w14:paraId="7DBB736F" w14:textId="77777777" w:rsidR="00D15720" w:rsidRPr="00264A85" w:rsidRDefault="00D15720" w:rsidP="006479FB">
            <w:pPr>
              <w:spacing w:after="120"/>
              <w:jc w:val="both"/>
              <w:rPr>
                <w:rFonts w:ascii="Times New Roman" w:hAnsi="Times New Roman" w:cs="Times New Roman"/>
                <w:b/>
                <w:sz w:val="24"/>
                <w:szCs w:val="24"/>
              </w:rPr>
            </w:pPr>
          </w:p>
          <w:p w14:paraId="2F918756" w14:textId="0E11C4CA" w:rsidR="007217F6" w:rsidRPr="00264A85" w:rsidRDefault="00821222" w:rsidP="006479FB">
            <w:pPr>
              <w:spacing w:after="120"/>
              <w:jc w:val="both"/>
              <w:rPr>
                <w:rFonts w:ascii="Times New Roman" w:hAnsi="Times New Roman" w:cs="Times New Roman"/>
                <w:sz w:val="24"/>
                <w:szCs w:val="24"/>
              </w:rPr>
            </w:pPr>
            <w:r w:rsidRPr="00264A85">
              <w:rPr>
                <w:rFonts w:ascii="Times New Roman" w:hAnsi="Times New Roman" w:cs="Times New Roman"/>
                <w:b/>
                <w:sz w:val="24"/>
                <w:szCs w:val="24"/>
              </w:rPr>
              <w:t>Приложения за информация</w:t>
            </w:r>
            <w:r w:rsidR="007217F6" w:rsidRPr="00264A85">
              <w:rPr>
                <w:rFonts w:ascii="Times New Roman" w:hAnsi="Times New Roman" w:cs="Times New Roman"/>
                <w:b/>
                <w:sz w:val="24"/>
                <w:szCs w:val="24"/>
              </w:rPr>
              <w:t>:</w:t>
            </w:r>
          </w:p>
          <w:p w14:paraId="2AF27886" w14:textId="43928D29" w:rsidR="00CA777C" w:rsidRPr="00264A85" w:rsidRDefault="006A6B79"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AA6850" w:rsidRPr="00264A85">
              <w:rPr>
                <w:rFonts w:ascii="Times New Roman" w:hAnsi="Times New Roman" w:cs="Times New Roman"/>
                <w:sz w:val="24"/>
                <w:szCs w:val="24"/>
              </w:rPr>
              <w:t xml:space="preserve"> </w:t>
            </w:r>
            <w:r w:rsidR="00FF21BC" w:rsidRPr="00264A85">
              <w:rPr>
                <w:rFonts w:ascii="Times New Roman" w:hAnsi="Times New Roman" w:cs="Times New Roman"/>
                <w:sz w:val="24"/>
                <w:szCs w:val="24"/>
              </w:rPr>
              <w:t>Примерни у</w:t>
            </w:r>
            <w:r w:rsidR="00CA777C" w:rsidRPr="00264A85">
              <w:rPr>
                <w:rFonts w:ascii="Times New Roman" w:hAnsi="Times New Roman" w:cs="Times New Roman"/>
                <w:sz w:val="24"/>
                <w:szCs w:val="24"/>
              </w:rPr>
              <w:t>казания за попълване на електронен Формуляр за кандидатстване</w:t>
            </w:r>
            <w:r w:rsidR="00FF21BC" w:rsidRPr="00264A85">
              <w:rPr>
                <w:rFonts w:ascii="Times New Roman" w:hAnsi="Times New Roman" w:cs="Times New Roman"/>
                <w:sz w:val="24"/>
                <w:szCs w:val="24"/>
              </w:rPr>
              <w:t xml:space="preserve"> по конкретната процедура</w:t>
            </w:r>
            <w:r w:rsidR="00CA777C" w:rsidRPr="00264A85">
              <w:rPr>
                <w:rFonts w:ascii="Times New Roman" w:hAnsi="Times New Roman" w:cs="Times New Roman"/>
                <w:sz w:val="24"/>
                <w:szCs w:val="24"/>
              </w:rPr>
              <w:t xml:space="preserve"> (ако е приложимо)</w:t>
            </w:r>
            <w:r w:rsidR="00FF21BC" w:rsidRPr="00264A85">
              <w:rPr>
                <w:rFonts w:ascii="Times New Roman" w:hAnsi="Times New Roman" w:cs="Times New Roman"/>
                <w:sz w:val="24"/>
                <w:szCs w:val="24"/>
              </w:rPr>
              <w:t xml:space="preserve"> – Приложение </w:t>
            </w:r>
            <w:r w:rsidR="00FF21BC" w:rsidRPr="00264A85">
              <w:rPr>
                <w:rFonts w:ascii="Times New Roman" w:hAnsi="Times New Roman" w:cs="Times New Roman"/>
                <w:sz w:val="24"/>
                <w:szCs w:val="24"/>
                <w:lang w:val="en-US"/>
              </w:rPr>
              <w:t>IX</w:t>
            </w:r>
            <w:r w:rsidR="00FF21BC" w:rsidRPr="00264A85">
              <w:rPr>
                <w:rFonts w:ascii="Times New Roman" w:hAnsi="Times New Roman" w:cs="Times New Roman"/>
                <w:sz w:val="24"/>
                <w:szCs w:val="24"/>
              </w:rPr>
              <w:t>.</w:t>
            </w:r>
          </w:p>
          <w:p w14:paraId="45893023" w14:textId="464E21EC" w:rsidR="00CA777C"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w:t>
            </w:r>
            <w:r w:rsidR="006A6B79" w:rsidRPr="00264A85">
              <w:rPr>
                <w:rFonts w:ascii="Times New Roman" w:hAnsi="Times New Roman" w:cs="Times New Roman"/>
                <w:sz w:val="24"/>
                <w:szCs w:val="24"/>
              </w:rPr>
              <w:t>.</w:t>
            </w:r>
            <w:r w:rsidR="00CA777C" w:rsidRPr="00264A8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на средствата от ЕС в програмния период 2014-2020 г. „ИСУН 2020“, утвърдени от заместник министър-председателя по европейските фондове и икономическата политика</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w:t>
            </w:r>
            <w:r w:rsidRPr="00264A85">
              <w:rPr>
                <w:rFonts w:ascii="Times New Roman" w:hAnsi="Times New Roman" w:cs="Times New Roman"/>
                <w:sz w:val="24"/>
                <w:szCs w:val="24"/>
              </w:rPr>
              <w:t>.</w:t>
            </w:r>
          </w:p>
          <w:p w14:paraId="5BB5DCCE" w14:textId="7153993D" w:rsidR="006A6B79"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3</w:t>
            </w:r>
            <w:r w:rsidR="006A6B79" w:rsidRPr="00264A85">
              <w:rPr>
                <w:rFonts w:ascii="Times New Roman" w:hAnsi="Times New Roman" w:cs="Times New Roman"/>
                <w:sz w:val="24"/>
                <w:szCs w:val="24"/>
              </w:rPr>
              <w:t>. Таблица за оценка на административното съответствие и допустимостта на проектно предложение</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XI</w:t>
            </w:r>
            <w:r w:rsidR="00076531" w:rsidRPr="00264A85">
              <w:rPr>
                <w:rFonts w:ascii="Times New Roman" w:hAnsi="Times New Roman" w:cs="Times New Roman"/>
                <w:sz w:val="24"/>
                <w:szCs w:val="24"/>
              </w:rPr>
              <w:t>.</w:t>
            </w:r>
          </w:p>
          <w:p w14:paraId="45DAF4A7" w14:textId="39133F2F"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4</w:t>
            </w:r>
            <w:r w:rsidR="006A6B79" w:rsidRPr="00264A85">
              <w:rPr>
                <w:rFonts w:ascii="Times New Roman" w:hAnsi="Times New Roman" w:cs="Times New Roman"/>
                <w:sz w:val="24"/>
                <w:szCs w:val="24"/>
              </w:rPr>
              <w:t>. Методология за оценка на техническо и финансово качество на проектно предложение</w:t>
            </w:r>
            <w:r w:rsidR="00FF21BC" w:rsidRPr="00264A85">
              <w:rPr>
                <w:rFonts w:ascii="Times New Roman" w:hAnsi="Times New Roman" w:cs="Times New Roman"/>
                <w:sz w:val="24"/>
                <w:szCs w:val="24"/>
              </w:rPr>
              <w:t xml:space="preserve"> – Приложение XII.</w:t>
            </w:r>
          </w:p>
          <w:p w14:paraId="6EA4E52F" w14:textId="6349F9E1"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r w:rsidR="006A6B79" w:rsidRPr="00264A85">
              <w:rPr>
                <w:rFonts w:ascii="Times New Roman" w:hAnsi="Times New Roman" w:cs="Times New Roman"/>
                <w:sz w:val="24"/>
                <w:szCs w:val="24"/>
              </w:rPr>
              <w:t xml:space="preserve">. </w:t>
            </w:r>
            <w:r w:rsidR="00260D3B" w:rsidRPr="00264A85">
              <w:rPr>
                <w:rFonts w:ascii="Times New Roman" w:hAnsi="Times New Roman" w:cs="Times New Roman"/>
                <w:sz w:val="24"/>
                <w:szCs w:val="24"/>
              </w:rPr>
              <w:t>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w:t>
            </w:r>
            <w:r w:rsidR="00FF21BC"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 xml:space="preserve">2014-2020 г. </w:t>
            </w:r>
            <w:r w:rsidR="00FF21BC" w:rsidRPr="00264A85">
              <w:rPr>
                <w:rFonts w:ascii="Times New Roman" w:hAnsi="Times New Roman" w:cs="Times New Roman"/>
                <w:sz w:val="24"/>
                <w:szCs w:val="24"/>
              </w:rPr>
              <w:t>– Приложение XIII</w:t>
            </w:r>
            <w:r w:rsidR="00A94628" w:rsidRPr="00264A85">
              <w:rPr>
                <w:rFonts w:ascii="Times New Roman" w:hAnsi="Times New Roman" w:cs="Times New Roman"/>
                <w:sz w:val="24"/>
                <w:szCs w:val="24"/>
              </w:rPr>
              <w:t>.</w:t>
            </w:r>
          </w:p>
          <w:p w14:paraId="6C958E9E" w14:textId="246DDFF8"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6</w:t>
            </w:r>
            <w:r w:rsidR="00260D3B" w:rsidRPr="00264A85">
              <w:rPr>
                <w:rFonts w:ascii="Times New Roman" w:hAnsi="Times New Roman" w:cs="Times New Roman"/>
                <w:sz w:val="24"/>
                <w:szCs w:val="24"/>
              </w:rPr>
              <w:t>. Методология за определяне на единна ставка за финансиране на дейности за организация и управление при процедури за конкурентен подбор по приоритетни оси</w:t>
            </w:r>
            <w:r w:rsidR="00A94628" w:rsidRPr="00264A85">
              <w:rPr>
                <w:rFonts w:ascii="Times New Roman" w:hAnsi="Times New Roman" w:cs="Times New Roman"/>
                <w:sz w:val="24"/>
                <w:szCs w:val="24"/>
              </w:rPr>
              <w:t xml:space="preserve"> 2 и 3 на ОП НОИР – Приложение </w:t>
            </w:r>
            <w:r w:rsidR="00A94628" w:rsidRPr="00264A85">
              <w:rPr>
                <w:rFonts w:ascii="Times New Roman" w:hAnsi="Times New Roman" w:cs="Times New Roman"/>
                <w:sz w:val="24"/>
                <w:szCs w:val="24"/>
                <w:lang w:val="en-US"/>
              </w:rPr>
              <w:t>XIV</w:t>
            </w:r>
            <w:r w:rsidR="00A94628" w:rsidRPr="00264A85">
              <w:rPr>
                <w:rFonts w:ascii="Times New Roman" w:hAnsi="Times New Roman" w:cs="Times New Roman"/>
                <w:sz w:val="24"/>
                <w:szCs w:val="24"/>
              </w:rPr>
              <w:t>.</w:t>
            </w:r>
          </w:p>
          <w:p w14:paraId="6A1DDC51" w14:textId="2367CA5F"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7</w:t>
            </w:r>
            <w:r w:rsidR="00260D3B" w:rsidRPr="00264A85">
              <w:rPr>
                <w:rFonts w:ascii="Times New Roman" w:hAnsi="Times New Roman" w:cs="Times New Roman"/>
                <w:sz w:val="24"/>
                <w:szCs w:val="24"/>
              </w:rPr>
              <w:t>.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92537C" w:rsidRPr="00264A85">
              <w:rPr>
                <w:rFonts w:ascii="Times New Roman" w:hAnsi="Times New Roman" w:cs="Times New Roman"/>
                <w:sz w:val="24"/>
                <w:szCs w:val="24"/>
              </w:rPr>
              <w:t xml:space="preserve"> – Приложение </w:t>
            </w:r>
            <w:r w:rsidR="0092537C" w:rsidRPr="00264A85">
              <w:rPr>
                <w:rFonts w:ascii="Times New Roman" w:hAnsi="Times New Roman" w:cs="Times New Roman"/>
                <w:sz w:val="24"/>
                <w:szCs w:val="24"/>
                <w:lang w:val="en-US"/>
              </w:rPr>
              <w:t>XV</w:t>
            </w:r>
            <w:r w:rsidR="00260D3B" w:rsidRPr="00264A85">
              <w:rPr>
                <w:rFonts w:ascii="Times New Roman" w:hAnsi="Times New Roman" w:cs="Times New Roman"/>
                <w:sz w:val="24"/>
                <w:szCs w:val="24"/>
              </w:rPr>
              <w:t>;</w:t>
            </w:r>
          </w:p>
          <w:p w14:paraId="21C75039" w14:textId="5756D66A"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8</w:t>
            </w:r>
            <w:r w:rsidR="00260D3B" w:rsidRPr="00264A85">
              <w:rPr>
                <w:rFonts w:ascii="Times New Roman" w:hAnsi="Times New Roman" w:cs="Times New Roman"/>
                <w:sz w:val="24"/>
                <w:szCs w:val="24"/>
              </w:rPr>
              <w:t>. Формуляр за кандидатстване – Прил</w:t>
            </w:r>
            <w:r w:rsidR="0092537C" w:rsidRPr="00264A85">
              <w:rPr>
                <w:rFonts w:ascii="Times New Roman" w:hAnsi="Times New Roman" w:cs="Times New Roman"/>
                <w:sz w:val="24"/>
                <w:szCs w:val="24"/>
              </w:rPr>
              <w:t>ожение XVI</w:t>
            </w:r>
            <w:r w:rsidR="000D7A9C" w:rsidRPr="00264A85">
              <w:rPr>
                <w:rFonts w:ascii="Times New Roman" w:hAnsi="Times New Roman" w:cs="Times New Roman"/>
                <w:sz w:val="24"/>
                <w:szCs w:val="24"/>
              </w:rPr>
              <w:t>;</w:t>
            </w:r>
          </w:p>
          <w:p w14:paraId="1928480B" w14:textId="31703D37" w:rsidR="00367FDA"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9</w:t>
            </w:r>
            <w:r w:rsidR="007217F6" w:rsidRPr="00264A85">
              <w:rPr>
                <w:rFonts w:ascii="Times New Roman" w:hAnsi="Times New Roman" w:cs="Times New Roman"/>
                <w:sz w:val="24"/>
                <w:szCs w:val="24"/>
              </w:rPr>
              <w:t>. Методология за определяне принадлежност към целевата група – Приложение</w:t>
            </w:r>
            <w:r w:rsidR="0092537C" w:rsidRPr="00264A85">
              <w:rPr>
                <w:rFonts w:ascii="Times New Roman" w:hAnsi="Times New Roman" w:cs="Times New Roman"/>
                <w:sz w:val="24"/>
                <w:szCs w:val="24"/>
              </w:rPr>
              <w:t xml:space="preserve"> XVII</w:t>
            </w:r>
            <w:r w:rsidR="000D7A9C" w:rsidRPr="00264A85">
              <w:rPr>
                <w:rFonts w:ascii="Times New Roman" w:hAnsi="Times New Roman" w:cs="Times New Roman"/>
                <w:sz w:val="24"/>
                <w:szCs w:val="24"/>
              </w:rPr>
              <w:t>;</w:t>
            </w:r>
          </w:p>
          <w:p w14:paraId="39E93D39" w14:textId="5173CBD6" w:rsidR="003E5286" w:rsidRPr="00264A85" w:rsidRDefault="003E5286" w:rsidP="006479FB">
            <w:pPr>
              <w:spacing w:after="120"/>
              <w:jc w:val="both"/>
              <w:rPr>
                <w:rFonts w:ascii="Times New Roman" w:hAnsi="Times New Roman" w:cs="Times New Roman"/>
                <w:sz w:val="24"/>
                <w:szCs w:val="24"/>
              </w:rPr>
            </w:pPr>
            <w:r>
              <w:rPr>
                <w:rFonts w:ascii="Times New Roman" w:hAnsi="Times New Roman" w:cs="Times New Roman"/>
                <w:sz w:val="24"/>
                <w:szCs w:val="24"/>
              </w:rPr>
              <w:t>10.</w:t>
            </w:r>
            <w:r>
              <w:t xml:space="preserve"> </w:t>
            </w:r>
            <w:r w:rsidRPr="003E5286">
              <w:rPr>
                <w:rFonts w:ascii="Times New Roman" w:hAnsi="Times New Roman" w:cs="Times New Roman"/>
                <w:sz w:val="24"/>
                <w:szCs w:val="24"/>
              </w:rPr>
              <w:t>Правила за работа на Комисия за подбор на проекти, назначавана от МИГ, по процедури за предоставяне на безвъзмездна финансова помощ по Оперативна програма „Наука и образование за интелигентен растеж“ 2014-2020 г. (ОП НОИР) в изпълнение на подхода Водено от общностите местно развитие - Приложение XXIV</w:t>
            </w:r>
          </w:p>
          <w:p w14:paraId="3100B631" w14:textId="77777777" w:rsidR="001C09AE" w:rsidRPr="00264A85" w:rsidRDefault="001C09AE" w:rsidP="006479FB">
            <w:pPr>
              <w:spacing w:after="120"/>
              <w:jc w:val="both"/>
              <w:rPr>
                <w:rFonts w:ascii="Times New Roman" w:hAnsi="Times New Roman" w:cs="Times New Roman"/>
                <w:sz w:val="24"/>
                <w:szCs w:val="24"/>
              </w:rPr>
            </w:pPr>
          </w:p>
          <w:p w14:paraId="71813087" w14:textId="332CB6DB" w:rsidR="00CA777C"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Условия за изпълнение:</w:t>
            </w:r>
          </w:p>
          <w:p w14:paraId="042F9991" w14:textId="4A992D76" w:rsidR="00CA777C"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CA777C" w:rsidRPr="00264A85">
              <w:rPr>
                <w:rFonts w:ascii="Times New Roman" w:hAnsi="Times New Roman" w:cs="Times New Roman"/>
                <w:sz w:val="24"/>
                <w:szCs w:val="24"/>
              </w:rPr>
              <w:t xml:space="preserve">. Декларация </w:t>
            </w:r>
            <w:r w:rsidR="007217F6" w:rsidRPr="00264A85">
              <w:rPr>
                <w:rFonts w:ascii="Times New Roman" w:hAnsi="Times New Roman" w:cs="Times New Roman"/>
                <w:sz w:val="24"/>
                <w:szCs w:val="24"/>
              </w:rPr>
              <w:t xml:space="preserve">за нередности </w:t>
            </w:r>
            <w:r w:rsidR="00805537" w:rsidRPr="00264A85">
              <w:rPr>
                <w:rFonts w:ascii="Times New Roman" w:hAnsi="Times New Roman" w:cs="Times New Roman"/>
                <w:sz w:val="24"/>
                <w:szCs w:val="24"/>
              </w:rPr>
              <w:t>–</w:t>
            </w:r>
            <w:r w:rsidR="007217F6" w:rsidRPr="00264A85">
              <w:rPr>
                <w:rFonts w:ascii="Times New Roman" w:hAnsi="Times New Roman" w:cs="Times New Roman"/>
                <w:sz w:val="24"/>
                <w:szCs w:val="24"/>
              </w:rPr>
              <w:t xml:space="preserve"> Приложени</w:t>
            </w:r>
            <w:r w:rsidR="00805537" w:rsidRPr="00264A85">
              <w:rPr>
                <w:rFonts w:ascii="Times New Roman" w:hAnsi="Times New Roman" w:cs="Times New Roman"/>
                <w:sz w:val="24"/>
                <w:szCs w:val="24"/>
              </w:rPr>
              <w:t xml:space="preserve">е </w:t>
            </w:r>
            <w:r w:rsidR="00805537" w:rsidRPr="00264A85">
              <w:rPr>
                <w:rFonts w:ascii="Times New Roman" w:hAnsi="Times New Roman" w:cs="Times New Roman"/>
                <w:sz w:val="24"/>
                <w:szCs w:val="24"/>
                <w:lang w:val="en-US"/>
              </w:rPr>
              <w:t>XVIII</w:t>
            </w:r>
            <w:r w:rsidR="00805537" w:rsidRPr="00264A85">
              <w:rPr>
                <w:rFonts w:ascii="Times New Roman" w:hAnsi="Times New Roman" w:cs="Times New Roman"/>
                <w:sz w:val="24"/>
                <w:szCs w:val="24"/>
              </w:rPr>
              <w:t>.</w:t>
            </w:r>
          </w:p>
          <w:p w14:paraId="65A7476E" w14:textId="061AB5D2"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2. </w:t>
            </w:r>
            <w:r w:rsidR="007217F6" w:rsidRPr="00264A85">
              <w:rPr>
                <w:rFonts w:ascii="Times New Roman" w:hAnsi="Times New Roman" w:cs="Times New Roman"/>
                <w:sz w:val="24"/>
                <w:szCs w:val="24"/>
              </w:rPr>
              <w:t xml:space="preserve">Общи условия за предоставяне на БФП по </w:t>
            </w:r>
            <w:proofErr w:type="spellStart"/>
            <w:r w:rsidR="007217F6" w:rsidRPr="00264A85">
              <w:rPr>
                <w:rFonts w:ascii="Times New Roman" w:hAnsi="Times New Roman" w:cs="Times New Roman"/>
                <w:sz w:val="24"/>
                <w:szCs w:val="24"/>
              </w:rPr>
              <w:t>ПО</w:t>
            </w:r>
            <w:proofErr w:type="spellEnd"/>
            <w:r w:rsidR="007217F6" w:rsidRPr="00264A85">
              <w:rPr>
                <w:rFonts w:ascii="Times New Roman" w:hAnsi="Times New Roman" w:cs="Times New Roman"/>
                <w:sz w:val="24"/>
                <w:szCs w:val="24"/>
              </w:rPr>
              <w:t xml:space="preserve"> 2 и 3 на ОП</w:t>
            </w:r>
            <w:r w:rsidR="00536CA6" w:rsidRPr="00264A85">
              <w:rPr>
                <w:rFonts w:ascii="Times New Roman" w:hAnsi="Times New Roman" w:cs="Times New Roman"/>
                <w:sz w:val="24"/>
                <w:szCs w:val="24"/>
              </w:rPr>
              <w:t xml:space="preserve"> </w:t>
            </w:r>
            <w:r w:rsidR="007217F6" w:rsidRPr="00264A85">
              <w:rPr>
                <w:rFonts w:ascii="Times New Roman" w:hAnsi="Times New Roman" w:cs="Times New Roman"/>
                <w:sz w:val="24"/>
                <w:szCs w:val="24"/>
              </w:rPr>
              <w:t>НОИР – Приложение</w:t>
            </w:r>
            <w:r w:rsidR="00805537" w:rsidRPr="00264A85">
              <w:rPr>
                <w:rFonts w:ascii="Times New Roman" w:hAnsi="Times New Roman" w:cs="Times New Roman"/>
                <w:sz w:val="24"/>
                <w:szCs w:val="24"/>
              </w:rPr>
              <w:t xml:space="preserve"> XIX.</w:t>
            </w:r>
          </w:p>
          <w:p w14:paraId="5D6C2392" w14:textId="3879B399"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3. </w:t>
            </w:r>
            <w:r w:rsidR="007217F6" w:rsidRPr="00264A85">
              <w:rPr>
                <w:rFonts w:ascii="Times New Roman" w:hAnsi="Times New Roman" w:cs="Times New Roman"/>
                <w:sz w:val="24"/>
                <w:szCs w:val="24"/>
              </w:rPr>
              <w:t xml:space="preserve">Административен договор за БФП – Приложение </w:t>
            </w:r>
            <w:r w:rsidR="00805537" w:rsidRPr="00264A85">
              <w:rPr>
                <w:rFonts w:ascii="Times New Roman" w:hAnsi="Times New Roman" w:cs="Times New Roman"/>
                <w:sz w:val="24"/>
                <w:szCs w:val="24"/>
              </w:rPr>
              <w:t>XX.</w:t>
            </w:r>
          </w:p>
          <w:p w14:paraId="189D855D" w14:textId="1861CB7C"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4. </w:t>
            </w:r>
            <w:r w:rsidR="007217F6" w:rsidRPr="00264A85">
              <w:rPr>
                <w:rFonts w:ascii="Times New Roman" w:hAnsi="Times New Roman" w:cs="Times New Roman"/>
                <w:sz w:val="24"/>
                <w:szCs w:val="24"/>
              </w:rPr>
              <w:t>Заявление за профил за достъп на бенефициенти до ИСУН 2020 – Приложение</w:t>
            </w:r>
            <w:r w:rsidR="00805537" w:rsidRPr="00264A85">
              <w:rPr>
                <w:rFonts w:ascii="Times New Roman" w:hAnsi="Times New Roman" w:cs="Times New Roman"/>
                <w:sz w:val="24"/>
                <w:szCs w:val="24"/>
              </w:rPr>
              <w:t xml:space="preserve"> XXI.</w:t>
            </w:r>
          </w:p>
          <w:p w14:paraId="3A355AC2" w14:textId="486C0D2D" w:rsidR="0093448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5. </w:t>
            </w:r>
            <w:r w:rsidR="0093448B" w:rsidRPr="00264A85">
              <w:rPr>
                <w:rFonts w:ascii="Times New Roman" w:hAnsi="Times New Roman" w:cs="Times New Roman"/>
                <w:sz w:val="24"/>
                <w:szCs w:val="24"/>
              </w:rPr>
              <w:t>Заявление за профил за достъп на упълномощени от бенефициента лица до ИСУН 2020</w:t>
            </w:r>
            <w:r w:rsidR="00805537" w:rsidRPr="00264A85">
              <w:rPr>
                <w:rFonts w:ascii="Times New Roman" w:hAnsi="Times New Roman" w:cs="Times New Roman"/>
                <w:sz w:val="24"/>
                <w:szCs w:val="24"/>
              </w:rPr>
              <w:t xml:space="preserve"> – Приложение </w:t>
            </w:r>
            <w:r w:rsidR="00805537" w:rsidRPr="00264A85">
              <w:rPr>
                <w:rFonts w:ascii="Times New Roman" w:hAnsi="Times New Roman" w:cs="Times New Roman"/>
                <w:sz w:val="24"/>
                <w:szCs w:val="24"/>
                <w:lang w:val="en-US"/>
              </w:rPr>
              <w:t>XXII</w:t>
            </w:r>
            <w:r w:rsidR="00805537" w:rsidRPr="00264A85">
              <w:rPr>
                <w:rFonts w:ascii="Times New Roman" w:hAnsi="Times New Roman" w:cs="Times New Roman"/>
                <w:sz w:val="24"/>
                <w:szCs w:val="24"/>
              </w:rPr>
              <w:t>.</w:t>
            </w:r>
          </w:p>
          <w:p w14:paraId="371D6F69" w14:textId="53F7EC99" w:rsidR="00260D3B" w:rsidRPr="00264A85" w:rsidRDefault="0093448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Метаданни за индикатори за резултат – Приложение</w:t>
            </w:r>
            <w:r w:rsidR="00805537" w:rsidRPr="00264A85">
              <w:rPr>
                <w:rFonts w:ascii="Times New Roman" w:hAnsi="Times New Roman" w:cs="Times New Roman"/>
                <w:sz w:val="24"/>
                <w:szCs w:val="24"/>
              </w:rPr>
              <w:t xml:space="preserve"> XXIII.</w:t>
            </w:r>
          </w:p>
          <w:p w14:paraId="0F8B3B41" w14:textId="7B38AACE" w:rsidR="00CA777C" w:rsidRPr="001C09AE" w:rsidRDefault="00CA777C" w:rsidP="006479FB">
            <w:pPr>
              <w:spacing w:after="120"/>
              <w:jc w:val="both"/>
              <w:rPr>
                <w:rFonts w:ascii="Times New Roman" w:hAnsi="Times New Roman" w:cs="Times New Roman"/>
                <w:b/>
                <w:sz w:val="24"/>
                <w:szCs w:val="24"/>
              </w:rPr>
            </w:pPr>
          </w:p>
        </w:tc>
      </w:tr>
    </w:tbl>
    <w:p w14:paraId="66D30106" w14:textId="77777777" w:rsidR="00AF6D66" w:rsidRDefault="00AF6D66" w:rsidP="006479FB">
      <w:pPr>
        <w:spacing w:after="120" w:line="240" w:lineRule="auto"/>
        <w:jc w:val="both"/>
        <w:rPr>
          <w:rFonts w:ascii="Times New Roman" w:hAnsi="Times New Roman" w:cs="Times New Roman"/>
          <w:sz w:val="24"/>
          <w:szCs w:val="24"/>
        </w:rPr>
      </w:pPr>
    </w:p>
    <w:p w14:paraId="22754FEF" w14:textId="67BE2586" w:rsidR="002F2383" w:rsidRDefault="00CA0F75" w:rsidP="006479F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5BA3CF" w14:textId="0BAD3FA8" w:rsidR="00AE240F" w:rsidRPr="00B821E1" w:rsidRDefault="00AE240F" w:rsidP="006479FB">
      <w:pPr>
        <w:pStyle w:val="af7"/>
        <w:spacing w:line="240" w:lineRule="auto"/>
        <w:jc w:val="right"/>
        <w:rPr>
          <w:rFonts w:ascii="Times New Roman" w:hAnsi="Times New Roman" w:cs="Times New Roman"/>
          <w:b/>
          <w:sz w:val="24"/>
          <w:szCs w:val="24"/>
        </w:rPr>
      </w:pPr>
      <w:r w:rsidRPr="00B821E1">
        <w:rPr>
          <w:rFonts w:ascii="Times New Roman" w:hAnsi="Times New Roman" w:cs="Times New Roman"/>
          <w:b/>
          <w:sz w:val="24"/>
          <w:szCs w:val="24"/>
        </w:rPr>
        <w:t xml:space="preserve">Приложение </w:t>
      </w:r>
      <w:r w:rsidR="00E60DAD">
        <w:rPr>
          <w:rFonts w:ascii="Times New Roman" w:hAnsi="Times New Roman" w:cs="Times New Roman"/>
          <w:b/>
          <w:sz w:val="24"/>
          <w:szCs w:val="24"/>
        </w:rPr>
        <w:t>А</w:t>
      </w:r>
    </w:p>
    <w:p w14:paraId="3439E59B" w14:textId="77777777" w:rsidR="00321BD2" w:rsidRPr="00600170" w:rsidRDefault="00AE240F" w:rsidP="00600170">
      <w:pPr>
        <w:pStyle w:val="4"/>
        <w:spacing w:before="0" w:after="120" w:line="240" w:lineRule="auto"/>
        <w:jc w:val="center"/>
        <w:rPr>
          <w:rFonts w:ascii="Times New Roman" w:hAnsi="Times New Roman" w:cs="Times New Roman"/>
          <w:b/>
          <w:sz w:val="24"/>
          <w:szCs w:val="24"/>
        </w:rPr>
      </w:pPr>
      <w:r w:rsidRPr="00600170">
        <w:rPr>
          <w:rFonts w:ascii="Times New Roman" w:hAnsi="Times New Roman" w:cs="Times New Roman"/>
          <w:b/>
          <w:sz w:val="24"/>
          <w:szCs w:val="24"/>
        </w:rPr>
        <w:t xml:space="preserve">Методика за определяне на принадлежност към </w:t>
      </w:r>
      <w:proofErr w:type="spellStart"/>
      <w:r w:rsidRPr="00600170">
        <w:rPr>
          <w:rFonts w:ascii="Times New Roman" w:hAnsi="Times New Roman" w:cs="Times New Roman"/>
          <w:b/>
          <w:sz w:val="24"/>
          <w:szCs w:val="24"/>
        </w:rPr>
        <w:t>маргинализирани</w:t>
      </w:r>
      <w:proofErr w:type="spellEnd"/>
      <w:r w:rsidRPr="00600170">
        <w:rPr>
          <w:rFonts w:ascii="Times New Roman" w:hAnsi="Times New Roman" w:cs="Times New Roman"/>
          <w:b/>
          <w:sz w:val="24"/>
          <w:szCs w:val="24"/>
        </w:rPr>
        <w:t xml:space="preserve"> групи</w:t>
      </w:r>
    </w:p>
    <w:p w14:paraId="2C2A4287"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Оперативна програма „Наука и образование за интелигентен растеж“ 2014 – 2020 г. (ОП НОИР) подкрепя достъпа до качествено образование на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Приоритетна ос 3 (ПО 3) „Образователна среда за активно социално приобщаване“, Инвестиционен приоритет 9.ii „Социално-икономическо интегриране на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общности като например ромите“. </w:t>
      </w:r>
    </w:p>
    <w:p w14:paraId="6C46F90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lastRenderedPageBreak/>
        <w:t xml:space="preserve">В съответствие с определението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дадено в Споразумението за партньорство на Република България за програмен период 2014 – 2020 г. (СП), Министерството на образованието и науката (МОН) разработи методика (система от критерии) за определяне на децата и учениците, за които съществува риск от образователно изключване и на които следва да се осигури допълнителна помощ за преодоляване на този риск. </w:t>
      </w:r>
    </w:p>
    <w:p w14:paraId="79CB6B8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Съгласно целите и спецификите на ОП НОИР, както и на операцията „Осигуряване на достъп до качествено образование в малките населени места и в трудно достъпните райони“ за прилагане на подхода „Водено от общностите местно развитие“ (ВОМР) методиката обхваща критерии, базирани на четири групи фактори, които може да бъдат определени като рискови, съгласно работното определение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от СП:</w:t>
      </w:r>
    </w:p>
    <w:p w14:paraId="0BE94E66"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Първа група: Образователен статус на родителите/настойниците</w:t>
      </w:r>
    </w:p>
    <w:p w14:paraId="10715AA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Като се има предвид, че родителите са базата за възпитание и образование, следва да се отчита тяхното завършено образование. При наличие само на един родител ситуацията в семейството за тези деца/ученици става още по-трудна. Ключово е да се взема предвид образованието на майката, когато се дава тежест на този критерий. Завършеното образование на родителите определя в голяма степен изходната база за децата/учениците от гледна точка на поставяне на цели за реализация. По-ниското образование обуславя в голяма степен мотивацията и хоризонта за развитие на подрастващите в семейството, и се отразява на целия социално-икономически статус наред с други фактори. Образованието в днешно време се оказва сериозна инвестиция и изпитание за редица семейства, в които родителите са с по-ниско завършено образование.</w:t>
      </w:r>
    </w:p>
    <w:p w14:paraId="67AE6F1C"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Втора група: Социално-икономически характеристики на семейството</w:t>
      </w:r>
    </w:p>
    <w:p w14:paraId="29E96DD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Социално-икономическото развитие предопределя различни периоди за реализация на хората. В тази връзка е необходимо да се отчитат социално-икономически особености за децата/учениците в семейната им среда. Оставане без работа за определен период – по-кратък или по-дълъг, на някой родител/настойник, особено ако той е единствен, се отразява крайно негативно на семейния бюджет, а от там неминуемо води до ограничаване на редица разходи и за подрастващите, често затрудняващи достъпа до образователни услуги. </w:t>
      </w:r>
    </w:p>
    <w:p w14:paraId="7B27EE27"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Трета група: Териториални особености</w:t>
      </w:r>
    </w:p>
    <w:p w14:paraId="45E8439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България е страна с предимно градско население и тенденция за намаляване на селското население. Всяко населено място има свои особености, които в различна степен се отразяват на достъпа до образование на жителите му.  В резултат на анализите и приоритизирането за програмен период 2014 – 2020 г.,  селските райони (респективно рибарски райони, територии със специфични характеристики) се определят като райони със специфичен териториален подход за подкрепа. Част от населението в тези райони живее в населени места, характеризиращи се с незадоволителна инфраструктура – села или изолирани махали, квартали в градове, които осуетяват технически достъпа до редица социални, здравни, образователни услуги. Наред с това редица семейства, поради незадоволителната инфраструктура (остаряла или излязла от строя ВиК, електро-, пътна, </w:t>
      </w:r>
      <w:r w:rsidRPr="00B821E1">
        <w:rPr>
          <w:rFonts w:ascii="Times New Roman" w:hAnsi="Times New Roman" w:cs="Times New Roman"/>
          <w:sz w:val="24"/>
          <w:szCs w:val="24"/>
        </w:rPr>
        <w:lastRenderedPageBreak/>
        <w:t>комуникационна инфраструктура), живеят в лоши санитарно-битови условия, което се отразява на достъпа им до качествено образование.</w:t>
      </w:r>
    </w:p>
    <w:p w14:paraId="7A7576E1"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Четвърта група: Етно-културни характеристики</w:t>
      </w:r>
    </w:p>
    <w:p w14:paraId="075E881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Културните различия в ерата на глобализация и развитие на мултикултурна среда все още се оказват проблем за много хора, явявайки се предпоставка за изолация от социално-икономически процеси. Културните различия са и фактори, отразяващи се на социално-икономическия статус, в частност на образователния. Ползването само на майчин език например, различен от официалния на страната е фактор, който ограничава участието на семействата и децата им в обществения живот, лишава ги от редица обществени услуги и възможности за реализация. Недостатъчното владеене на официалния на страната език се оказва бариера за социализация и предпоставка за </w:t>
      </w:r>
      <w:proofErr w:type="spellStart"/>
      <w:r w:rsidRPr="00B821E1">
        <w:rPr>
          <w:rFonts w:ascii="Times New Roman" w:hAnsi="Times New Roman" w:cs="Times New Roman"/>
          <w:sz w:val="24"/>
          <w:szCs w:val="24"/>
        </w:rPr>
        <w:t>маргинализиране</w:t>
      </w:r>
      <w:proofErr w:type="spellEnd"/>
      <w:r w:rsidRPr="00B821E1">
        <w:rPr>
          <w:rFonts w:ascii="Times New Roman" w:hAnsi="Times New Roman" w:cs="Times New Roman"/>
          <w:sz w:val="24"/>
          <w:szCs w:val="24"/>
        </w:rPr>
        <w:t xml:space="preserve"> на децата и семействата. Този проблем се среща най-често при деца от етническите малцинства, за които майчиният език не е българския. Други културни навици стопират възможностите за социално включване и преодоляване на риска от изолация. Доказано е, че образованието е най-мощният инструмент за преодоляване на заплахите от маргинализация по редица признаци, а при ползване само на майчин език, различен от българския, образованието на практика остава недостъпно за тези лица.</w:t>
      </w:r>
    </w:p>
    <w:p w14:paraId="56BD6E10" w14:textId="77777777" w:rsidR="006A61AA" w:rsidRPr="00B821E1" w:rsidRDefault="006A61AA" w:rsidP="006479FB">
      <w:pPr>
        <w:pStyle w:val="af7"/>
        <w:spacing w:line="240" w:lineRule="auto"/>
        <w:jc w:val="both"/>
        <w:rPr>
          <w:rFonts w:ascii="Times New Roman" w:hAnsi="Times New Roman" w:cs="Times New Roman"/>
          <w:b/>
          <w:sz w:val="24"/>
          <w:szCs w:val="24"/>
        </w:rPr>
      </w:pPr>
      <w:r w:rsidRPr="00B821E1">
        <w:rPr>
          <w:rFonts w:ascii="Times New Roman" w:hAnsi="Times New Roman" w:cs="Times New Roman"/>
          <w:b/>
          <w:sz w:val="24"/>
          <w:szCs w:val="24"/>
        </w:rPr>
        <w:t xml:space="preserve">Критерии за определяне на принадлежност към </w:t>
      </w:r>
      <w:proofErr w:type="spellStart"/>
      <w:r w:rsidRPr="00B821E1">
        <w:rPr>
          <w:rFonts w:ascii="Times New Roman" w:hAnsi="Times New Roman" w:cs="Times New Roman"/>
          <w:b/>
          <w:sz w:val="24"/>
          <w:szCs w:val="24"/>
        </w:rPr>
        <w:t>маргинализирани</w:t>
      </w:r>
      <w:proofErr w:type="spellEnd"/>
      <w:r w:rsidRPr="00B821E1">
        <w:rPr>
          <w:rFonts w:ascii="Times New Roman" w:hAnsi="Times New Roman" w:cs="Times New Roman"/>
          <w:b/>
          <w:sz w:val="24"/>
          <w:szCs w:val="24"/>
        </w:rPr>
        <w:t xml:space="preserve"> групи за целите на ОП НОИР, включително за  операцията по подхода ВОМР:</w:t>
      </w:r>
    </w:p>
    <w:tbl>
      <w:tblPr>
        <w:tblStyle w:val="ad"/>
        <w:tblW w:w="9924" w:type="dxa"/>
        <w:tblInd w:w="-441" w:type="dxa"/>
        <w:tblLayout w:type="fixed"/>
        <w:tblLook w:val="04A0" w:firstRow="1" w:lastRow="0" w:firstColumn="1" w:lastColumn="0" w:noHBand="0" w:noVBand="1"/>
      </w:tblPr>
      <w:tblGrid>
        <w:gridCol w:w="2411"/>
        <w:gridCol w:w="2551"/>
        <w:gridCol w:w="3119"/>
        <w:gridCol w:w="1843"/>
      </w:tblGrid>
      <w:tr w:rsidR="006A61AA" w:rsidRPr="006A61AA" w14:paraId="29D671FB" w14:textId="77777777" w:rsidTr="008D3FCD">
        <w:tc>
          <w:tcPr>
            <w:tcW w:w="2411" w:type="dxa"/>
            <w:tcBorders>
              <w:top w:val="double" w:sz="4" w:space="0" w:color="auto"/>
              <w:left w:val="double" w:sz="4" w:space="0" w:color="auto"/>
              <w:bottom w:val="double" w:sz="4" w:space="0" w:color="auto"/>
            </w:tcBorders>
            <w:shd w:val="clear" w:color="auto" w:fill="E7E6E6"/>
          </w:tcPr>
          <w:p w14:paraId="3DDDAC98"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Образователен статус на родителите</w:t>
            </w:r>
          </w:p>
        </w:tc>
        <w:tc>
          <w:tcPr>
            <w:tcW w:w="2551" w:type="dxa"/>
            <w:tcBorders>
              <w:top w:val="double" w:sz="4" w:space="0" w:color="auto"/>
              <w:bottom w:val="double" w:sz="4" w:space="0" w:color="auto"/>
            </w:tcBorders>
            <w:shd w:val="clear" w:color="auto" w:fill="E7E6E6"/>
          </w:tcPr>
          <w:p w14:paraId="7C331629"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Социално-икономически характеристики</w:t>
            </w:r>
          </w:p>
        </w:tc>
        <w:tc>
          <w:tcPr>
            <w:tcW w:w="3119" w:type="dxa"/>
            <w:tcBorders>
              <w:top w:val="double" w:sz="4" w:space="0" w:color="auto"/>
              <w:bottom w:val="double" w:sz="4" w:space="0" w:color="auto"/>
            </w:tcBorders>
            <w:shd w:val="clear" w:color="auto" w:fill="E7E6E6"/>
          </w:tcPr>
          <w:p w14:paraId="4EE62605"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Териториални особености</w:t>
            </w:r>
          </w:p>
        </w:tc>
        <w:tc>
          <w:tcPr>
            <w:tcW w:w="1843" w:type="dxa"/>
            <w:tcBorders>
              <w:top w:val="double" w:sz="4" w:space="0" w:color="auto"/>
              <w:bottom w:val="double" w:sz="4" w:space="0" w:color="auto"/>
              <w:right w:val="double" w:sz="4" w:space="0" w:color="auto"/>
            </w:tcBorders>
            <w:shd w:val="clear" w:color="auto" w:fill="E7E6E6"/>
          </w:tcPr>
          <w:p w14:paraId="6E4D62DC"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Етно-културни характеристики</w:t>
            </w:r>
          </w:p>
        </w:tc>
      </w:tr>
      <w:tr w:rsidR="006A61AA" w:rsidRPr="006A61AA" w14:paraId="57F72C60" w14:textId="77777777" w:rsidTr="008D3FCD">
        <w:tc>
          <w:tcPr>
            <w:tcW w:w="2411" w:type="dxa"/>
            <w:tcBorders>
              <w:top w:val="double" w:sz="4" w:space="0" w:color="auto"/>
              <w:left w:val="double" w:sz="4" w:space="0" w:color="auto"/>
            </w:tcBorders>
          </w:tcPr>
          <w:p w14:paraId="22DF7EEE"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Майката</w:t>
            </w:r>
            <w:r w:rsidRPr="006A61AA">
              <w:rPr>
                <w:rFonts w:ascii="Times New Roman" w:eastAsia="Calibri" w:hAnsi="Times New Roman" w:cs="Times New Roman"/>
                <w:color w:val="FF0000"/>
                <w:sz w:val="24"/>
                <w:szCs w:val="24"/>
              </w:rPr>
              <w:t xml:space="preserve"> </w:t>
            </w:r>
            <w:r w:rsidRPr="006A61AA">
              <w:rPr>
                <w:rFonts w:ascii="Times New Roman" w:eastAsia="Calibri" w:hAnsi="Times New Roman" w:cs="Times New Roman"/>
                <w:sz w:val="24"/>
                <w:szCs w:val="24"/>
              </w:rPr>
              <w:t>на детето има завършено най-много основно или по-ниско образование</w:t>
            </w:r>
          </w:p>
        </w:tc>
        <w:tc>
          <w:tcPr>
            <w:tcW w:w="2551" w:type="dxa"/>
            <w:tcBorders>
              <w:top w:val="double" w:sz="4" w:space="0" w:color="auto"/>
            </w:tcBorders>
          </w:tcPr>
          <w:p w14:paraId="731534A5"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Поне единият от родителите на детето е безработен</w:t>
            </w:r>
            <w:r w:rsidRPr="006A61AA">
              <w:rPr>
                <w:rFonts w:ascii="Times New Roman" w:eastAsia="Calibri" w:hAnsi="Times New Roman" w:cs="Times New Roman"/>
                <w:sz w:val="24"/>
                <w:szCs w:val="24"/>
                <w:vertAlign w:val="superscript"/>
              </w:rPr>
              <w:t>1</w:t>
            </w:r>
          </w:p>
        </w:tc>
        <w:tc>
          <w:tcPr>
            <w:tcW w:w="3119" w:type="dxa"/>
            <w:tcBorders>
              <w:top w:val="double" w:sz="4" w:space="0" w:color="auto"/>
            </w:tcBorders>
          </w:tcPr>
          <w:p w14:paraId="0F918306" w14:textId="77777777" w:rsidR="006A61AA" w:rsidRPr="006A61AA" w:rsidRDefault="006A61AA" w:rsidP="006479FB">
            <w:pPr>
              <w:spacing w:after="120"/>
              <w:rPr>
                <w:rFonts w:ascii="Calibri" w:eastAsia="Calibri" w:hAnsi="Calibri" w:cs="Times New Roman"/>
                <w:vertAlign w:val="superscript"/>
              </w:rPr>
            </w:pPr>
            <w:r w:rsidRPr="006A61AA">
              <w:rPr>
                <w:rFonts w:ascii="Times New Roman" w:eastAsia="Calibri" w:hAnsi="Times New Roman" w:cs="Times New Roman"/>
                <w:sz w:val="24"/>
                <w:szCs w:val="24"/>
              </w:rPr>
              <w:t>Детето живее в село или в обособен квартал в града,</w:t>
            </w:r>
            <w:r w:rsidRPr="006A61AA">
              <w:rPr>
                <w:rFonts w:ascii="Calibri" w:eastAsia="Calibri" w:hAnsi="Calibri" w:cs="Times New Roman"/>
                <w:lang w:val="ru-RU"/>
              </w:rPr>
              <w:t xml:space="preserve"> </w:t>
            </w:r>
            <w:r w:rsidRPr="006A61AA">
              <w:rPr>
                <w:rFonts w:ascii="Times New Roman" w:eastAsia="Calibri" w:hAnsi="Times New Roman" w:cs="Times New Roman"/>
                <w:sz w:val="24"/>
                <w:szCs w:val="24"/>
              </w:rPr>
              <w:t>характеризиращ се с незадоволителна инфраструктура</w:t>
            </w:r>
            <w:r w:rsidRPr="006A61AA">
              <w:rPr>
                <w:rFonts w:ascii="Times New Roman" w:eastAsia="Calibri" w:hAnsi="Times New Roman" w:cs="Times New Roman"/>
                <w:sz w:val="24"/>
                <w:szCs w:val="24"/>
                <w:vertAlign w:val="superscript"/>
              </w:rPr>
              <w:t>2</w:t>
            </w:r>
          </w:p>
        </w:tc>
        <w:tc>
          <w:tcPr>
            <w:tcW w:w="1843" w:type="dxa"/>
            <w:tcBorders>
              <w:top w:val="double" w:sz="4" w:space="0" w:color="auto"/>
              <w:right w:val="double" w:sz="4" w:space="0" w:color="auto"/>
            </w:tcBorders>
          </w:tcPr>
          <w:p w14:paraId="5C5C3201"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Майчиният език на детето е различен от българския</w:t>
            </w:r>
          </w:p>
        </w:tc>
      </w:tr>
      <w:tr w:rsidR="006A61AA" w:rsidRPr="006A61AA" w14:paraId="6719CB6E" w14:textId="77777777" w:rsidTr="008D3FCD">
        <w:tc>
          <w:tcPr>
            <w:tcW w:w="2411" w:type="dxa"/>
            <w:tcBorders>
              <w:left w:val="double" w:sz="4" w:space="0" w:color="auto"/>
            </w:tcBorders>
          </w:tcPr>
          <w:p w14:paraId="406E3AD0" w14:textId="77777777" w:rsidR="006A61AA" w:rsidRPr="006A61AA" w:rsidRDefault="006A61AA" w:rsidP="006479FB">
            <w:pPr>
              <w:spacing w:after="120"/>
              <w:rPr>
                <w:rFonts w:ascii="Calibri" w:eastAsia="Calibri" w:hAnsi="Calibri" w:cs="Times New Roman"/>
                <w:color w:val="FF0000"/>
              </w:rPr>
            </w:pPr>
            <w:r w:rsidRPr="006A61AA">
              <w:rPr>
                <w:rFonts w:ascii="Times New Roman" w:eastAsia="Calibri" w:hAnsi="Times New Roman" w:cs="Times New Roman"/>
                <w:sz w:val="24"/>
                <w:szCs w:val="24"/>
              </w:rPr>
              <w:t>Бащата на детето има завършено най-много средно или по-ниско образование</w:t>
            </w:r>
          </w:p>
        </w:tc>
        <w:tc>
          <w:tcPr>
            <w:tcW w:w="2551" w:type="dxa"/>
          </w:tcPr>
          <w:p w14:paraId="5FD31288"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Работата на поне единия от родителите на детето изисква постоянно отсъствие от дома</w:t>
            </w:r>
            <w:r w:rsidRPr="006A61AA">
              <w:rPr>
                <w:rFonts w:ascii="Times New Roman" w:eastAsia="Calibri" w:hAnsi="Times New Roman" w:cs="Times New Roman"/>
                <w:sz w:val="24"/>
                <w:szCs w:val="24"/>
                <w:vertAlign w:val="superscript"/>
              </w:rPr>
              <w:t>3</w:t>
            </w:r>
          </w:p>
        </w:tc>
        <w:tc>
          <w:tcPr>
            <w:tcW w:w="3119" w:type="dxa"/>
          </w:tcPr>
          <w:p w14:paraId="3F7AC47F"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Липса в селото или в обособения квартал в града, където живее детето, на детска градина (ако е от 3- до 7- годишна възраст) или училище (ако е от 7- до 18-годишна възраст)</w:t>
            </w:r>
          </w:p>
        </w:tc>
        <w:tc>
          <w:tcPr>
            <w:tcW w:w="1843" w:type="dxa"/>
            <w:tcBorders>
              <w:right w:val="double" w:sz="4" w:space="0" w:color="auto"/>
            </w:tcBorders>
          </w:tcPr>
          <w:p w14:paraId="63D114DA" w14:textId="77777777" w:rsidR="006A61AA" w:rsidRPr="006A61AA" w:rsidRDefault="006A61AA" w:rsidP="006479FB">
            <w:pPr>
              <w:spacing w:after="120"/>
              <w:rPr>
                <w:rFonts w:ascii="Calibri" w:eastAsia="Calibri" w:hAnsi="Calibri" w:cs="Times New Roman"/>
              </w:rPr>
            </w:pPr>
          </w:p>
        </w:tc>
      </w:tr>
      <w:tr w:rsidR="006A61AA" w:rsidRPr="006A61AA" w14:paraId="39C40B58" w14:textId="77777777" w:rsidTr="008D3FCD">
        <w:tc>
          <w:tcPr>
            <w:tcW w:w="2411" w:type="dxa"/>
            <w:tcBorders>
              <w:left w:val="double" w:sz="4" w:space="0" w:color="auto"/>
              <w:bottom w:val="double" w:sz="4" w:space="0" w:color="auto"/>
            </w:tcBorders>
          </w:tcPr>
          <w:p w14:paraId="639E2BCD"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46034671"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Лоши битови условия в дома на детето</w:t>
            </w:r>
            <w:r w:rsidRPr="006A61AA">
              <w:rPr>
                <w:rFonts w:ascii="Times New Roman" w:eastAsia="Calibri" w:hAnsi="Times New Roman" w:cs="Times New Roman"/>
                <w:sz w:val="24"/>
                <w:szCs w:val="24"/>
                <w:vertAlign w:val="superscript"/>
              </w:rPr>
              <w:t>4</w:t>
            </w:r>
          </w:p>
        </w:tc>
        <w:tc>
          <w:tcPr>
            <w:tcW w:w="3119" w:type="dxa"/>
            <w:tcBorders>
              <w:bottom w:val="double" w:sz="4" w:space="0" w:color="auto"/>
            </w:tcBorders>
          </w:tcPr>
          <w:p w14:paraId="06B2374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7DFEF9DA" w14:textId="77777777" w:rsidR="006A61AA" w:rsidRPr="006A61AA" w:rsidRDefault="006A61AA" w:rsidP="006479FB">
            <w:pPr>
              <w:spacing w:after="120"/>
              <w:rPr>
                <w:rFonts w:ascii="Calibri" w:eastAsia="Calibri" w:hAnsi="Calibri" w:cs="Times New Roman"/>
              </w:rPr>
            </w:pPr>
          </w:p>
        </w:tc>
      </w:tr>
      <w:tr w:rsidR="006A61AA" w:rsidRPr="006A61AA" w14:paraId="600F1976" w14:textId="77777777" w:rsidTr="008D3FCD">
        <w:tc>
          <w:tcPr>
            <w:tcW w:w="2411" w:type="dxa"/>
            <w:tcBorders>
              <w:left w:val="double" w:sz="4" w:space="0" w:color="auto"/>
              <w:bottom w:val="double" w:sz="4" w:space="0" w:color="auto"/>
            </w:tcBorders>
          </w:tcPr>
          <w:p w14:paraId="30F3FF38"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1B92CF6D"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 xml:space="preserve">Детето е настанено за отглеждане в семейство на роднини и близки по реда на </w:t>
            </w:r>
            <w:r w:rsidRPr="006A61AA">
              <w:rPr>
                <w:rFonts w:ascii="Times New Roman" w:eastAsia="Calibri" w:hAnsi="Times New Roman" w:cs="Times New Roman"/>
                <w:sz w:val="24"/>
                <w:szCs w:val="24"/>
              </w:rPr>
              <w:lastRenderedPageBreak/>
              <w:t>Закона за закрила на детето</w:t>
            </w:r>
          </w:p>
        </w:tc>
        <w:tc>
          <w:tcPr>
            <w:tcW w:w="3119" w:type="dxa"/>
            <w:tcBorders>
              <w:bottom w:val="double" w:sz="4" w:space="0" w:color="auto"/>
            </w:tcBorders>
          </w:tcPr>
          <w:p w14:paraId="6A2C586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424805B0" w14:textId="77777777" w:rsidR="006A61AA" w:rsidRPr="006A61AA" w:rsidRDefault="006A61AA" w:rsidP="006479FB">
            <w:pPr>
              <w:spacing w:after="120"/>
              <w:rPr>
                <w:rFonts w:ascii="Calibri" w:eastAsia="Calibri" w:hAnsi="Calibri" w:cs="Times New Roman"/>
              </w:rPr>
            </w:pPr>
          </w:p>
        </w:tc>
      </w:tr>
      <w:tr w:rsidR="006A61AA" w:rsidRPr="006A61AA" w14:paraId="1FC04CE6" w14:textId="77777777" w:rsidTr="008D3FCD">
        <w:tc>
          <w:tcPr>
            <w:tcW w:w="9924" w:type="dxa"/>
            <w:gridSpan w:val="4"/>
            <w:tcBorders>
              <w:top w:val="double" w:sz="4" w:space="0" w:color="auto"/>
              <w:left w:val="double" w:sz="4" w:space="0" w:color="auto"/>
              <w:bottom w:val="double" w:sz="4" w:space="0" w:color="auto"/>
              <w:right w:val="double" w:sz="4" w:space="0" w:color="auto"/>
            </w:tcBorders>
          </w:tcPr>
          <w:p w14:paraId="3E50AC9E"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lastRenderedPageBreak/>
              <w:t xml:space="preserve">Лице на 18 и повече навършени години, регистрирано в бюро по труда </w:t>
            </w:r>
          </w:p>
          <w:p w14:paraId="37FB00B1"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 xml:space="preserve">Инфраструктура, характеризираща се с липса (или налична но </w:t>
            </w:r>
            <w:proofErr w:type="spellStart"/>
            <w:r w:rsidRPr="006A61AA">
              <w:rPr>
                <w:rFonts w:ascii="Times New Roman" w:eastAsia="Calibri" w:hAnsi="Times New Roman" w:cs="Times New Roman"/>
                <w:i/>
                <w:sz w:val="24"/>
                <w:szCs w:val="24"/>
              </w:rPr>
              <w:t>нефункционираща</w:t>
            </w:r>
            <w:proofErr w:type="spellEnd"/>
            <w:r w:rsidRPr="006A61AA">
              <w:rPr>
                <w:rFonts w:ascii="Times New Roman" w:eastAsia="Calibri" w:hAnsi="Times New Roman" w:cs="Times New Roman"/>
                <w:i/>
                <w:sz w:val="24"/>
                <w:szCs w:val="24"/>
              </w:rPr>
              <w:t>)  на ВиК, електро-, пътна, комуникационна инфраструктура.</w:t>
            </w:r>
          </w:p>
          <w:p w14:paraId="3356513B"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Отсъствие за 30 или повече последователни дни, за поне 3 периода (независимо дали са последователни или не) в рамките на една календарна година.</w:t>
            </w:r>
          </w:p>
          <w:p w14:paraId="1177107D"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Детето обитава жилище, което се характеризира с липсата на поне една от изброените характеристики: електрификация, водоснабдяване или канализация.</w:t>
            </w:r>
          </w:p>
        </w:tc>
      </w:tr>
    </w:tbl>
    <w:p w14:paraId="2F52E3F4" w14:textId="77777777" w:rsidR="00AE240F" w:rsidRDefault="00AE240F" w:rsidP="006479FB">
      <w:pPr>
        <w:spacing w:after="120" w:line="240" w:lineRule="auto"/>
        <w:jc w:val="both"/>
        <w:rPr>
          <w:rFonts w:ascii="Times New Roman" w:hAnsi="Times New Roman" w:cs="Times New Roman"/>
          <w:sz w:val="24"/>
          <w:szCs w:val="24"/>
        </w:rPr>
      </w:pPr>
    </w:p>
    <w:p w14:paraId="19FFDDA9"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Така предложените критерии са обективни и обхващат идентифицираните потенциални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образователен, социално-икономически, етнически и териториален признак. </w:t>
      </w:r>
    </w:p>
    <w:p w14:paraId="07E763F4"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Методиката за определяне на принадлежност към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групи за целите на ОП НОИР предлага следното класифициране:</w:t>
      </w:r>
    </w:p>
    <w:p w14:paraId="52F24D06"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4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до 20 000 жители;</w:t>
      </w:r>
    </w:p>
    <w:p w14:paraId="3481C0AA"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5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над 20 000 жители.</w:t>
      </w:r>
    </w:p>
    <w:sectPr w:rsidR="008D3FCD" w:rsidRPr="00B821E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29958" w14:textId="77777777" w:rsidR="00F81E93" w:rsidRDefault="00F81E93" w:rsidP="00442D47">
      <w:pPr>
        <w:spacing w:after="0" w:line="240" w:lineRule="auto"/>
      </w:pPr>
      <w:r>
        <w:separator/>
      </w:r>
    </w:p>
  </w:endnote>
  <w:endnote w:type="continuationSeparator" w:id="0">
    <w:p w14:paraId="7792FB93" w14:textId="77777777" w:rsidR="00F81E93" w:rsidRDefault="00F81E93" w:rsidP="0044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489F" w14:textId="77777777" w:rsidR="00190A1D" w:rsidRDefault="00190A1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9101"/>
      <w:docPartObj>
        <w:docPartGallery w:val="Page Numbers (Bottom of Page)"/>
        <w:docPartUnique/>
      </w:docPartObj>
    </w:sdtPr>
    <w:sdtEndPr>
      <w:rPr>
        <w:noProof/>
      </w:rPr>
    </w:sdtEndPr>
    <w:sdtContent>
      <w:p w14:paraId="0474C05E" w14:textId="78922C0A" w:rsidR="00190A1D" w:rsidRDefault="00190A1D">
        <w:pPr>
          <w:pStyle w:val="ab"/>
          <w:jc w:val="right"/>
        </w:pPr>
        <w:r>
          <w:fldChar w:fldCharType="begin"/>
        </w:r>
        <w:r>
          <w:instrText xml:space="preserve"> PAGE   \* MERGEFORMAT </w:instrText>
        </w:r>
        <w:r>
          <w:fldChar w:fldCharType="separate"/>
        </w:r>
        <w:r w:rsidR="00F6718D">
          <w:rPr>
            <w:noProof/>
          </w:rPr>
          <w:t>21</w:t>
        </w:r>
        <w:r>
          <w:rPr>
            <w:noProof/>
          </w:rPr>
          <w:fldChar w:fldCharType="end"/>
        </w:r>
      </w:p>
    </w:sdtContent>
  </w:sdt>
  <w:p w14:paraId="0E04904C" w14:textId="77777777" w:rsidR="00190A1D" w:rsidRDefault="00190A1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F290" w14:textId="77777777" w:rsidR="00190A1D" w:rsidRDefault="00190A1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C059" w14:textId="77777777" w:rsidR="00F81E93" w:rsidRDefault="00F81E93" w:rsidP="00442D47">
      <w:pPr>
        <w:spacing w:after="0" w:line="240" w:lineRule="auto"/>
      </w:pPr>
      <w:r>
        <w:separator/>
      </w:r>
    </w:p>
  </w:footnote>
  <w:footnote w:type="continuationSeparator" w:id="0">
    <w:p w14:paraId="19B92477" w14:textId="77777777" w:rsidR="00F81E93" w:rsidRDefault="00F81E93" w:rsidP="00442D47">
      <w:pPr>
        <w:spacing w:after="0" w:line="240" w:lineRule="auto"/>
      </w:pPr>
      <w:r>
        <w:continuationSeparator/>
      </w:r>
    </w:p>
  </w:footnote>
  <w:footnote w:id="1">
    <w:p w14:paraId="6F3AF5B0" w14:textId="77777777" w:rsidR="00190A1D" w:rsidRPr="001F41D8" w:rsidRDefault="00190A1D" w:rsidP="000B7DAB">
      <w:pPr>
        <w:pStyle w:val="ae"/>
        <w:jc w:val="both"/>
        <w:rPr>
          <w:rFonts w:ascii="Times New Roman" w:hAnsi="Times New Roman" w:cs="Times New Roman"/>
        </w:rPr>
      </w:pPr>
      <w:r>
        <w:rPr>
          <w:rStyle w:val="af0"/>
        </w:rPr>
        <w:footnoteRef/>
      </w:r>
      <w:r>
        <w:t xml:space="preserve"> </w:t>
      </w:r>
      <w:r w:rsidRPr="001F41D8">
        <w:rPr>
          <w:rFonts w:ascii="Times New Roman" w:hAnsi="Times New Roman" w:cs="Times New Roman"/>
        </w:rPr>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rsidRPr="001F41D8">
        <w:rPr>
          <w:rFonts w:ascii="Times New Roman" w:hAnsi="Times New Roman" w:cs="Times New Roman"/>
        </w:rPr>
        <w:t>обн</w:t>
      </w:r>
      <w:proofErr w:type="spellEnd"/>
      <w:r w:rsidRPr="001F41D8">
        <w:rPr>
          <w:rFonts w:ascii="Times New Roman" w:hAnsi="Times New Roman" w:cs="Times New Roman"/>
        </w:rPr>
        <w:t>., ДВ, бр. 101 от 2015 г.)</w:t>
      </w:r>
    </w:p>
  </w:footnote>
  <w:footnote w:id="2">
    <w:p w14:paraId="31FBEF76" w14:textId="77777777" w:rsidR="00190A1D" w:rsidRPr="00B17B35" w:rsidRDefault="00190A1D" w:rsidP="00840358">
      <w:pPr>
        <w:pStyle w:val="ae"/>
        <w:jc w:val="both"/>
      </w:pPr>
      <w:r w:rsidRPr="005717E8">
        <w:rPr>
          <w:rStyle w:val="af0"/>
        </w:rPr>
        <w:footnoteRef/>
      </w:r>
      <w:r w:rsidRPr="005717E8">
        <w:t xml:space="preserve"> </w:t>
      </w:r>
      <w:r w:rsidRPr="005717E8">
        <w:rPr>
          <w:sz w:val="18"/>
          <w:szCs w:val="18"/>
        </w:rPr>
        <w:t>Часовата ставка е определена за 1 астрономичен час и съдържа ефекта на разхода за възнаграждение и за вноски за осигуряване за сметка на осигурителя.</w:t>
      </w:r>
      <w:r>
        <w:rPr>
          <w:sz w:val="18"/>
          <w:szCs w:val="18"/>
        </w:rPr>
        <w:t xml:space="preserve"> </w:t>
      </w:r>
    </w:p>
  </w:footnote>
  <w:footnote w:id="3">
    <w:p w14:paraId="53A68A20" w14:textId="77777777" w:rsidR="00190A1D" w:rsidRPr="008D273D" w:rsidRDefault="00190A1D" w:rsidP="00775906">
      <w:pPr>
        <w:pStyle w:val="ae"/>
        <w:jc w:val="both"/>
        <w:rPr>
          <w:rFonts w:ascii="Times New Roman" w:hAnsi="Times New Roman" w:cs="Times New Roman"/>
        </w:rPr>
      </w:pPr>
      <w:r>
        <w:rPr>
          <w:rStyle w:val="af0"/>
        </w:rPr>
        <w:footnoteRef/>
      </w:r>
      <w:r>
        <w:t xml:space="preserve"> </w:t>
      </w:r>
      <w:r w:rsidRPr="008D273D">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кандидата.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кандидата</w:t>
      </w:r>
    </w:p>
  </w:footnote>
  <w:footnote w:id="4">
    <w:p w14:paraId="370DC345" w14:textId="77777777" w:rsidR="00190A1D" w:rsidRPr="008D273D" w:rsidRDefault="00190A1D" w:rsidP="00775906">
      <w:pPr>
        <w:pStyle w:val="ae"/>
        <w:jc w:val="both"/>
        <w:rPr>
          <w:rFonts w:ascii="Times New Roman" w:hAnsi="Times New Roman" w:cs="Times New Roman"/>
        </w:rPr>
      </w:pPr>
      <w:r w:rsidRPr="008D273D">
        <w:rPr>
          <w:rStyle w:val="af0"/>
          <w:rFonts w:ascii="Times New Roman" w:hAnsi="Times New Roman" w:cs="Times New Roman"/>
        </w:rPr>
        <w:footnoteRef/>
      </w:r>
      <w:r w:rsidRPr="008D273D">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5">
    <w:p w14:paraId="2608F925" w14:textId="56F7CA42" w:rsidR="00190A1D" w:rsidRPr="007273C2" w:rsidRDefault="00190A1D" w:rsidP="006339CB">
      <w:pPr>
        <w:pStyle w:val="ae"/>
      </w:pPr>
    </w:p>
  </w:footnote>
  <w:footnote w:id="6">
    <w:p w14:paraId="1A7CCECF" w14:textId="2B7CA45D" w:rsidR="00190A1D" w:rsidRPr="001C09AE" w:rsidRDefault="00190A1D" w:rsidP="0040650E">
      <w:pPr>
        <w:pStyle w:val="ae"/>
        <w:jc w:val="both"/>
        <w:rPr>
          <w:rFonts w:ascii="Times New Roman" w:hAnsi="Times New Roman" w:cs="Times New Roman"/>
        </w:rPr>
      </w:pPr>
    </w:p>
  </w:footnote>
  <w:footnote w:id="7">
    <w:p w14:paraId="41169173" w14:textId="467325A6" w:rsidR="00190A1D" w:rsidRPr="001D1FAE" w:rsidRDefault="00190A1D" w:rsidP="006339CB">
      <w:pPr>
        <w:pStyle w:val="ae"/>
      </w:pPr>
    </w:p>
  </w:footnote>
  <w:footnote w:id="8">
    <w:p w14:paraId="19D6AFBD" w14:textId="704EE6B8" w:rsidR="00190A1D" w:rsidRPr="001C09AE" w:rsidRDefault="00190A1D" w:rsidP="006339CB">
      <w:pPr>
        <w:pStyle w:val="ae"/>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D2BA" w14:textId="77777777" w:rsidR="00190A1D" w:rsidRDefault="00190A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1633"/>
      <w:gridCol w:w="2448"/>
      <w:gridCol w:w="1764"/>
      <w:gridCol w:w="1347"/>
    </w:tblGrid>
    <w:tr w:rsidR="00190A1D" w:rsidRPr="00261F4D" w14:paraId="3E68047A" w14:textId="77777777" w:rsidTr="00A87794">
      <w:trPr>
        <w:trHeight w:val="1408"/>
      </w:trPr>
      <w:tc>
        <w:tcPr>
          <w:tcW w:w="1257" w:type="pct"/>
          <w:tcBorders>
            <w:top w:val="single" w:sz="4" w:space="0" w:color="auto"/>
            <w:left w:val="single" w:sz="4" w:space="0" w:color="auto"/>
            <w:bottom w:val="single" w:sz="4" w:space="0" w:color="auto"/>
            <w:right w:val="single" w:sz="4" w:space="0" w:color="auto"/>
          </w:tcBorders>
          <w:vAlign w:val="center"/>
        </w:tcPr>
        <w:p w14:paraId="0194D2FF" w14:textId="7D0FA589" w:rsidR="00190A1D" w:rsidRPr="00261F4D" w:rsidRDefault="00190A1D" w:rsidP="00261F4D">
          <w:pPr>
            <w:widowControl w:val="0"/>
            <w:spacing w:after="0" w:line="240" w:lineRule="auto"/>
            <w:jc w:val="center"/>
            <w:rPr>
              <w:rFonts w:ascii="Times New Roman" w:eastAsia="Times New Roman" w:hAnsi="Times New Roman" w:cs="Times New Roman"/>
              <w:b/>
              <w:sz w:val="20"/>
              <w:szCs w:val="20"/>
              <w:lang w:val="en-US" w:eastAsia="bg-BG"/>
            </w:rPr>
          </w:pPr>
          <w:r w:rsidRPr="001F32A8">
            <w:rPr>
              <w:rFonts w:ascii="Times New Roman" w:eastAsia="Times New Roman" w:hAnsi="Times New Roman" w:cs="Times New Roman"/>
              <w:noProof/>
              <w:snapToGrid w:val="0"/>
              <w:sz w:val="24"/>
              <w:szCs w:val="20"/>
              <w:lang w:eastAsia="bg-BG"/>
            </w:rPr>
            <w:drawing>
              <wp:inline distT="0" distB="0" distL="0" distR="0" wp14:anchorId="5C4E6663" wp14:editId="329CD6EB">
                <wp:extent cx="1548867" cy="52251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38" cy="525878"/>
                        </a:xfrm>
                        <a:prstGeom prst="rect">
                          <a:avLst/>
                        </a:prstGeom>
                        <a:noFill/>
                      </pic:spPr>
                    </pic:pic>
                  </a:graphicData>
                </a:graphic>
              </wp:inline>
            </w:drawing>
          </w:r>
        </w:p>
      </w:tc>
      <w:tc>
        <w:tcPr>
          <w:tcW w:w="850" w:type="pct"/>
          <w:tcBorders>
            <w:top w:val="single" w:sz="4" w:space="0" w:color="auto"/>
            <w:left w:val="single" w:sz="4" w:space="0" w:color="auto"/>
            <w:bottom w:val="single" w:sz="4" w:space="0" w:color="auto"/>
            <w:right w:val="single" w:sz="4" w:space="0" w:color="auto"/>
          </w:tcBorders>
        </w:tcPr>
        <w:p w14:paraId="456F4319" w14:textId="77777777" w:rsidR="00190A1D" w:rsidRPr="00261F4D" w:rsidRDefault="00190A1D" w:rsidP="00261F4D">
          <w:pPr>
            <w:spacing w:after="0" w:line="240" w:lineRule="auto"/>
            <w:jc w:val="both"/>
            <w:rPr>
              <w:rFonts w:ascii="Times New Roman" w:eastAsia="Times New Roman" w:hAnsi="Times New Roman" w:cs="Times New Roman"/>
              <w:b/>
              <w:i/>
              <w:iCs/>
              <w:sz w:val="20"/>
              <w:szCs w:val="20"/>
              <w:lang w:val="en-US" w:eastAsia="bg-BG"/>
            </w:rPr>
          </w:pPr>
        </w:p>
        <w:p w14:paraId="586DF458" w14:textId="77777777" w:rsidR="00190A1D" w:rsidRPr="00261F4D" w:rsidRDefault="00190A1D" w:rsidP="00261F4D">
          <w:pPr>
            <w:spacing w:after="0" w:line="240" w:lineRule="auto"/>
            <w:jc w:val="center"/>
            <w:rPr>
              <w:rFonts w:ascii="Times New Roman" w:eastAsia="Times New Roman" w:hAnsi="Times New Roman" w:cs="Times New Roman"/>
              <w:b/>
              <w:i/>
              <w:noProof/>
              <w:sz w:val="20"/>
              <w:szCs w:val="20"/>
              <w:lang w:eastAsia="bg-BG"/>
            </w:rPr>
          </w:pPr>
        </w:p>
        <w:p w14:paraId="0D43A63E" w14:textId="35E34B3B" w:rsidR="00190A1D" w:rsidRPr="00261F4D" w:rsidRDefault="00190A1D" w:rsidP="00261F4D">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7CAE9950" wp14:editId="7C2516A9">
                <wp:extent cx="700405" cy="462915"/>
                <wp:effectExtent l="19050" t="19050" r="23495" b="1333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462915"/>
                        </a:xfrm>
                        <a:prstGeom prst="rect">
                          <a:avLst/>
                        </a:prstGeom>
                        <a:noFill/>
                        <a:ln w="9525" cmpd="sng">
                          <a:solidFill>
                            <a:srgbClr val="000000"/>
                          </a:solidFill>
                          <a:miter lim="800000"/>
                          <a:headEnd/>
                          <a:tailEnd/>
                        </a:ln>
                        <a:effectLst/>
                      </pic:spPr>
                    </pic:pic>
                  </a:graphicData>
                </a:graphic>
              </wp:inline>
            </w:drawing>
          </w:r>
        </w:p>
        <w:p w14:paraId="774D5CEE" w14:textId="77777777" w:rsidR="00190A1D" w:rsidRPr="00261F4D" w:rsidRDefault="00190A1D" w:rsidP="00261F4D">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274" w:type="pct"/>
          <w:tcBorders>
            <w:top w:val="single" w:sz="4" w:space="0" w:color="auto"/>
            <w:left w:val="single" w:sz="4" w:space="0" w:color="auto"/>
            <w:bottom w:val="single" w:sz="4" w:space="0" w:color="auto"/>
            <w:right w:val="single" w:sz="4" w:space="0" w:color="auto"/>
          </w:tcBorders>
          <w:vAlign w:val="center"/>
          <w:hideMark/>
        </w:tcPr>
        <w:p w14:paraId="6DF31071" w14:textId="53531322" w:rsidR="00190A1D" w:rsidRPr="00261F4D" w:rsidRDefault="00190A1D"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0"/>
              <w:lang w:eastAsia="bg-BG"/>
            </w:rPr>
            <w:drawing>
              <wp:inline distT="0" distB="0" distL="0" distR="0" wp14:anchorId="513C8155" wp14:editId="426C645D">
                <wp:extent cx="1460500" cy="510540"/>
                <wp:effectExtent l="0" t="0" r="6350" b="381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510540"/>
                        </a:xfrm>
                        <a:prstGeom prst="rect">
                          <a:avLst/>
                        </a:prstGeom>
                        <a:noFill/>
                        <a:ln>
                          <a:noFill/>
                        </a:ln>
                      </pic:spPr>
                    </pic:pic>
                  </a:graphicData>
                </a:graphic>
              </wp:inline>
            </w:drawing>
          </w:r>
        </w:p>
      </w:tc>
      <w:tc>
        <w:tcPr>
          <w:tcW w:w="918" w:type="pct"/>
          <w:tcBorders>
            <w:top w:val="single" w:sz="4" w:space="0" w:color="auto"/>
            <w:left w:val="single" w:sz="4" w:space="0" w:color="auto"/>
            <w:bottom w:val="single" w:sz="4" w:space="0" w:color="auto"/>
            <w:right w:val="single" w:sz="4" w:space="0" w:color="auto"/>
          </w:tcBorders>
        </w:tcPr>
        <w:p w14:paraId="20CAB42A" w14:textId="77777777" w:rsidR="00190A1D" w:rsidRPr="00261F4D" w:rsidRDefault="00190A1D" w:rsidP="00261F4D">
          <w:pPr>
            <w:spacing w:after="0" w:line="240" w:lineRule="auto"/>
            <w:jc w:val="both"/>
            <w:rPr>
              <w:rFonts w:ascii="Times New Roman" w:eastAsia="Times New Roman" w:hAnsi="Times New Roman" w:cs="Times New Roman"/>
              <w:b/>
              <w:sz w:val="20"/>
              <w:szCs w:val="20"/>
              <w:lang w:val="en-US" w:eastAsia="bg-BG"/>
            </w:rPr>
          </w:pPr>
        </w:p>
        <w:p w14:paraId="1B6E8581" w14:textId="77777777" w:rsidR="00190A1D" w:rsidRPr="00261F4D" w:rsidRDefault="00190A1D" w:rsidP="00261F4D">
          <w:pPr>
            <w:spacing w:after="0" w:line="240" w:lineRule="auto"/>
            <w:jc w:val="center"/>
            <w:rPr>
              <w:rFonts w:ascii="Times New Roman" w:eastAsia="Times New Roman" w:hAnsi="Times New Roman" w:cs="Times New Roman"/>
              <w:b/>
              <w:noProof/>
              <w:sz w:val="20"/>
              <w:szCs w:val="20"/>
              <w:lang w:eastAsia="bg-BG"/>
            </w:rPr>
          </w:pPr>
        </w:p>
        <w:p w14:paraId="7A045BF5" w14:textId="230BBA2D" w:rsidR="00190A1D" w:rsidRPr="00261F4D" w:rsidRDefault="00190A1D" w:rsidP="00261F4D">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193A69AE" wp14:editId="22F4C3E4">
                <wp:extent cx="593725" cy="474980"/>
                <wp:effectExtent l="0" t="0" r="0" b="127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474980"/>
                        </a:xfrm>
                        <a:prstGeom prst="rect">
                          <a:avLst/>
                        </a:prstGeom>
                        <a:noFill/>
                        <a:ln>
                          <a:noFill/>
                        </a:ln>
                      </pic:spPr>
                    </pic:pic>
                  </a:graphicData>
                </a:graphic>
              </wp:inline>
            </w:drawing>
          </w:r>
        </w:p>
        <w:p w14:paraId="1448CBC1" w14:textId="77777777" w:rsidR="00190A1D" w:rsidRPr="00261F4D" w:rsidRDefault="00190A1D" w:rsidP="00261F4D">
          <w:pPr>
            <w:widowControl w:val="0"/>
            <w:spacing w:after="0" w:line="240" w:lineRule="auto"/>
            <w:jc w:val="center"/>
            <w:rPr>
              <w:rFonts w:ascii="Times New Roman" w:eastAsia="Times New Roman" w:hAnsi="Times New Roman" w:cs="Times New Roman"/>
              <w:b/>
              <w:sz w:val="20"/>
              <w:szCs w:val="20"/>
              <w:lang w:val="en-US" w:eastAsia="bg-BG"/>
            </w:rPr>
          </w:pPr>
        </w:p>
      </w:tc>
      <w:tc>
        <w:tcPr>
          <w:tcW w:w="700" w:type="pct"/>
          <w:tcBorders>
            <w:top w:val="single" w:sz="4" w:space="0" w:color="auto"/>
            <w:left w:val="single" w:sz="4" w:space="0" w:color="auto"/>
            <w:bottom w:val="single" w:sz="4" w:space="0" w:color="auto"/>
            <w:right w:val="single" w:sz="4" w:space="0" w:color="auto"/>
          </w:tcBorders>
        </w:tcPr>
        <w:p w14:paraId="47BD676E" w14:textId="77777777" w:rsidR="00190A1D" w:rsidRPr="00261F4D" w:rsidRDefault="00190A1D" w:rsidP="00261F4D">
          <w:pPr>
            <w:spacing w:after="0" w:line="240" w:lineRule="auto"/>
            <w:jc w:val="both"/>
            <w:rPr>
              <w:rFonts w:ascii="Times New Roman" w:eastAsia="Times New Roman" w:hAnsi="Times New Roman" w:cs="Times New Roman"/>
              <w:b/>
              <w:sz w:val="20"/>
              <w:szCs w:val="20"/>
              <w:lang w:val="en-US" w:eastAsia="bg-BG"/>
            </w:rPr>
          </w:pPr>
        </w:p>
        <w:p w14:paraId="4835C944" w14:textId="77777777" w:rsidR="00190A1D" w:rsidRPr="00261F4D" w:rsidRDefault="00190A1D" w:rsidP="00261F4D">
          <w:pPr>
            <w:spacing w:after="0" w:line="240" w:lineRule="auto"/>
            <w:jc w:val="center"/>
            <w:rPr>
              <w:rFonts w:ascii="Calibri" w:eastAsia="Calibri" w:hAnsi="Calibri" w:cs="Calibri"/>
              <w:noProof/>
              <w:sz w:val="24"/>
              <w:szCs w:val="24"/>
              <w:lang w:eastAsia="bg-BG"/>
            </w:rPr>
          </w:pPr>
        </w:p>
        <w:p w14:paraId="52771B88" w14:textId="4AD93CD5" w:rsidR="00190A1D" w:rsidRPr="00261F4D" w:rsidRDefault="00190A1D"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70F4FCD8" wp14:editId="53143F9D">
                <wp:extent cx="581660" cy="522605"/>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 cy="522605"/>
                        </a:xfrm>
                        <a:prstGeom prst="rect">
                          <a:avLst/>
                        </a:prstGeom>
                        <a:noFill/>
                        <a:ln>
                          <a:noFill/>
                        </a:ln>
                      </pic:spPr>
                    </pic:pic>
                  </a:graphicData>
                </a:graphic>
              </wp:inline>
            </w:drawing>
          </w:r>
        </w:p>
      </w:tc>
    </w:tr>
    <w:tr w:rsidR="00190A1D" w:rsidRPr="00261F4D" w14:paraId="59E841C2" w14:textId="77777777" w:rsidTr="00A87794">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7808E84" w14:textId="77777777" w:rsidR="00190A1D" w:rsidRPr="00261F4D" w:rsidRDefault="00190A1D"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190A1D" w:rsidRPr="00261F4D" w14:paraId="40633DB8" w14:textId="77777777" w:rsidTr="00A8779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E2F8738" w14:textId="77777777" w:rsidR="00190A1D" w:rsidRPr="00261F4D" w:rsidRDefault="00190A1D"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МЕСТНА ИНИЦИАТИВНА ГРУПА „СВИЛЕНГРАД-АРЕАЛ“</w:t>
          </w:r>
        </w:p>
      </w:tc>
    </w:tr>
  </w:tbl>
  <w:p w14:paraId="5DC466C6" w14:textId="77777777" w:rsidR="00190A1D" w:rsidRPr="00261F4D" w:rsidRDefault="00190A1D" w:rsidP="00261F4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A0DB" w14:textId="77777777" w:rsidR="00190A1D" w:rsidRDefault="00190A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954"/>
    <w:multiLevelType w:val="hybridMultilevel"/>
    <w:tmpl w:val="229E6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DD6"/>
    <w:multiLevelType w:val="hybridMultilevel"/>
    <w:tmpl w:val="39561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422"/>
    <w:multiLevelType w:val="hybridMultilevel"/>
    <w:tmpl w:val="E4DA1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71AC"/>
    <w:multiLevelType w:val="hybridMultilevel"/>
    <w:tmpl w:val="5F329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71929"/>
    <w:multiLevelType w:val="hybridMultilevel"/>
    <w:tmpl w:val="BE8E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FC3E2C"/>
    <w:multiLevelType w:val="hybridMultilevel"/>
    <w:tmpl w:val="BC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583B"/>
    <w:multiLevelType w:val="hybridMultilevel"/>
    <w:tmpl w:val="1FDA5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55312"/>
    <w:multiLevelType w:val="hybridMultilevel"/>
    <w:tmpl w:val="230A9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33AC0"/>
    <w:multiLevelType w:val="hybridMultilevel"/>
    <w:tmpl w:val="B7748A4A"/>
    <w:lvl w:ilvl="0" w:tplc="712E4FF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726CA"/>
    <w:multiLevelType w:val="hybridMultilevel"/>
    <w:tmpl w:val="E1529ECC"/>
    <w:lvl w:ilvl="0" w:tplc="22BC0AF0">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B406AE"/>
    <w:multiLevelType w:val="hybridMultilevel"/>
    <w:tmpl w:val="070A894A"/>
    <w:lvl w:ilvl="0" w:tplc="DDFC97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0660"/>
    <w:multiLevelType w:val="hybridMultilevel"/>
    <w:tmpl w:val="7728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461"/>
    <w:multiLevelType w:val="hybridMultilevel"/>
    <w:tmpl w:val="B74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6D6E"/>
    <w:multiLevelType w:val="hybridMultilevel"/>
    <w:tmpl w:val="E90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B2C06"/>
    <w:multiLevelType w:val="hybridMultilevel"/>
    <w:tmpl w:val="C78AB74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B665289"/>
    <w:multiLevelType w:val="hybridMultilevel"/>
    <w:tmpl w:val="1E6EA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
  </w:num>
  <w:num w:numId="6">
    <w:abstractNumId w:val="6"/>
  </w:num>
  <w:num w:numId="7">
    <w:abstractNumId w:val="10"/>
  </w:num>
  <w:num w:numId="8">
    <w:abstractNumId w:val="7"/>
  </w:num>
  <w:num w:numId="9">
    <w:abstractNumId w:val="14"/>
  </w:num>
  <w:num w:numId="10">
    <w:abstractNumId w:val="2"/>
  </w:num>
  <w:num w:numId="11">
    <w:abstractNumId w:val="9"/>
  </w:num>
  <w:num w:numId="12">
    <w:abstractNumId w:val="4"/>
  </w:num>
  <w:num w:numId="13">
    <w:abstractNumId w:val="15"/>
  </w:num>
  <w:num w:numId="14">
    <w:abstractNumId w:val="5"/>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11"/>
    <w:rsid w:val="00001C6C"/>
    <w:rsid w:val="00003078"/>
    <w:rsid w:val="0001441B"/>
    <w:rsid w:val="00014FC8"/>
    <w:rsid w:val="00015353"/>
    <w:rsid w:val="00015432"/>
    <w:rsid w:val="00020072"/>
    <w:rsid w:val="000205F0"/>
    <w:rsid w:val="000225D4"/>
    <w:rsid w:val="00022B16"/>
    <w:rsid w:val="00023119"/>
    <w:rsid w:val="00023B55"/>
    <w:rsid w:val="00023C58"/>
    <w:rsid w:val="0002777C"/>
    <w:rsid w:val="00030F6F"/>
    <w:rsid w:val="00031DEF"/>
    <w:rsid w:val="00035BE8"/>
    <w:rsid w:val="00036661"/>
    <w:rsid w:val="00041C31"/>
    <w:rsid w:val="000422F7"/>
    <w:rsid w:val="00051547"/>
    <w:rsid w:val="00051D57"/>
    <w:rsid w:val="00054150"/>
    <w:rsid w:val="0005580A"/>
    <w:rsid w:val="00055E51"/>
    <w:rsid w:val="000576D5"/>
    <w:rsid w:val="0006178C"/>
    <w:rsid w:val="000634C1"/>
    <w:rsid w:val="00067FC8"/>
    <w:rsid w:val="00071373"/>
    <w:rsid w:val="0007243A"/>
    <w:rsid w:val="00076490"/>
    <w:rsid w:val="00076531"/>
    <w:rsid w:val="000776D5"/>
    <w:rsid w:val="00080263"/>
    <w:rsid w:val="00080A20"/>
    <w:rsid w:val="00082509"/>
    <w:rsid w:val="00087AA5"/>
    <w:rsid w:val="00091D63"/>
    <w:rsid w:val="0009235A"/>
    <w:rsid w:val="000935CA"/>
    <w:rsid w:val="000951D8"/>
    <w:rsid w:val="00097478"/>
    <w:rsid w:val="0009757F"/>
    <w:rsid w:val="00097C30"/>
    <w:rsid w:val="000A2106"/>
    <w:rsid w:val="000A3F37"/>
    <w:rsid w:val="000A52E6"/>
    <w:rsid w:val="000B02CC"/>
    <w:rsid w:val="000B043B"/>
    <w:rsid w:val="000B1CB1"/>
    <w:rsid w:val="000B7DAB"/>
    <w:rsid w:val="000C1709"/>
    <w:rsid w:val="000C5A61"/>
    <w:rsid w:val="000C6B76"/>
    <w:rsid w:val="000D1DD1"/>
    <w:rsid w:val="000D242B"/>
    <w:rsid w:val="000D64C6"/>
    <w:rsid w:val="000D7A9C"/>
    <w:rsid w:val="000D7C2C"/>
    <w:rsid w:val="000D7E3A"/>
    <w:rsid w:val="000E30D2"/>
    <w:rsid w:val="000E3C62"/>
    <w:rsid w:val="000E7575"/>
    <w:rsid w:val="000E7674"/>
    <w:rsid w:val="000F0770"/>
    <w:rsid w:val="000F3041"/>
    <w:rsid w:val="000F3552"/>
    <w:rsid w:val="000F5AC0"/>
    <w:rsid w:val="000F73F1"/>
    <w:rsid w:val="001007E3"/>
    <w:rsid w:val="0010244D"/>
    <w:rsid w:val="0010276F"/>
    <w:rsid w:val="001122DD"/>
    <w:rsid w:val="001162F2"/>
    <w:rsid w:val="00116613"/>
    <w:rsid w:val="00120012"/>
    <w:rsid w:val="00126006"/>
    <w:rsid w:val="001271C1"/>
    <w:rsid w:val="001277E3"/>
    <w:rsid w:val="00130BC3"/>
    <w:rsid w:val="00134EE2"/>
    <w:rsid w:val="001359AA"/>
    <w:rsid w:val="00137C4B"/>
    <w:rsid w:val="00140DEC"/>
    <w:rsid w:val="00142819"/>
    <w:rsid w:val="00142F51"/>
    <w:rsid w:val="00145008"/>
    <w:rsid w:val="001457BE"/>
    <w:rsid w:val="00151457"/>
    <w:rsid w:val="00164459"/>
    <w:rsid w:val="00164AB1"/>
    <w:rsid w:val="001660D2"/>
    <w:rsid w:val="0016640E"/>
    <w:rsid w:val="00166DA6"/>
    <w:rsid w:val="00167626"/>
    <w:rsid w:val="00170FF4"/>
    <w:rsid w:val="00171C46"/>
    <w:rsid w:val="00174DBB"/>
    <w:rsid w:val="00174EEC"/>
    <w:rsid w:val="00175667"/>
    <w:rsid w:val="00181D43"/>
    <w:rsid w:val="00186DBD"/>
    <w:rsid w:val="0019063A"/>
    <w:rsid w:val="00190A1D"/>
    <w:rsid w:val="00193BBD"/>
    <w:rsid w:val="0019568E"/>
    <w:rsid w:val="001A0071"/>
    <w:rsid w:val="001A018A"/>
    <w:rsid w:val="001A1270"/>
    <w:rsid w:val="001A232C"/>
    <w:rsid w:val="001A38BC"/>
    <w:rsid w:val="001A4BB7"/>
    <w:rsid w:val="001A4F19"/>
    <w:rsid w:val="001A5B02"/>
    <w:rsid w:val="001A6669"/>
    <w:rsid w:val="001A6D91"/>
    <w:rsid w:val="001A70B1"/>
    <w:rsid w:val="001C017C"/>
    <w:rsid w:val="001C0381"/>
    <w:rsid w:val="001C09AE"/>
    <w:rsid w:val="001C6AAF"/>
    <w:rsid w:val="001C6F03"/>
    <w:rsid w:val="001D0DE1"/>
    <w:rsid w:val="001D1FAE"/>
    <w:rsid w:val="001D290C"/>
    <w:rsid w:val="001D7DA5"/>
    <w:rsid w:val="001E00AE"/>
    <w:rsid w:val="001E042C"/>
    <w:rsid w:val="001E0CF3"/>
    <w:rsid w:val="001E22EA"/>
    <w:rsid w:val="001E29A9"/>
    <w:rsid w:val="001E36C1"/>
    <w:rsid w:val="001F32A8"/>
    <w:rsid w:val="001F33C9"/>
    <w:rsid w:val="001F41D8"/>
    <w:rsid w:val="001F4DD1"/>
    <w:rsid w:val="002033E8"/>
    <w:rsid w:val="00203823"/>
    <w:rsid w:val="00211F52"/>
    <w:rsid w:val="00212EF2"/>
    <w:rsid w:val="002145BC"/>
    <w:rsid w:val="002166B3"/>
    <w:rsid w:val="00220898"/>
    <w:rsid w:val="00221898"/>
    <w:rsid w:val="00230411"/>
    <w:rsid w:val="002331F0"/>
    <w:rsid w:val="00234DB2"/>
    <w:rsid w:val="00236A4F"/>
    <w:rsid w:val="00237778"/>
    <w:rsid w:val="00237F7E"/>
    <w:rsid w:val="00240CF3"/>
    <w:rsid w:val="00240DF3"/>
    <w:rsid w:val="002421D1"/>
    <w:rsid w:val="00243E2C"/>
    <w:rsid w:val="002457EF"/>
    <w:rsid w:val="0024689B"/>
    <w:rsid w:val="002472A9"/>
    <w:rsid w:val="00247E88"/>
    <w:rsid w:val="00253836"/>
    <w:rsid w:val="00257173"/>
    <w:rsid w:val="00257AA9"/>
    <w:rsid w:val="002604A9"/>
    <w:rsid w:val="00260D3B"/>
    <w:rsid w:val="00261181"/>
    <w:rsid w:val="00261D30"/>
    <w:rsid w:val="00261F4D"/>
    <w:rsid w:val="00262941"/>
    <w:rsid w:val="00264A85"/>
    <w:rsid w:val="00265D65"/>
    <w:rsid w:val="0026712E"/>
    <w:rsid w:val="002704DD"/>
    <w:rsid w:val="00273F6B"/>
    <w:rsid w:val="00282545"/>
    <w:rsid w:val="00291D0A"/>
    <w:rsid w:val="002929F9"/>
    <w:rsid w:val="0029571D"/>
    <w:rsid w:val="00297E15"/>
    <w:rsid w:val="002A01CA"/>
    <w:rsid w:val="002A1780"/>
    <w:rsid w:val="002A55C9"/>
    <w:rsid w:val="002A77E9"/>
    <w:rsid w:val="002B1899"/>
    <w:rsid w:val="002B2732"/>
    <w:rsid w:val="002B2D0A"/>
    <w:rsid w:val="002B34D6"/>
    <w:rsid w:val="002B409A"/>
    <w:rsid w:val="002C282D"/>
    <w:rsid w:val="002C7BB8"/>
    <w:rsid w:val="002D3B00"/>
    <w:rsid w:val="002D45A8"/>
    <w:rsid w:val="002E0EFA"/>
    <w:rsid w:val="002E7DC5"/>
    <w:rsid w:val="002F07D6"/>
    <w:rsid w:val="002F12CB"/>
    <w:rsid w:val="002F18B5"/>
    <w:rsid w:val="002F2383"/>
    <w:rsid w:val="002F396F"/>
    <w:rsid w:val="002F40B2"/>
    <w:rsid w:val="002F4341"/>
    <w:rsid w:val="002F55DB"/>
    <w:rsid w:val="002F6087"/>
    <w:rsid w:val="002F7B17"/>
    <w:rsid w:val="0030003B"/>
    <w:rsid w:val="0030056A"/>
    <w:rsid w:val="0030327A"/>
    <w:rsid w:val="00304DC2"/>
    <w:rsid w:val="00305771"/>
    <w:rsid w:val="00306B04"/>
    <w:rsid w:val="00314FC7"/>
    <w:rsid w:val="003151D7"/>
    <w:rsid w:val="00315A70"/>
    <w:rsid w:val="00317EA0"/>
    <w:rsid w:val="00317FF9"/>
    <w:rsid w:val="00320022"/>
    <w:rsid w:val="003218DF"/>
    <w:rsid w:val="00321923"/>
    <w:rsid w:val="00321BD2"/>
    <w:rsid w:val="00322B03"/>
    <w:rsid w:val="003231FD"/>
    <w:rsid w:val="003233F9"/>
    <w:rsid w:val="00323867"/>
    <w:rsid w:val="003239F8"/>
    <w:rsid w:val="003252C4"/>
    <w:rsid w:val="0032688E"/>
    <w:rsid w:val="00326E3F"/>
    <w:rsid w:val="00327EC1"/>
    <w:rsid w:val="003311B7"/>
    <w:rsid w:val="00332D38"/>
    <w:rsid w:val="003350BB"/>
    <w:rsid w:val="00340A93"/>
    <w:rsid w:val="00343837"/>
    <w:rsid w:val="00344778"/>
    <w:rsid w:val="0035235D"/>
    <w:rsid w:val="0035361D"/>
    <w:rsid w:val="00354163"/>
    <w:rsid w:val="00357C7E"/>
    <w:rsid w:val="00361C5F"/>
    <w:rsid w:val="00361D2D"/>
    <w:rsid w:val="00362998"/>
    <w:rsid w:val="00362DEB"/>
    <w:rsid w:val="00365305"/>
    <w:rsid w:val="003661EF"/>
    <w:rsid w:val="00367FDA"/>
    <w:rsid w:val="00374633"/>
    <w:rsid w:val="0037471A"/>
    <w:rsid w:val="00376B58"/>
    <w:rsid w:val="00381097"/>
    <w:rsid w:val="003819A5"/>
    <w:rsid w:val="00382AD5"/>
    <w:rsid w:val="003831AD"/>
    <w:rsid w:val="0038522B"/>
    <w:rsid w:val="00385658"/>
    <w:rsid w:val="003929E3"/>
    <w:rsid w:val="00392BE1"/>
    <w:rsid w:val="00394C1A"/>
    <w:rsid w:val="00394F22"/>
    <w:rsid w:val="003B033F"/>
    <w:rsid w:val="003B309A"/>
    <w:rsid w:val="003B4CCD"/>
    <w:rsid w:val="003B553B"/>
    <w:rsid w:val="003B708C"/>
    <w:rsid w:val="003C2DCF"/>
    <w:rsid w:val="003C3196"/>
    <w:rsid w:val="003C395D"/>
    <w:rsid w:val="003C6E24"/>
    <w:rsid w:val="003D2BAE"/>
    <w:rsid w:val="003D3022"/>
    <w:rsid w:val="003D3295"/>
    <w:rsid w:val="003D3B92"/>
    <w:rsid w:val="003D4C33"/>
    <w:rsid w:val="003D4FAE"/>
    <w:rsid w:val="003E3A3F"/>
    <w:rsid w:val="003E433E"/>
    <w:rsid w:val="003E46FD"/>
    <w:rsid w:val="003E5003"/>
    <w:rsid w:val="003E5286"/>
    <w:rsid w:val="003E73A0"/>
    <w:rsid w:val="003F093C"/>
    <w:rsid w:val="003F0C59"/>
    <w:rsid w:val="003F1FC2"/>
    <w:rsid w:val="003F350B"/>
    <w:rsid w:val="003F50A0"/>
    <w:rsid w:val="003F73CF"/>
    <w:rsid w:val="00403774"/>
    <w:rsid w:val="0040650E"/>
    <w:rsid w:val="0040698D"/>
    <w:rsid w:val="0041015B"/>
    <w:rsid w:val="00410A15"/>
    <w:rsid w:val="00412CA9"/>
    <w:rsid w:val="00412E63"/>
    <w:rsid w:val="00414FEA"/>
    <w:rsid w:val="004229A9"/>
    <w:rsid w:val="00425C54"/>
    <w:rsid w:val="00426465"/>
    <w:rsid w:val="00432F45"/>
    <w:rsid w:val="00433BFB"/>
    <w:rsid w:val="004357A7"/>
    <w:rsid w:val="00436AAD"/>
    <w:rsid w:val="00437D80"/>
    <w:rsid w:val="00442D47"/>
    <w:rsid w:val="00443D14"/>
    <w:rsid w:val="00446D34"/>
    <w:rsid w:val="00447299"/>
    <w:rsid w:val="00450578"/>
    <w:rsid w:val="0045490B"/>
    <w:rsid w:val="004578C9"/>
    <w:rsid w:val="0046046C"/>
    <w:rsid w:val="00465808"/>
    <w:rsid w:val="004666AE"/>
    <w:rsid w:val="00470097"/>
    <w:rsid w:val="004724AA"/>
    <w:rsid w:val="00472C8A"/>
    <w:rsid w:val="00473324"/>
    <w:rsid w:val="00473971"/>
    <w:rsid w:val="00474164"/>
    <w:rsid w:val="00474A01"/>
    <w:rsid w:val="00480FEF"/>
    <w:rsid w:val="004822A0"/>
    <w:rsid w:val="0048429E"/>
    <w:rsid w:val="00485499"/>
    <w:rsid w:val="0048619C"/>
    <w:rsid w:val="00486F07"/>
    <w:rsid w:val="00490448"/>
    <w:rsid w:val="00490EB3"/>
    <w:rsid w:val="00496C3F"/>
    <w:rsid w:val="004979EC"/>
    <w:rsid w:val="004A0A9D"/>
    <w:rsid w:val="004A15C1"/>
    <w:rsid w:val="004A1CF7"/>
    <w:rsid w:val="004A2DC4"/>
    <w:rsid w:val="004A3A79"/>
    <w:rsid w:val="004A49FC"/>
    <w:rsid w:val="004B08D2"/>
    <w:rsid w:val="004B1C20"/>
    <w:rsid w:val="004B2E4E"/>
    <w:rsid w:val="004B341C"/>
    <w:rsid w:val="004B5C00"/>
    <w:rsid w:val="004B7A03"/>
    <w:rsid w:val="004C2BA4"/>
    <w:rsid w:val="004C3A00"/>
    <w:rsid w:val="004C6553"/>
    <w:rsid w:val="004C6583"/>
    <w:rsid w:val="004D2FF2"/>
    <w:rsid w:val="004D40A1"/>
    <w:rsid w:val="004D6A3C"/>
    <w:rsid w:val="004E5261"/>
    <w:rsid w:val="004E773D"/>
    <w:rsid w:val="004E7A4A"/>
    <w:rsid w:val="004F0BFB"/>
    <w:rsid w:val="004F5D84"/>
    <w:rsid w:val="00503DA6"/>
    <w:rsid w:val="00504B9D"/>
    <w:rsid w:val="0050720D"/>
    <w:rsid w:val="00507D8B"/>
    <w:rsid w:val="0051240C"/>
    <w:rsid w:val="00512410"/>
    <w:rsid w:val="0051324F"/>
    <w:rsid w:val="00516027"/>
    <w:rsid w:val="0051727A"/>
    <w:rsid w:val="00517A73"/>
    <w:rsid w:val="00527AC7"/>
    <w:rsid w:val="00530908"/>
    <w:rsid w:val="00531079"/>
    <w:rsid w:val="00533C98"/>
    <w:rsid w:val="0053509E"/>
    <w:rsid w:val="005355E7"/>
    <w:rsid w:val="00536CA6"/>
    <w:rsid w:val="00541338"/>
    <w:rsid w:val="00541617"/>
    <w:rsid w:val="005431DF"/>
    <w:rsid w:val="00545A0F"/>
    <w:rsid w:val="0054689D"/>
    <w:rsid w:val="00552F9C"/>
    <w:rsid w:val="005533BF"/>
    <w:rsid w:val="00553412"/>
    <w:rsid w:val="00560863"/>
    <w:rsid w:val="0056303E"/>
    <w:rsid w:val="005642CA"/>
    <w:rsid w:val="00564651"/>
    <w:rsid w:val="0056657D"/>
    <w:rsid w:val="0057356D"/>
    <w:rsid w:val="00573890"/>
    <w:rsid w:val="00574B86"/>
    <w:rsid w:val="00581222"/>
    <w:rsid w:val="00583960"/>
    <w:rsid w:val="00583DEE"/>
    <w:rsid w:val="005846BC"/>
    <w:rsid w:val="005846DA"/>
    <w:rsid w:val="00587096"/>
    <w:rsid w:val="00587177"/>
    <w:rsid w:val="00592809"/>
    <w:rsid w:val="00592906"/>
    <w:rsid w:val="005932FF"/>
    <w:rsid w:val="005941AC"/>
    <w:rsid w:val="005A30DA"/>
    <w:rsid w:val="005A34E5"/>
    <w:rsid w:val="005A709F"/>
    <w:rsid w:val="005B21CB"/>
    <w:rsid w:val="005B292E"/>
    <w:rsid w:val="005B45FA"/>
    <w:rsid w:val="005C6026"/>
    <w:rsid w:val="005C7BE1"/>
    <w:rsid w:val="005D1BF7"/>
    <w:rsid w:val="005D2910"/>
    <w:rsid w:val="005D54EE"/>
    <w:rsid w:val="005D5EA4"/>
    <w:rsid w:val="005E0323"/>
    <w:rsid w:val="005E08BE"/>
    <w:rsid w:val="005E22CF"/>
    <w:rsid w:val="005E2C7B"/>
    <w:rsid w:val="005E2F4A"/>
    <w:rsid w:val="005E35FD"/>
    <w:rsid w:val="005F16A6"/>
    <w:rsid w:val="005F1A7A"/>
    <w:rsid w:val="005F254B"/>
    <w:rsid w:val="005F2923"/>
    <w:rsid w:val="005F3A0A"/>
    <w:rsid w:val="005F3A6D"/>
    <w:rsid w:val="005F44F7"/>
    <w:rsid w:val="005F4B05"/>
    <w:rsid w:val="00600170"/>
    <w:rsid w:val="00600763"/>
    <w:rsid w:val="00605E42"/>
    <w:rsid w:val="00606A48"/>
    <w:rsid w:val="00610F2E"/>
    <w:rsid w:val="00611E87"/>
    <w:rsid w:val="00612B80"/>
    <w:rsid w:val="00613B11"/>
    <w:rsid w:val="006169C3"/>
    <w:rsid w:val="00620952"/>
    <w:rsid w:val="00621D79"/>
    <w:rsid w:val="00622456"/>
    <w:rsid w:val="006237C4"/>
    <w:rsid w:val="0062692C"/>
    <w:rsid w:val="00633314"/>
    <w:rsid w:val="006339CB"/>
    <w:rsid w:val="00634C13"/>
    <w:rsid w:val="00636FDE"/>
    <w:rsid w:val="006411A5"/>
    <w:rsid w:val="006421AE"/>
    <w:rsid w:val="00644D78"/>
    <w:rsid w:val="006469F7"/>
    <w:rsid w:val="006475F9"/>
    <w:rsid w:val="006479FB"/>
    <w:rsid w:val="00647FEF"/>
    <w:rsid w:val="0065546F"/>
    <w:rsid w:val="006565E3"/>
    <w:rsid w:val="00662953"/>
    <w:rsid w:val="00665A5B"/>
    <w:rsid w:val="0067274F"/>
    <w:rsid w:val="00673B12"/>
    <w:rsid w:val="0067595B"/>
    <w:rsid w:val="00677CBA"/>
    <w:rsid w:val="006818CB"/>
    <w:rsid w:val="00684A0A"/>
    <w:rsid w:val="00685D65"/>
    <w:rsid w:val="00690F30"/>
    <w:rsid w:val="0069123E"/>
    <w:rsid w:val="00692D53"/>
    <w:rsid w:val="006940EA"/>
    <w:rsid w:val="006946BB"/>
    <w:rsid w:val="0069755D"/>
    <w:rsid w:val="006A4A1B"/>
    <w:rsid w:val="006A61AA"/>
    <w:rsid w:val="006A6B79"/>
    <w:rsid w:val="006A71E0"/>
    <w:rsid w:val="006B0B5E"/>
    <w:rsid w:val="006B173B"/>
    <w:rsid w:val="006B2450"/>
    <w:rsid w:val="006B60C6"/>
    <w:rsid w:val="006C1B8A"/>
    <w:rsid w:val="006C61B7"/>
    <w:rsid w:val="006C749E"/>
    <w:rsid w:val="006C7845"/>
    <w:rsid w:val="006D082E"/>
    <w:rsid w:val="006D3427"/>
    <w:rsid w:val="006E003A"/>
    <w:rsid w:val="006E058B"/>
    <w:rsid w:val="006E0970"/>
    <w:rsid w:val="006E247F"/>
    <w:rsid w:val="006E42C6"/>
    <w:rsid w:val="006E59CE"/>
    <w:rsid w:val="006E6352"/>
    <w:rsid w:val="006E7A9E"/>
    <w:rsid w:val="006F1188"/>
    <w:rsid w:val="006F31C3"/>
    <w:rsid w:val="006F32D5"/>
    <w:rsid w:val="006F7C5F"/>
    <w:rsid w:val="00700D18"/>
    <w:rsid w:val="007018FE"/>
    <w:rsid w:val="007076BC"/>
    <w:rsid w:val="00714E8F"/>
    <w:rsid w:val="007154FD"/>
    <w:rsid w:val="007217F6"/>
    <w:rsid w:val="00721CF5"/>
    <w:rsid w:val="007228F3"/>
    <w:rsid w:val="00723B95"/>
    <w:rsid w:val="007273C2"/>
    <w:rsid w:val="00730F75"/>
    <w:rsid w:val="00731866"/>
    <w:rsid w:val="00733622"/>
    <w:rsid w:val="00734E3F"/>
    <w:rsid w:val="00735416"/>
    <w:rsid w:val="00735D91"/>
    <w:rsid w:val="00735E1F"/>
    <w:rsid w:val="007400AA"/>
    <w:rsid w:val="00740BA4"/>
    <w:rsid w:val="00744AE0"/>
    <w:rsid w:val="0074507E"/>
    <w:rsid w:val="00745398"/>
    <w:rsid w:val="00745761"/>
    <w:rsid w:val="0074591A"/>
    <w:rsid w:val="00747D15"/>
    <w:rsid w:val="00750503"/>
    <w:rsid w:val="00754C13"/>
    <w:rsid w:val="00755117"/>
    <w:rsid w:val="0075519D"/>
    <w:rsid w:val="00760EF2"/>
    <w:rsid w:val="007624ED"/>
    <w:rsid w:val="00764021"/>
    <w:rsid w:val="00765029"/>
    <w:rsid w:val="00766DA5"/>
    <w:rsid w:val="00767526"/>
    <w:rsid w:val="0077091B"/>
    <w:rsid w:val="00774297"/>
    <w:rsid w:val="0077484F"/>
    <w:rsid w:val="00775906"/>
    <w:rsid w:val="00780DD4"/>
    <w:rsid w:val="00781D77"/>
    <w:rsid w:val="00783D3B"/>
    <w:rsid w:val="007847A7"/>
    <w:rsid w:val="007872C3"/>
    <w:rsid w:val="00787FF0"/>
    <w:rsid w:val="00791489"/>
    <w:rsid w:val="00793BE2"/>
    <w:rsid w:val="00793E4D"/>
    <w:rsid w:val="00794B99"/>
    <w:rsid w:val="00796D41"/>
    <w:rsid w:val="007A35C7"/>
    <w:rsid w:val="007A7FC0"/>
    <w:rsid w:val="007B0371"/>
    <w:rsid w:val="007B0AFE"/>
    <w:rsid w:val="007B1C68"/>
    <w:rsid w:val="007B39F7"/>
    <w:rsid w:val="007B405C"/>
    <w:rsid w:val="007C4FB0"/>
    <w:rsid w:val="007C54A5"/>
    <w:rsid w:val="007C6265"/>
    <w:rsid w:val="007D1555"/>
    <w:rsid w:val="007D4749"/>
    <w:rsid w:val="007D5D9A"/>
    <w:rsid w:val="007E1B83"/>
    <w:rsid w:val="007E1DAF"/>
    <w:rsid w:val="007E236D"/>
    <w:rsid w:val="007E6C1E"/>
    <w:rsid w:val="007F4463"/>
    <w:rsid w:val="007F4AF9"/>
    <w:rsid w:val="00800CEE"/>
    <w:rsid w:val="008013DD"/>
    <w:rsid w:val="008042EE"/>
    <w:rsid w:val="00804E1C"/>
    <w:rsid w:val="008053B2"/>
    <w:rsid w:val="00805537"/>
    <w:rsid w:val="0081122E"/>
    <w:rsid w:val="00811F22"/>
    <w:rsid w:val="008156B0"/>
    <w:rsid w:val="00817EEC"/>
    <w:rsid w:val="00820A21"/>
    <w:rsid w:val="00821222"/>
    <w:rsid w:val="008230E9"/>
    <w:rsid w:val="0082690B"/>
    <w:rsid w:val="008271A4"/>
    <w:rsid w:val="00831FAE"/>
    <w:rsid w:val="0083455D"/>
    <w:rsid w:val="00840358"/>
    <w:rsid w:val="00842F10"/>
    <w:rsid w:val="00843B4F"/>
    <w:rsid w:val="0084583F"/>
    <w:rsid w:val="00845C08"/>
    <w:rsid w:val="00853ED6"/>
    <w:rsid w:val="00860409"/>
    <w:rsid w:val="00865712"/>
    <w:rsid w:val="00865A7B"/>
    <w:rsid w:val="00870A71"/>
    <w:rsid w:val="00871557"/>
    <w:rsid w:val="00871C63"/>
    <w:rsid w:val="00873BDA"/>
    <w:rsid w:val="00877C3D"/>
    <w:rsid w:val="00881285"/>
    <w:rsid w:val="008821B3"/>
    <w:rsid w:val="00882FD7"/>
    <w:rsid w:val="00884F72"/>
    <w:rsid w:val="008860D7"/>
    <w:rsid w:val="00890DEA"/>
    <w:rsid w:val="00892BF8"/>
    <w:rsid w:val="008976A3"/>
    <w:rsid w:val="00897BF5"/>
    <w:rsid w:val="008A104F"/>
    <w:rsid w:val="008A4CF6"/>
    <w:rsid w:val="008A5505"/>
    <w:rsid w:val="008B173F"/>
    <w:rsid w:val="008B185D"/>
    <w:rsid w:val="008B3DD5"/>
    <w:rsid w:val="008C0B98"/>
    <w:rsid w:val="008C3A20"/>
    <w:rsid w:val="008D273D"/>
    <w:rsid w:val="008D3FCD"/>
    <w:rsid w:val="008D7FA2"/>
    <w:rsid w:val="008E0424"/>
    <w:rsid w:val="008E189A"/>
    <w:rsid w:val="008E19BD"/>
    <w:rsid w:val="008E244B"/>
    <w:rsid w:val="008E4375"/>
    <w:rsid w:val="008F01AE"/>
    <w:rsid w:val="008F366E"/>
    <w:rsid w:val="008F38A7"/>
    <w:rsid w:val="008F5AEB"/>
    <w:rsid w:val="008F607C"/>
    <w:rsid w:val="008F65CA"/>
    <w:rsid w:val="008F66A6"/>
    <w:rsid w:val="008F774F"/>
    <w:rsid w:val="008F79E2"/>
    <w:rsid w:val="00900E12"/>
    <w:rsid w:val="00904597"/>
    <w:rsid w:val="0090766F"/>
    <w:rsid w:val="009143FF"/>
    <w:rsid w:val="009151FA"/>
    <w:rsid w:val="00916375"/>
    <w:rsid w:val="0091748D"/>
    <w:rsid w:val="00923561"/>
    <w:rsid w:val="0092411B"/>
    <w:rsid w:val="0092464C"/>
    <w:rsid w:val="00924EF1"/>
    <w:rsid w:val="0092537C"/>
    <w:rsid w:val="00926D3D"/>
    <w:rsid w:val="0093448B"/>
    <w:rsid w:val="00934835"/>
    <w:rsid w:val="00934B9B"/>
    <w:rsid w:val="00937357"/>
    <w:rsid w:val="0094079C"/>
    <w:rsid w:val="00941E13"/>
    <w:rsid w:val="009449EB"/>
    <w:rsid w:val="009449F5"/>
    <w:rsid w:val="009512B9"/>
    <w:rsid w:val="0095348F"/>
    <w:rsid w:val="00953AF3"/>
    <w:rsid w:val="009555C8"/>
    <w:rsid w:val="00957E8E"/>
    <w:rsid w:val="00962809"/>
    <w:rsid w:val="00963F0F"/>
    <w:rsid w:val="00964E08"/>
    <w:rsid w:val="009657A5"/>
    <w:rsid w:val="00965AB7"/>
    <w:rsid w:val="00966012"/>
    <w:rsid w:val="0097065C"/>
    <w:rsid w:val="009718AF"/>
    <w:rsid w:val="009719E4"/>
    <w:rsid w:val="00972AF7"/>
    <w:rsid w:val="00973F5B"/>
    <w:rsid w:val="00987B30"/>
    <w:rsid w:val="00990378"/>
    <w:rsid w:val="009946A4"/>
    <w:rsid w:val="009946DB"/>
    <w:rsid w:val="00996309"/>
    <w:rsid w:val="009A06EB"/>
    <w:rsid w:val="009A21ED"/>
    <w:rsid w:val="009A60EF"/>
    <w:rsid w:val="009A7071"/>
    <w:rsid w:val="009B5B0A"/>
    <w:rsid w:val="009B5C4A"/>
    <w:rsid w:val="009B6AEB"/>
    <w:rsid w:val="009C33F6"/>
    <w:rsid w:val="009C495F"/>
    <w:rsid w:val="009C6EE4"/>
    <w:rsid w:val="009D322A"/>
    <w:rsid w:val="009D3F30"/>
    <w:rsid w:val="009D6D6B"/>
    <w:rsid w:val="009D6DAE"/>
    <w:rsid w:val="009E0AED"/>
    <w:rsid w:val="009E125A"/>
    <w:rsid w:val="009E3029"/>
    <w:rsid w:val="009F6A67"/>
    <w:rsid w:val="009F6F5D"/>
    <w:rsid w:val="00A011DF"/>
    <w:rsid w:val="00A0258C"/>
    <w:rsid w:val="00A030EF"/>
    <w:rsid w:val="00A04826"/>
    <w:rsid w:val="00A05A6B"/>
    <w:rsid w:val="00A063C0"/>
    <w:rsid w:val="00A078AB"/>
    <w:rsid w:val="00A174FD"/>
    <w:rsid w:val="00A17788"/>
    <w:rsid w:val="00A17BF2"/>
    <w:rsid w:val="00A240C5"/>
    <w:rsid w:val="00A254E1"/>
    <w:rsid w:val="00A27A2C"/>
    <w:rsid w:val="00A30FEC"/>
    <w:rsid w:val="00A33611"/>
    <w:rsid w:val="00A37CC5"/>
    <w:rsid w:val="00A4376E"/>
    <w:rsid w:val="00A4522B"/>
    <w:rsid w:val="00A46B46"/>
    <w:rsid w:val="00A4712E"/>
    <w:rsid w:val="00A4745B"/>
    <w:rsid w:val="00A5006D"/>
    <w:rsid w:val="00A506C0"/>
    <w:rsid w:val="00A50D32"/>
    <w:rsid w:val="00A52B48"/>
    <w:rsid w:val="00A554E1"/>
    <w:rsid w:val="00A56CD7"/>
    <w:rsid w:val="00A56FE6"/>
    <w:rsid w:val="00A5790E"/>
    <w:rsid w:val="00A61A01"/>
    <w:rsid w:val="00A62491"/>
    <w:rsid w:val="00A65611"/>
    <w:rsid w:val="00A721C5"/>
    <w:rsid w:val="00A73A97"/>
    <w:rsid w:val="00A74A15"/>
    <w:rsid w:val="00A75CCC"/>
    <w:rsid w:val="00A77AEE"/>
    <w:rsid w:val="00A82796"/>
    <w:rsid w:val="00A82BE7"/>
    <w:rsid w:val="00A872CA"/>
    <w:rsid w:val="00A87794"/>
    <w:rsid w:val="00A90D54"/>
    <w:rsid w:val="00A91E51"/>
    <w:rsid w:val="00A93186"/>
    <w:rsid w:val="00A93379"/>
    <w:rsid w:val="00A93C55"/>
    <w:rsid w:val="00A94628"/>
    <w:rsid w:val="00A950CF"/>
    <w:rsid w:val="00A965F5"/>
    <w:rsid w:val="00A97AEC"/>
    <w:rsid w:val="00AA4B55"/>
    <w:rsid w:val="00AA6850"/>
    <w:rsid w:val="00AB4784"/>
    <w:rsid w:val="00AB55FD"/>
    <w:rsid w:val="00AC313B"/>
    <w:rsid w:val="00AC4733"/>
    <w:rsid w:val="00AC7E73"/>
    <w:rsid w:val="00AD094F"/>
    <w:rsid w:val="00AD0C6B"/>
    <w:rsid w:val="00AD1E7A"/>
    <w:rsid w:val="00AD3C27"/>
    <w:rsid w:val="00AD3CDC"/>
    <w:rsid w:val="00AD66B7"/>
    <w:rsid w:val="00AD731B"/>
    <w:rsid w:val="00AD7B4B"/>
    <w:rsid w:val="00AE240F"/>
    <w:rsid w:val="00AE33ED"/>
    <w:rsid w:val="00AE47E1"/>
    <w:rsid w:val="00AE5E47"/>
    <w:rsid w:val="00AF313B"/>
    <w:rsid w:val="00AF45FB"/>
    <w:rsid w:val="00AF5DB9"/>
    <w:rsid w:val="00AF6D66"/>
    <w:rsid w:val="00B01EDC"/>
    <w:rsid w:val="00B061D4"/>
    <w:rsid w:val="00B0705B"/>
    <w:rsid w:val="00B07D89"/>
    <w:rsid w:val="00B106CD"/>
    <w:rsid w:val="00B11941"/>
    <w:rsid w:val="00B16501"/>
    <w:rsid w:val="00B20872"/>
    <w:rsid w:val="00B22B4E"/>
    <w:rsid w:val="00B256FD"/>
    <w:rsid w:val="00B25986"/>
    <w:rsid w:val="00B37E66"/>
    <w:rsid w:val="00B40857"/>
    <w:rsid w:val="00B45D8F"/>
    <w:rsid w:val="00B4738E"/>
    <w:rsid w:val="00B47FF4"/>
    <w:rsid w:val="00B50151"/>
    <w:rsid w:val="00B540E9"/>
    <w:rsid w:val="00B5635F"/>
    <w:rsid w:val="00B56F11"/>
    <w:rsid w:val="00B62A5B"/>
    <w:rsid w:val="00B63806"/>
    <w:rsid w:val="00B709C4"/>
    <w:rsid w:val="00B74CD5"/>
    <w:rsid w:val="00B7510A"/>
    <w:rsid w:val="00B75A06"/>
    <w:rsid w:val="00B8163C"/>
    <w:rsid w:val="00B821E1"/>
    <w:rsid w:val="00B83B3F"/>
    <w:rsid w:val="00B84018"/>
    <w:rsid w:val="00B8569E"/>
    <w:rsid w:val="00B87AE4"/>
    <w:rsid w:val="00B9027B"/>
    <w:rsid w:val="00B91AAD"/>
    <w:rsid w:val="00B94F92"/>
    <w:rsid w:val="00B951B5"/>
    <w:rsid w:val="00B9665B"/>
    <w:rsid w:val="00B97B41"/>
    <w:rsid w:val="00BA62AD"/>
    <w:rsid w:val="00BB09C5"/>
    <w:rsid w:val="00BB1853"/>
    <w:rsid w:val="00BC3514"/>
    <w:rsid w:val="00BC5A86"/>
    <w:rsid w:val="00BC6681"/>
    <w:rsid w:val="00BD1E80"/>
    <w:rsid w:val="00BD25CB"/>
    <w:rsid w:val="00BD6E1D"/>
    <w:rsid w:val="00BE17E7"/>
    <w:rsid w:val="00BE2348"/>
    <w:rsid w:val="00BE2736"/>
    <w:rsid w:val="00BE7672"/>
    <w:rsid w:val="00BF2271"/>
    <w:rsid w:val="00BF41E4"/>
    <w:rsid w:val="00BF7AF7"/>
    <w:rsid w:val="00C03C45"/>
    <w:rsid w:val="00C063FF"/>
    <w:rsid w:val="00C07011"/>
    <w:rsid w:val="00C071CE"/>
    <w:rsid w:val="00C07E91"/>
    <w:rsid w:val="00C10A69"/>
    <w:rsid w:val="00C12246"/>
    <w:rsid w:val="00C127D1"/>
    <w:rsid w:val="00C15E2C"/>
    <w:rsid w:val="00C17D25"/>
    <w:rsid w:val="00C25865"/>
    <w:rsid w:val="00C3467B"/>
    <w:rsid w:val="00C34C13"/>
    <w:rsid w:val="00C3508D"/>
    <w:rsid w:val="00C37CE9"/>
    <w:rsid w:val="00C42985"/>
    <w:rsid w:val="00C43E64"/>
    <w:rsid w:val="00C47F88"/>
    <w:rsid w:val="00C50F16"/>
    <w:rsid w:val="00C522F0"/>
    <w:rsid w:val="00C5347A"/>
    <w:rsid w:val="00C621CF"/>
    <w:rsid w:val="00C639FB"/>
    <w:rsid w:val="00C64F7E"/>
    <w:rsid w:val="00C75142"/>
    <w:rsid w:val="00C76087"/>
    <w:rsid w:val="00C81D59"/>
    <w:rsid w:val="00C82B8A"/>
    <w:rsid w:val="00C83611"/>
    <w:rsid w:val="00C95B03"/>
    <w:rsid w:val="00C971A5"/>
    <w:rsid w:val="00CA0AD6"/>
    <w:rsid w:val="00CA0F75"/>
    <w:rsid w:val="00CA4970"/>
    <w:rsid w:val="00CA5328"/>
    <w:rsid w:val="00CA777C"/>
    <w:rsid w:val="00CB04DB"/>
    <w:rsid w:val="00CB091B"/>
    <w:rsid w:val="00CB35FE"/>
    <w:rsid w:val="00CB4253"/>
    <w:rsid w:val="00CB4819"/>
    <w:rsid w:val="00CB53C0"/>
    <w:rsid w:val="00CB7629"/>
    <w:rsid w:val="00CC1691"/>
    <w:rsid w:val="00CC1BB8"/>
    <w:rsid w:val="00CC1D11"/>
    <w:rsid w:val="00CC2F56"/>
    <w:rsid w:val="00CC613E"/>
    <w:rsid w:val="00CC6E80"/>
    <w:rsid w:val="00CD0306"/>
    <w:rsid w:val="00CD351B"/>
    <w:rsid w:val="00CD5134"/>
    <w:rsid w:val="00CD5C2E"/>
    <w:rsid w:val="00CD731C"/>
    <w:rsid w:val="00CE1DC0"/>
    <w:rsid w:val="00CE1E79"/>
    <w:rsid w:val="00CE1FBC"/>
    <w:rsid w:val="00CE37B3"/>
    <w:rsid w:val="00CE602B"/>
    <w:rsid w:val="00CE6156"/>
    <w:rsid w:val="00CF1A93"/>
    <w:rsid w:val="00CF2242"/>
    <w:rsid w:val="00CF37F3"/>
    <w:rsid w:val="00D00205"/>
    <w:rsid w:val="00D04192"/>
    <w:rsid w:val="00D05F28"/>
    <w:rsid w:val="00D06A42"/>
    <w:rsid w:val="00D10E04"/>
    <w:rsid w:val="00D119CE"/>
    <w:rsid w:val="00D13737"/>
    <w:rsid w:val="00D15720"/>
    <w:rsid w:val="00D15CC1"/>
    <w:rsid w:val="00D16A57"/>
    <w:rsid w:val="00D173ED"/>
    <w:rsid w:val="00D21F21"/>
    <w:rsid w:val="00D22561"/>
    <w:rsid w:val="00D23050"/>
    <w:rsid w:val="00D240A9"/>
    <w:rsid w:val="00D246D1"/>
    <w:rsid w:val="00D247BF"/>
    <w:rsid w:val="00D25220"/>
    <w:rsid w:val="00D26E8D"/>
    <w:rsid w:val="00D27BCA"/>
    <w:rsid w:val="00D3275A"/>
    <w:rsid w:val="00D3393D"/>
    <w:rsid w:val="00D33FA8"/>
    <w:rsid w:val="00D3402E"/>
    <w:rsid w:val="00D346D4"/>
    <w:rsid w:val="00D34C4D"/>
    <w:rsid w:val="00D35425"/>
    <w:rsid w:val="00D375C7"/>
    <w:rsid w:val="00D40B48"/>
    <w:rsid w:val="00D41CF1"/>
    <w:rsid w:val="00D426E1"/>
    <w:rsid w:val="00D47281"/>
    <w:rsid w:val="00D53807"/>
    <w:rsid w:val="00D53CAA"/>
    <w:rsid w:val="00D6193B"/>
    <w:rsid w:val="00D63556"/>
    <w:rsid w:val="00D6484F"/>
    <w:rsid w:val="00D667AB"/>
    <w:rsid w:val="00D7006A"/>
    <w:rsid w:val="00D71880"/>
    <w:rsid w:val="00D71DCE"/>
    <w:rsid w:val="00D748CA"/>
    <w:rsid w:val="00D760DB"/>
    <w:rsid w:val="00D767DB"/>
    <w:rsid w:val="00D8132D"/>
    <w:rsid w:val="00D82124"/>
    <w:rsid w:val="00D932B2"/>
    <w:rsid w:val="00D954EC"/>
    <w:rsid w:val="00D96EC6"/>
    <w:rsid w:val="00DA2936"/>
    <w:rsid w:val="00DA5DA3"/>
    <w:rsid w:val="00DA6CF2"/>
    <w:rsid w:val="00DB14CB"/>
    <w:rsid w:val="00DB196F"/>
    <w:rsid w:val="00DC359E"/>
    <w:rsid w:val="00DC3C9E"/>
    <w:rsid w:val="00DC41BB"/>
    <w:rsid w:val="00DC5F6D"/>
    <w:rsid w:val="00DD1095"/>
    <w:rsid w:val="00DD153E"/>
    <w:rsid w:val="00DD3734"/>
    <w:rsid w:val="00DD6680"/>
    <w:rsid w:val="00DE195E"/>
    <w:rsid w:val="00DE2C60"/>
    <w:rsid w:val="00DE3EC8"/>
    <w:rsid w:val="00DE5ED7"/>
    <w:rsid w:val="00DE6D9F"/>
    <w:rsid w:val="00DE7BB3"/>
    <w:rsid w:val="00DE7C76"/>
    <w:rsid w:val="00DF1D1A"/>
    <w:rsid w:val="00DF3048"/>
    <w:rsid w:val="00DF67D6"/>
    <w:rsid w:val="00DF6B3E"/>
    <w:rsid w:val="00DF6D1C"/>
    <w:rsid w:val="00DF78E3"/>
    <w:rsid w:val="00E0173F"/>
    <w:rsid w:val="00E04B0D"/>
    <w:rsid w:val="00E0751D"/>
    <w:rsid w:val="00E119CB"/>
    <w:rsid w:val="00E12909"/>
    <w:rsid w:val="00E136E2"/>
    <w:rsid w:val="00E13BE9"/>
    <w:rsid w:val="00E13BFB"/>
    <w:rsid w:val="00E142CF"/>
    <w:rsid w:val="00E14B1D"/>
    <w:rsid w:val="00E14C42"/>
    <w:rsid w:val="00E160F5"/>
    <w:rsid w:val="00E175D6"/>
    <w:rsid w:val="00E213EC"/>
    <w:rsid w:val="00E22C48"/>
    <w:rsid w:val="00E25070"/>
    <w:rsid w:val="00E2779E"/>
    <w:rsid w:val="00E300F3"/>
    <w:rsid w:val="00E30F93"/>
    <w:rsid w:val="00E34BC9"/>
    <w:rsid w:val="00E4186B"/>
    <w:rsid w:val="00E4382B"/>
    <w:rsid w:val="00E44F47"/>
    <w:rsid w:val="00E51CDC"/>
    <w:rsid w:val="00E51DF7"/>
    <w:rsid w:val="00E51E84"/>
    <w:rsid w:val="00E542A9"/>
    <w:rsid w:val="00E55AB8"/>
    <w:rsid w:val="00E60B5A"/>
    <w:rsid w:val="00E60DAD"/>
    <w:rsid w:val="00E62554"/>
    <w:rsid w:val="00E63E02"/>
    <w:rsid w:val="00E6621C"/>
    <w:rsid w:val="00E73D65"/>
    <w:rsid w:val="00E7654C"/>
    <w:rsid w:val="00E80960"/>
    <w:rsid w:val="00E85758"/>
    <w:rsid w:val="00E85B98"/>
    <w:rsid w:val="00E86703"/>
    <w:rsid w:val="00E86907"/>
    <w:rsid w:val="00E86B15"/>
    <w:rsid w:val="00E94C77"/>
    <w:rsid w:val="00E97E61"/>
    <w:rsid w:val="00EA123F"/>
    <w:rsid w:val="00EA14F6"/>
    <w:rsid w:val="00EA3128"/>
    <w:rsid w:val="00EA5EBE"/>
    <w:rsid w:val="00EB07EE"/>
    <w:rsid w:val="00EB199F"/>
    <w:rsid w:val="00EB2C1D"/>
    <w:rsid w:val="00EB3671"/>
    <w:rsid w:val="00EB4BA5"/>
    <w:rsid w:val="00EB655E"/>
    <w:rsid w:val="00EC1117"/>
    <w:rsid w:val="00EC170F"/>
    <w:rsid w:val="00EC1C53"/>
    <w:rsid w:val="00EC1C5E"/>
    <w:rsid w:val="00EC2C45"/>
    <w:rsid w:val="00EC34F6"/>
    <w:rsid w:val="00EC4180"/>
    <w:rsid w:val="00EC59D0"/>
    <w:rsid w:val="00EC6FB2"/>
    <w:rsid w:val="00EC7327"/>
    <w:rsid w:val="00ED177F"/>
    <w:rsid w:val="00ED4963"/>
    <w:rsid w:val="00EE343B"/>
    <w:rsid w:val="00EE468E"/>
    <w:rsid w:val="00EF5E4F"/>
    <w:rsid w:val="00EF6A1F"/>
    <w:rsid w:val="00EF6D41"/>
    <w:rsid w:val="00F04883"/>
    <w:rsid w:val="00F0732F"/>
    <w:rsid w:val="00F11302"/>
    <w:rsid w:val="00F11C6D"/>
    <w:rsid w:val="00F14BC1"/>
    <w:rsid w:val="00F1548F"/>
    <w:rsid w:val="00F16154"/>
    <w:rsid w:val="00F225B4"/>
    <w:rsid w:val="00F23207"/>
    <w:rsid w:val="00F2572A"/>
    <w:rsid w:val="00F32713"/>
    <w:rsid w:val="00F4051A"/>
    <w:rsid w:val="00F407DC"/>
    <w:rsid w:val="00F40E54"/>
    <w:rsid w:val="00F41916"/>
    <w:rsid w:val="00F42561"/>
    <w:rsid w:val="00F4449D"/>
    <w:rsid w:val="00F44DC0"/>
    <w:rsid w:val="00F4733F"/>
    <w:rsid w:val="00F50686"/>
    <w:rsid w:val="00F5647C"/>
    <w:rsid w:val="00F56994"/>
    <w:rsid w:val="00F576D2"/>
    <w:rsid w:val="00F57DA2"/>
    <w:rsid w:val="00F6061D"/>
    <w:rsid w:val="00F6708F"/>
    <w:rsid w:val="00F6718D"/>
    <w:rsid w:val="00F67CE4"/>
    <w:rsid w:val="00F67D4C"/>
    <w:rsid w:val="00F70CDF"/>
    <w:rsid w:val="00F8060F"/>
    <w:rsid w:val="00F8179C"/>
    <w:rsid w:val="00F81E93"/>
    <w:rsid w:val="00F8565E"/>
    <w:rsid w:val="00F9048D"/>
    <w:rsid w:val="00F91D63"/>
    <w:rsid w:val="00F94C85"/>
    <w:rsid w:val="00F9561F"/>
    <w:rsid w:val="00F96F43"/>
    <w:rsid w:val="00F97339"/>
    <w:rsid w:val="00F97436"/>
    <w:rsid w:val="00FA15E1"/>
    <w:rsid w:val="00FA2F03"/>
    <w:rsid w:val="00FA41CE"/>
    <w:rsid w:val="00FA546C"/>
    <w:rsid w:val="00FA6A24"/>
    <w:rsid w:val="00FB13F7"/>
    <w:rsid w:val="00FB39EC"/>
    <w:rsid w:val="00FB4B2D"/>
    <w:rsid w:val="00FB69DC"/>
    <w:rsid w:val="00FC047E"/>
    <w:rsid w:val="00FC6413"/>
    <w:rsid w:val="00FD1EFB"/>
    <w:rsid w:val="00FD206D"/>
    <w:rsid w:val="00FD7D4F"/>
    <w:rsid w:val="00FE48B1"/>
    <w:rsid w:val="00FE5A03"/>
    <w:rsid w:val="00FE68DC"/>
    <w:rsid w:val="00FE730A"/>
    <w:rsid w:val="00FE7CB6"/>
    <w:rsid w:val="00FE7DB7"/>
    <w:rsid w:val="00FF21BC"/>
    <w:rsid w:val="00FF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DD18"/>
  <w15:docId w15:val="{8343319E-2AE7-4EA6-8503-5798C178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AE"/>
    <w:rPr>
      <w:lang w:val="bg-BG"/>
    </w:rPr>
  </w:style>
  <w:style w:type="paragraph" w:styleId="1">
    <w:name w:val="heading 1"/>
    <w:basedOn w:val="a"/>
    <w:next w:val="a"/>
    <w:link w:val="10"/>
    <w:uiPriority w:val="9"/>
    <w:qFormat/>
    <w:rsid w:val="00BF4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4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41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F41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1,Colorful List - Accent 11,List Paragraph11,List Paragraph111,List Paragraph1111"/>
    <w:basedOn w:val="a"/>
    <w:link w:val="a4"/>
    <w:uiPriority w:val="34"/>
    <w:qFormat/>
    <w:rsid w:val="00230411"/>
    <w:pPr>
      <w:ind w:left="720"/>
      <w:contextualSpacing/>
    </w:pPr>
  </w:style>
  <w:style w:type="paragraph" w:styleId="a5">
    <w:name w:val="Balloon Text"/>
    <w:basedOn w:val="a"/>
    <w:link w:val="a6"/>
    <w:uiPriority w:val="99"/>
    <w:semiHidden/>
    <w:unhideWhenUsed/>
    <w:rsid w:val="00503DA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03DA6"/>
    <w:rPr>
      <w:rFonts w:ascii="Segoe UI" w:hAnsi="Segoe UI" w:cs="Segoe UI"/>
      <w:sz w:val="18"/>
      <w:szCs w:val="18"/>
    </w:rPr>
  </w:style>
  <w:style w:type="character" w:styleId="a7">
    <w:name w:val="Hyperlink"/>
    <w:basedOn w:val="a0"/>
    <w:uiPriority w:val="99"/>
    <w:unhideWhenUsed/>
    <w:rsid w:val="00442D47"/>
    <w:rPr>
      <w:color w:val="0563C1" w:themeColor="hyperlink"/>
      <w:u w:val="single"/>
    </w:rPr>
  </w:style>
  <w:style w:type="character" w:styleId="a8">
    <w:name w:val="FollowedHyperlink"/>
    <w:basedOn w:val="a0"/>
    <w:uiPriority w:val="99"/>
    <w:semiHidden/>
    <w:unhideWhenUsed/>
    <w:rsid w:val="00442D47"/>
    <w:rPr>
      <w:color w:val="954F72" w:themeColor="followedHyperlink"/>
      <w:u w:val="single"/>
    </w:rPr>
  </w:style>
  <w:style w:type="paragraph" w:styleId="a9">
    <w:name w:val="header"/>
    <w:basedOn w:val="a"/>
    <w:link w:val="aa"/>
    <w:uiPriority w:val="99"/>
    <w:unhideWhenUsed/>
    <w:rsid w:val="00442D47"/>
    <w:pPr>
      <w:tabs>
        <w:tab w:val="center" w:pos="4536"/>
        <w:tab w:val="right" w:pos="9072"/>
      </w:tabs>
      <w:spacing w:after="0" w:line="240" w:lineRule="auto"/>
    </w:pPr>
  </w:style>
  <w:style w:type="character" w:customStyle="1" w:styleId="aa">
    <w:name w:val="Горен колонтитул Знак"/>
    <w:basedOn w:val="a0"/>
    <w:link w:val="a9"/>
    <w:uiPriority w:val="99"/>
    <w:rsid w:val="00442D47"/>
  </w:style>
  <w:style w:type="paragraph" w:styleId="ab">
    <w:name w:val="footer"/>
    <w:basedOn w:val="a"/>
    <w:link w:val="ac"/>
    <w:uiPriority w:val="99"/>
    <w:unhideWhenUsed/>
    <w:rsid w:val="00442D47"/>
    <w:pPr>
      <w:tabs>
        <w:tab w:val="center" w:pos="4536"/>
        <w:tab w:val="right" w:pos="9072"/>
      </w:tabs>
      <w:spacing w:after="0" w:line="240" w:lineRule="auto"/>
    </w:pPr>
  </w:style>
  <w:style w:type="character" w:customStyle="1" w:styleId="ac">
    <w:name w:val="Долен колонтитул Знак"/>
    <w:basedOn w:val="a0"/>
    <w:link w:val="ab"/>
    <w:uiPriority w:val="99"/>
    <w:rsid w:val="00442D47"/>
  </w:style>
  <w:style w:type="table" w:styleId="ad">
    <w:name w:val="Table Grid"/>
    <w:basedOn w:val="a1"/>
    <w:uiPriority w:val="39"/>
    <w:rsid w:val="0062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stile 1,Footnote,Footnote1,Footnote2,Footnote3,Footnote4,Footnote5,Footnote6,Footnote7,Footnote8,Footnote9,Footnote10,Footnote11,Footnote21,Footnote31,Footnote41,Footnote51,Footnote61,Footnote71,Footnote81,Footnote91,Podrozdział"/>
    <w:basedOn w:val="a"/>
    <w:link w:val="af"/>
    <w:uiPriority w:val="99"/>
    <w:unhideWhenUsed/>
    <w:rsid w:val="001F41D8"/>
    <w:pPr>
      <w:spacing w:after="0" w:line="240" w:lineRule="auto"/>
    </w:pPr>
    <w:rPr>
      <w:sz w:val="20"/>
      <w:szCs w:val="20"/>
    </w:rPr>
  </w:style>
  <w:style w:type="character" w:customStyle="1" w:styleId="af">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e"/>
    <w:uiPriority w:val="99"/>
    <w:rsid w:val="001F41D8"/>
    <w:rPr>
      <w:sz w:val="20"/>
      <w:szCs w:val="20"/>
    </w:rPr>
  </w:style>
  <w:style w:type="character" w:styleId="af0">
    <w:name w:val="footnote reference"/>
    <w:basedOn w:val="a0"/>
    <w:unhideWhenUsed/>
    <w:rsid w:val="001F41D8"/>
    <w:rPr>
      <w:vertAlign w:val="superscript"/>
    </w:rPr>
  </w:style>
  <w:style w:type="character" w:styleId="af1">
    <w:name w:val="annotation reference"/>
    <w:basedOn w:val="a0"/>
    <w:uiPriority w:val="99"/>
    <w:semiHidden/>
    <w:unhideWhenUsed/>
    <w:rsid w:val="00E300F3"/>
    <w:rPr>
      <w:sz w:val="16"/>
      <w:szCs w:val="16"/>
    </w:rPr>
  </w:style>
  <w:style w:type="paragraph" w:styleId="af2">
    <w:name w:val="annotation text"/>
    <w:basedOn w:val="a"/>
    <w:link w:val="af3"/>
    <w:uiPriority w:val="99"/>
    <w:unhideWhenUsed/>
    <w:rsid w:val="00E300F3"/>
    <w:pPr>
      <w:spacing w:line="240" w:lineRule="auto"/>
    </w:pPr>
    <w:rPr>
      <w:sz w:val="20"/>
      <w:szCs w:val="20"/>
    </w:rPr>
  </w:style>
  <w:style w:type="character" w:customStyle="1" w:styleId="af3">
    <w:name w:val="Текст на коментар Знак"/>
    <w:basedOn w:val="a0"/>
    <w:link w:val="af2"/>
    <w:uiPriority w:val="99"/>
    <w:rsid w:val="00E300F3"/>
    <w:rPr>
      <w:sz w:val="20"/>
      <w:szCs w:val="20"/>
    </w:rPr>
  </w:style>
  <w:style w:type="paragraph" w:styleId="af4">
    <w:name w:val="annotation subject"/>
    <w:basedOn w:val="af2"/>
    <w:next w:val="af2"/>
    <w:link w:val="af5"/>
    <w:uiPriority w:val="99"/>
    <w:semiHidden/>
    <w:unhideWhenUsed/>
    <w:rsid w:val="00E300F3"/>
    <w:rPr>
      <w:b/>
      <w:bCs/>
    </w:rPr>
  </w:style>
  <w:style w:type="character" w:customStyle="1" w:styleId="af5">
    <w:name w:val="Предмет на коментар Знак"/>
    <w:basedOn w:val="af3"/>
    <w:link w:val="af4"/>
    <w:uiPriority w:val="99"/>
    <w:semiHidden/>
    <w:rsid w:val="00E300F3"/>
    <w:rPr>
      <w:b/>
      <w:bCs/>
      <w:sz w:val="20"/>
      <w:szCs w:val="20"/>
    </w:rPr>
  </w:style>
  <w:style w:type="character" w:customStyle="1" w:styleId="10">
    <w:name w:val="Заглавие 1 Знак"/>
    <w:basedOn w:val="a0"/>
    <w:link w:val="1"/>
    <w:uiPriority w:val="9"/>
    <w:rsid w:val="00BF41E4"/>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BF41E4"/>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BF41E4"/>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BF41E4"/>
    <w:rPr>
      <w:rFonts w:asciiTheme="majorHAnsi" w:eastAsiaTheme="majorEastAsia" w:hAnsiTheme="majorHAnsi" w:cstheme="majorBidi"/>
      <w:i/>
      <w:iCs/>
      <w:color w:val="2E74B5" w:themeColor="accent1" w:themeShade="BF"/>
    </w:rPr>
  </w:style>
  <w:style w:type="paragraph" w:styleId="af6">
    <w:name w:val="List"/>
    <w:basedOn w:val="a"/>
    <w:uiPriority w:val="99"/>
    <w:unhideWhenUsed/>
    <w:rsid w:val="00BF41E4"/>
    <w:pPr>
      <w:ind w:left="283" w:hanging="283"/>
      <w:contextualSpacing/>
    </w:pPr>
  </w:style>
  <w:style w:type="paragraph" w:styleId="21">
    <w:name w:val="List 2"/>
    <w:basedOn w:val="a"/>
    <w:uiPriority w:val="99"/>
    <w:unhideWhenUsed/>
    <w:rsid w:val="00BF41E4"/>
    <w:pPr>
      <w:ind w:left="566" w:hanging="283"/>
      <w:contextualSpacing/>
    </w:pPr>
  </w:style>
  <w:style w:type="paragraph" w:styleId="31">
    <w:name w:val="List 3"/>
    <w:basedOn w:val="a"/>
    <w:uiPriority w:val="99"/>
    <w:unhideWhenUsed/>
    <w:rsid w:val="00BF41E4"/>
    <w:pPr>
      <w:ind w:left="849" w:hanging="283"/>
      <w:contextualSpacing/>
    </w:pPr>
  </w:style>
  <w:style w:type="paragraph" w:styleId="af7">
    <w:name w:val="Body Text"/>
    <w:basedOn w:val="a"/>
    <w:link w:val="af8"/>
    <w:uiPriority w:val="99"/>
    <w:unhideWhenUsed/>
    <w:rsid w:val="00BF41E4"/>
    <w:pPr>
      <w:spacing w:after="120"/>
    </w:pPr>
  </w:style>
  <w:style w:type="character" w:customStyle="1" w:styleId="af8">
    <w:name w:val="Основен текст Знак"/>
    <w:basedOn w:val="a0"/>
    <w:link w:val="af7"/>
    <w:uiPriority w:val="99"/>
    <w:rsid w:val="00BF41E4"/>
  </w:style>
  <w:style w:type="paragraph" w:styleId="af9">
    <w:name w:val="Body Text First Indent"/>
    <w:basedOn w:val="af7"/>
    <w:link w:val="afa"/>
    <w:uiPriority w:val="99"/>
    <w:unhideWhenUsed/>
    <w:rsid w:val="00BF41E4"/>
    <w:pPr>
      <w:spacing w:after="160"/>
      <w:ind w:firstLine="360"/>
    </w:pPr>
  </w:style>
  <w:style w:type="character" w:customStyle="1" w:styleId="afa">
    <w:name w:val="Основен текст отстъп първи ред Знак"/>
    <w:basedOn w:val="af8"/>
    <w:link w:val="af9"/>
    <w:uiPriority w:val="99"/>
    <w:rsid w:val="00BF41E4"/>
  </w:style>
  <w:style w:type="paragraph" w:styleId="afb">
    <w:name w:val="Revision"/>
    <w:hidden/>
    <w:uiPriority w:val="99"/>
    <w:semiHidden/>
    <w:rsid w:val="00622456"/>
    <w:pPr>
      <w:spacing w:after="0" w:line="240" w:lineRule="auto"/>
    </w:pPr>
    <w:rPr>
      <w:lang w:val="bg-BG"/>
    </w:rPr>
  </w:style>
  <w:style w:type="paragraph" w:styleId="afc">
    <w:name w:val="TOC Heading"/>
    <w:basedOn w:val="1"/>
    <w:next w:val="a"/>
    <w:uiPriority w:val="39"/>
    <w:unhideWhenUsed/>
    <w:qFormat/>
    <w:rsid w:val="00450578"/>
    <w:pPr>
      <w:outlineLvl w:val="9"/>
    </w:pPr>
    <w:rPr>
      <w:lang w:val="en-US"/>
    </w:rPr>
  </w:style>
  <w:style w:type="paragraph" w:styleId="11">
    <w:name w:val="toc 1"/>
    <w:basedOn w:val="a"/>
    <w:next w:val="a"/>
    <w:autoRedefine/>
    <w:uiPriority w:val="39"/>
    <w:unhideWhenUsed/>
    <w:rsid w:val="00450578"/>
    <w:pPr>
      <w:spacing w:after="100"/>
    </w:pPr>
  </w:style>
  <w:style w:type="paragraph" w:styleId="22">
    <w:name w:val="toc 2"/>
    <w:basedOn w:val="a"/>
    <w:next w:val="a"/>
    <w:autoRedefine/>
    <w:uiPriority w:val="39"/>
    <w:unhideWhenUsed/>
    <w:rsid w:val="00450578"/>
    <w:pPr>
      <w:spacing w:after="100"/>
      <w:ind w:left="220"/>
    </w:pPr>
  </w:style>
  <w:style w:type="paragraph" w:styleId="32">
    <w:name w:val="toc 3"/>
    <w:basedOn w:val="a"/>
    <w:next w:val="a"/>
    <w:autoRedefine/>
    <w:uiPriority w:val="39"/>
    <w:unhideWhenUsed/>
    <w:rsid w:val="00450578"/>
    <w:pPr>
      <w:spacing w:after="100"/>
      <w:ind w:left="440"/>
    </w:pPr>
  </w:style>
  <w:style w:type="table" w:customStyle="1" w:styleId="TableGrid5">
    <w:name w:val="Table Grid5"/>
    <w:basedOn w:val="a1"/>
    <w:next w:val="ad"/>
    <w:uiPriority w:val="59"/>
    <w:rsid w:val="00CB4253"/>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d"/>
    <w:rsid w:val="0005415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List Paragraph1 Знак,List1 Знак,Colorful List - Accent 11 Знак,List Paragraph11 Знак,List Paragraph111 Знак,List Paragraph1111 Знак"/>
    <w:link w:val="a3"/>
    <w:uiPriority w:val="34"/>
    <w:locked/>
    <w:rsid w:val="00C071C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9609">
      <w:bodyDiv w:val="1"/>
      <w:marLeft w:val="0"/>
      <w:marRight w:val="0"/>
      <w:marTop w:val="0"/>
      <w:marBottom w:val="0"/>
      <w:divBdr>
        <w:top w:val="none" w:sz="0" w:space="0" w:color="auto"/>
        <w:left w:val="none" w:sz="0" w:space="0" w:color="auto"/>
        <w:bottom w:val="none" w:sz="0" w:space="0" w:color="auto"/>
        <w:right w:val="none" w:sz="0" w:space="0" w:color="auto"/>
      </w:divBdr>
    </w:div>
    <w:div w:id="531110695">
      <w:bodyDiv w:val="1"/>
      <w:marLeft w:val="0"/>
      <w:marRight w:val="0"/>
      <w:marTop w:val="0"/>
      <w:marBottom w:val="0"/>
      <w:divBdr>
        <w:top w:val="none" w:sz="0" w:space="0" w:color="auto"/>
        <w:left w:val="none" w:sz="0" w:space="0" w:color="auto"/>
        <w:bottom w:val="none" w:sz="0" w:space="0" w:color="auto"/>
        <w:right w:val="none" w:sz="0" w:space="0" w:color="auto"/>
      </w:divBdr>
    </w:div>
    <w:div w:id="984815986">
      <w:bodyDiv w:val="1"/>
      <w:marLeft w:val="0"/>
      <w:marRight w:val="0"/>
      <w:marTop w:val="0"/>
      <w:marBottom w:val="0"/>
      <w:divBdr>
        <w:top w:val="none" w:sz="0" w:space="0" w:color="auto"/>
        <w:left w:val="none" w:sz="0" w:space="0" w:color="auto"/>
        <w:bottom w:val="none" w:sz="0" w:space="0" w:color="auto"/>
        <w:right w:val="none" w:sz="0" w:space="0" w:color="auto"/>
      </w:divBdr>
    </w:div>
    <w:div w:id="10337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page&amp;pageId=67" TargetMode="External"/><Relationship Id="rId13" Type="http://schemas.openxmlformats.org/officeDocument/2006/relationships/hyperlink" Target="http://sf.mon.bg/?go=page&amp;pageId=13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svilengrad@mail.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mis2020.government.b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mon.bg/?go=page&amp;pageId=13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9579-1396-4A12-B6EA-41982893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53</Pages>
  <Words>19925</Words>
  <Characters>113573</Characters>
  <Application>Microsoft Office Word</Application>
  <DocSecurity>0</DocSecurity>
  <Lines>946</Lines>
  <Paragraphs>266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Dimitrova</dc:creator>
  <cp:lastModifiedBy>User</cp:lastModifiedBy>
  <cp:revision>48</cp:revision>
  <cp:lastPrinted>2018-03-13T12:18:00Z</cp:lastPrinted>
  <dcterms:created xsi:type="dcterms:W3CDTF">2019-04-02T06:21:00Z</dcterms:created>
  <dcterms:modified xsi:type="dcterms:W3CDTF">2019-07-10T07:37:00Z</dcterms:modified>
</cp:coreProperties>
</file>