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73" w:rsidRPr="00BA2763" w:rsidRDefault="00213873" w:rsidP="00F14DFA">
      <w:pPr>
        <w:rPr>
          <w:sz w:val="22"/>
          <w:szCs w:val="22"/>
          <w:lang w:val="en-US"/>
        </w:rPr>
      </w:pPr>
    </w:p>
    <w:p w:rsidR="000D0D1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44"/>
        <w:gridCol w:w="3048"/>
        <w:gridCol w:w="2776"/>
        <w:gridCol w:w="2719"/>
      </w:tblGrid>
      <w:tr w:rsidR="000D0D10" w:rsidRPr="000D0D10" w:rsidTr="00BA2581">
        <w:trPr>
          <w:trHeight w:val="140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0D0D10">
              <w:rPr>
                <w:b/>
                <w:noProof/>
                <w:sz w:val="20"/>
              </w:rPr>
              <w:drawing>
                <wp:inline distT="0" distB="0" distL="0" distR="0">
                  <wp:extent cx="1000125" cy="638175"/>
                  <wp:effectExtent l="0" t="0" r="9525" b="9525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i/>
                <w:iCs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0D0D10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914400" cy="600075"/>
                  <wp:effectExtent l="19050" t="19050" r="19050" b="28575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noProof/>
                <w:sz w:val="20"/>
                <w:szCs w:val="20"/>
              </w:rPr>
              <w:drawing>
                <wp:inline distT="0" distB="0" distL="0" distR="0">
                  <wp:extent cx="1162050" cy="533400"/>
                  <wp:effectExtent l="0" t="0" r="0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600075"/>
                  <wp:effectExtent l="0" t="0" r="0" b="9525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10" w:rsidRPr="000D0D10" w:rsidRDefault="000D0D10" w:rsidP="000D0D1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D0D10" w:rsidRPr="000D0D10" w:rsidRDefault="000D0D10" w:rsidP="000D0D10">
            <w:pPr>
              <w:jc w:val="center"/>
              <w:rPr>
                <w:rFonts w:cs="Calibri"/>
                <w:noProof/>
              </w:rPr>
            </w:pPr>
          </w:p>
          <w:p w:rsidR="000D0D10" w:rsidRPr="000D0D10" w:rsidRDefault="000D0D10" w:rsidP="000D0D1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D0D10">
              <w:rPr>
                <w:noProof/>
              </w:rPr>
              <w:drawing>
                <wp:inline distT="0" distB="0" distL="0" distR="0">
                  <wp:extent cx="809625" cy="733425"/>
                  <wp:effectExtent l="0" t="0" r="9525" b="9525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D10" w:rsidRPr="000D0D10" w:rsidTr="00BA2581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0D0D10" w:rsidRDefault="000D0D10" w:rsidP="000D0D10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0D0D10">
              <w:rPr>
                <w:b/>
                <w:iCs/>
                <w:sz w:val="18"/>
                <w:szCs w:val="18"/>
              </w:rPr>
              <w:t>ЕВРОПЕЙСКИ СЪЮЗ – ЕВРОПЕЙСКИ ЗЕМЕДЕЛСКИ ФОНД ЗА РАЗВИТИЕ</w:t>
            </w:r>
            <w:r w:rsidRPr="00B80AC0">
              <w:rPr>
                <w:b/>
                <w:iCs/>
                <w:sz w:val="18"/>
                <w:szCs w:val="18"/>
              </w:rPr>
              <w:t xml:space="preserve"> </w:t>
            </w:r>
            <w:r w:rsidRPr="000D0D10">
              <w:rPr>
                <w:b/>
                <w:iCs/>
                <w:sz w:val="18"/>
                <w:szCs w:val="18"/>
              </w:rPr>
              <w:t>НА СЕЛСКИТЕ РАЙОНИ</w:t>
            </w:r>
          </w:p>
        </w:tc>
      </w:tr>
      <w:tr w:rsidR="000D0D10" w:rsidRPr="000D0D10" w:rsidTr="00BA258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10" w:rsidRPr="00B80AC0" w:rsidRDefault="000D0D10" w:rsidP="000D0D10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0D0D10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F54200" w:rsidRDefault="00F54200" w:rsidP="00F14DFA">
      <w:pPr>
        <w:rPr>
          <w:sz w:val="22"/>
          <w:szCs w:val="22"/>
        </w:rPr>
      </w:pPr>
    </w:p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BF3" w:rsidRDefault="00B64BF3" w:rsidP="00B64BF3">
      <w:pPr>
        <w:widowControl w:val="0"/>
        <w:jc w:val="center"/>
        <w:rPr>
          <w:rFonts w:eastAsia="Calibri"/>
          <w:b/>
          <w:lang w:eastAsia="en-US"/>
        </w:rPr>
      </w:pPr>
    </w:p>
    <w:p w:rsidR="00990BAF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B64BF3" w:rsidRPr="00A64E03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</w:t>
      </w:r>
      <w:r w:rsidR="000D0D10">
        <w:rPr>
          <w:b/>
          <w:bCs/>
          <w:sz w:val="22"/>
          <w:szCs w:val="22"/>
        </w:rPr>
        <w:t xml:space="preserve">Програма за развитие на селските райони </w:t>
      </w:r>
      <w:r w:rsidRPr="00A64E03">
        <w:rPr>
          <w:b/>
          <w:bCs/>
          <w:sz w:val="22"/>
          <w:szCs w:val="22"/>
        </w:rPr>
        <w:t>2014-2020 г.</w:t>
      </w:r>
    </w:p>
    <w:p w:rsidR="00B64BF3" w:rsidRPr="00A64E03" w:rsidRDefault="00B64BF3" w:rsidP="00B64BF3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816613" w:rsidRPr="00A64E03" w:rsidRDefault="00816613" w:rsidP="00F14DFA">
      <w:pPr>
        <w:rPr>
          <w:sz w:val="22"/>
          <w:szCs w:val="22"/>
        </w:rPr>
      </w:pPr>
    </w:p>
    <w:p w:rsidR="00E22962" w:rsidRPr="004620F8" w:rsidRDefault="00990BAF" w:rsidP="004620F8">
      <w:pPr>
        <w:spacing w:after="120" w:line="23" w:lineRule="atLeast"/>
        <w:ind w:left="108" w:right="109"/>
        <w:jc w:val="center"/>
        <w:rPr>
          <w:b/>
          <w:bCs/>
        </w:rPr>
      </w:pPr>
      <w:r w:rsidRPr="00990BAF">
        <w:rPr>
          <w:b/>
          <w:sz w:val="22"/>
          <w:szCs w:val="22"/>
        </w:rPr>
        <w:t>Постъпили въпроси от кандидати и разяснения по тях</w:t>
      </w:r>
      <w:r w:rsidR="00020CCC" w:rsidRPr="00990BAF">
        <w:rPr>
          <w:b/>
          <w:sz w:val="22"/>
          <w:szCs w:val="22"/>
        </w:rPr>
        <w:t xml:space="preserve"> </w:t>
      </w:r>
      <w:r w:rsidR="00F14DFA" w:rsidRPr="00990BAF">
        <w:rPr>
          <w:b/>
          <w:sz w:val="22"/>
          <w:szCs w:val="22"/>
        </w:rPr>
        <w:t xml:space="preserve">по процедура </w:t>
      </w:r>
      <w:r w:rsidR="004620F8" w:rsidRPr="004620F8">
        <w:rPr>
          <w:b/>
          <w:bCs/>
          <w:lang w:val="x-none"/>
        </w:rPr>
        <w:t>№</w:t>
      </w:r>
      <w:r w:rsidR="004620F8" w:rsidRPr="004620F8">
        <w:rPr>
          <w:b/>
          <w:lang w:val="x-none"/>
        </w:rPr>
        <w:t xml:space="preserve"> BG06RDNP001-</w:t>
      </w:r>
      <w:r w:rsidR="004620F8" w:rsidRPr="004620F8">
        <w:rPr>
          <w:b/>
        </w:rPr>
        <w:t>19.137</w:t>
      </w:r>
      <w:r w:rsidR="004620F8" w:rsidRPr="004620F8">
        <w:rPr>
          <w:b/>
          <w:bCs/>
          <w:lang w:val="x-none"/>
        </w:rPr>
        <w:t xml:space="preserve"> </w:t>
      </w:r>
      <w:r w:rsidR="004620F8" w:rsidRPr="004620F8">
        <w:rPr>
          <w:b/>
          <w:bCs/>
        </w:rPr>
        <w:t xml:space="preserve">- </w:t>
      </w:r>
      <w:r w:rsidR="004620F8" w:rsidRPr="004620F8">
        <w:rPr>
          <w:b/>
        </w:rPr>
        <w:t>МИГ Свиленград ареал „</w:t>
      </w:r>
      <w:proofErr w:type="spellStart"/>
      <w:r w:rsidR="004620F8" w:rsidRPr="004620F8">
        <w:rPr>
          <w:b/>
          <w:bCs/>
        </w:rPr>
        <w:t>Подмярка</w:t>
      </w:r>
      <w:proofErr w:type="spellEnd"/>
      <w:r w:rsidR="004620F8" w:rsidRPr="004620F8">
        <w:rPr>
          <w:b/>
          <w:bCs/>
        </w:rPr>
        <w:t xml:space="preserve"> 4.1. Инвестиции в земеделски стопанства“ на мярка 4 „</w:t>
      </w:r>
      <w:r w:rsidR="004620F8" w:rsidRPr="004620F8">
        <w:rPr>
          <w:b/>
          <w:bCs/>
          <w:iCs/>
        </w:rPr>
        <w:t>Инвестиции в материални активи</w:t>
      </w:r>
      <w:r w:rsidR="004620F8" w:rsidRPr="004620F8">
        <w:rPr>
          <w:b/>
          <w:bCs/>
        </w:rPr>
        <w:t>“</w:t>
      </w:r>
      <w:r w:rsidR="004620F8">
        <w:rPr>
          <w:b/>
          <w:bCs/>
          <w:lang w:val="en-US"/>
        </w:rPr>
        <w:t xml:space="preserve"> </w:t>
      </w:r>
      <w:r w:rsidR="00E22962" w:rsidRPr="00E22962">
        <w:rPr>
          <w:b/>
        </w:rPr>
        <w:t>от Програма за развитие на селските райони 2014 – 2020 г. 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418"/>
        <w:gridCol w:w="6050"/>
        <w:gridCol w:w="5635"/>
      </w:tblGrid>
      <w:tr w:rsidR="00990BAF" w:rsidRPr="003A54E0" w:rsidTr="00497251">
        <w:trPr>
          <w:tblHeader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Въпрос/Данни на подателя / име и/или ел.поща/</w:t>
            </w:r>
          </w:p>
        </w:tc>
        <w:tc>
          <w:tcPr>
            <w:tcW w:w="5635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990BAF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BAF" w:rsidRDefault="00BA2763" w:rsidP="005923D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5923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="005923D0">
              <w:rPr>
                <w:sz w:val="22"/>
                <w:szCs w:val="22"/>
              </w:rPr>
              <w:t>.</w:t>
            </w:r>
            <w:r w:rsidR="00A23716" w:rsidRPr="00A2371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</w:p>
          <w:p w:rsidR="006B3934" w:rsidRPr="00A23716" w:rsidRDefault="006B3934" w:rsidP="005923D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50" w:type="dxa"/>
            <w:shd w:val="clear" w:color="auto" w:fill="auto"/>
          </w:tcPr>
          <w:p w:rsidR="00BA2763" w:rsidRPr="00BA2763" w:rsidRDefault="00BA2763" w:rsidP="00BA2763">
            <w:pPr>
              <w:jc w:val="both"/>
              <w:rPr>
                <w:sz w:val="22"/>
                <w:szCs w:val="22"/>
              </w:rPr>
            </w:pPr>
            <w:r w:rsidRPr="00BA2763">
              <w:rPr>
                <w:sz w:val="22"/>
                <w:szCs w:val="22"/>
              </w:rPr>
              <w:t>с. Студена, дали ще получава точки за НР 2, при условие, че вече не е в списъка с землища в НР 2 ?</w:t>
            </w:r>
          </w:p>
          <w:p w:rsidR="00C520EE" w:rsidRDefault="00C520EE" w:rsidP="00BA276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175E85" w:rsidRDefault="00175E85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BA2763" w:rsidRPr="00BA2763" w:rsidRDefault="00BA2763" w:rsidP="00BA2763">
            <w:pPr>
              <w:jc w:val="both"/>
              <w:rPr>
                <w:sz w:val="22"/>
                <w:szCs w:val="22"/>
              </w:rPr>
            </w:pPr>
            <w:r w:rsidRPr="00BA2763">
              <w:rPr>
                <w:sz w:val="22"/>
                <w:szCs w:val="22"/>
              </w:rPr>
              <w:t xml:space="preserve">За да се получат точки за </w:t>
            </w:r>
            <w:proofErr w:type="spellStart"/>
            <w:r w:rsidRPr="00BA2763">
              <w:rPr>
                <w:sz w:val="22"/>
                <w:szCs w:val="22"/>
              </w:rPr>
              <w:t>Био</w:t>
            </w:r>
            <w:proofErr w:type="spellEnd"/>
            <w:r w:rsidRPr="00BA2763">
              <w:rPr>
                <w:sz w:val="22"/>
                <w:szCs w:val="22"/>
              </w:rPr>
              <w:t>, площите, с които се кандидатства трябва ли да са вече сертифицирани или тепърва може да бъдат вк</w:t>
            </w:r>
            <w:r w:rsidR="007B2E8C">
              <w:rPr>
                <w:sz w:val="22"/>
                <w:szCs w:val="22"/>
              </w:rPr>
              <w:t>л</w:t>
            </w:r>
            <w:r w:rsidRPr="00BA2763">
              <w:rPr>
                <w:sz w:val="22"/>
                <w:szCs w:val="22"/>
              </w:rPr>
              <w:t xml:space="preserve">ючени под контрол (става въпрос за създаване на ново трайно насаждение), при условие, че имам други площи (трайни насаждения), една част от които са </w:t>
            </w:r>
            <w:proofErr w:type="spellStart"/>
            <w:r w:rsidRPr="00BA2763">
              <w:rPr>
                <w:sz w:val="22"/>
                <w:szCs w:val="22"/>
              </w:rPr>
              <w:t>Био</w:t>
            </w:r>
            <w:proofErr w:type="spellEnd"/>
            <w:r w:rsidRPr="00BA2763">
              <w:rPr>
                <w:sz w:val="22"/>
                <w:szCs w:val="22"/>
              </w:rPr>
              <w:t>, а други в преход?</w:t>
            </w:r>
          </w:p>
          <w:p w:rsidR="00C520EE" w:rsidRDefault="00C520EE" w:rsidP="00BA276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520EE" w:rsidRDefault="00C520EE" w:rsidP="00BA276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093BC1" w:rsidRDefault="00093BC1" w:rsidP="00BA2763">
            <w:pPr>
              <w:jc w:val="both"/>
              <w:rPr>
                <w:sz w:val="22"/>
                <w:szCs w:val="22"/>
              </w:rPr>
            </w:pPr>
          </w:p>
          <w:p w:rsidR="00BA2763" w:rsidRPr="00BA2763" w:rsidRDefault="00BA2763" w:rsidP="00BA2763">
            <w:pPr>
              <w:jc w:val="both"/>
              <w:rPr>
                <w:sz w:val="22"/>
                <w:szCs w:val="22"/>
              </w:rPr>
            </w:pPr>
            <w:r w:rsidRPr="00BA2763">
              <w:rPr>
                <w:sz w:val="22"/>
                <w:szCs w:val="22"/>
              </w:rPr>
              <w:t xml:space="preserve">В документите за кандидатстване, в приложение 3 на таблицата с референтните цени, има само хиксове, това техническа грешка ли е или няма референтни цени за трайните насаждения или може би, аз не гледам правилната </w:t>
            </w:r>
            <w:r w:rsidRPr="00BA2763">
              <w:rPr>
                <w:sz w:val="22"/>
                <w:szCs w:val="22"/>
              </w:rPr>
              <w:lastRenderedPageBreak/>
              <w:t>таблица?</w:t>
            </w:r>
          </w:p>
          <w:p w:rsidR="00927185" w:rsidRPr="00927185" w:rsidRDefault="00927185" w:rsidP="00927185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C520EE" w:rsidRDefault="00C520EE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Отговор 1: </w:t>
            </w:r>
          </w:p>
          <w:p w:rsidR="00093BC1" w:rsidRDefault="00093BC1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Pr="00175E85" w:rsidRDefault="00C520EE" w:rsidP="00643797">
            <w:pPr>
              <w:jc w:val="both"/>
              <w:rPr>
                <w:sz w:val="22"/>
                <w:szCs w:val="22"/>
              </w:rPr>
            </w:pPr>
            <w:r w:rsidRPr="00175E85">
              <w:rPr>
                <w:sz w:val="22"/>
                <w:szCs w:val="22"/>
              </w:rPr>
              <w:t xml:space="preserve">Съгласно влязла в сила промяна от 24.02.2020г. в Наредбата за определяне на критериите за </w:t>
            </w:r>
            <w:proofErr w:type="spellStart"/>
            <w:r w:rsidRPr="00175E85">
              <w:rPr>
                <w:sz w:val="22"/>
                <w:szCs w:val="22"/>
              </w:rPr>
              <w:t>необлагодетелствените</w:t>
            </w:r>
            <w:proofErr w:type="spellEnd"/>
            <w:r w:rsidRPr="00175E85">
              <w:rPr>
                <w:sz w:val="22"/>
                <w:szCs w:val="22"/>
              </w:rPr>
              <w:t xml:space="preserve"> райони от 26.02.2008 г., с. Студена и с. Маточина отпадат от необлагодетелстваните райони. В тази връзка е направена промяна в Условията за кандидатстване в частта касаещ</w:t>
            </w:r>
            <w:r w:rsidR="00A81CE7">
              <w:rPr>
                <w:sz w:val="22"/>
                <w:szCs w:val="22"/>
              </w:rPr>
              <w:t>и</w:t>
            </w:r>
            <w:r w:rsidRPr="00175E85">
              <w:rPr>
                <w:sz w:val="22"/>
                <w:szCs w:val="22"/>
              </w:rPr>
              <w:t xml:space="preserve"> получаването на точки по критерий </w:t>
            </w:r>
          </w:p>
          <w:p w:rsidR="00A81CE7" w:rsidRDefault="00C520EE" w:rsidP="00C520EE">
            <w:pPr>
              <w:jc w:val="both"/>
              <w:rPr>
                <w:sz w:val="22"/>
                <w:szCs w:val="22"/>
              </w:rPr>
            </w:pPr>
            <w:r w:rsidRPr="00175E85">
              <w:rPr>
                <w:sz w:val="22"/>
                <w:szCs w:val="22"/>
              </w:rPr>
              <w:t xml:space="preserve">Проекти, които се изпълняват в обхвата на необлагодетелствани райони. </w:t>
            </w:r>
          </w:p>
          <w:p w:rsidR="00C520EE" w:rsidRPr="00A81CE7" w:rsidRDefault="00C520EE" w:rsidP="00C520EE">
            <w:pPr>
              <w:jc w:val="both"/>
              <w:rPr>
                <w:sz w:val="22"/>
                <w:szCs w:val="22"/>
              </w:rPr>
            </w:pPr>
            <w:r w:rsidRPr="00A81CE7">
              <w:rPr>
                <w:sz w:val="22"/>
                <w:szCs w:val="22"/>
              </w:rPr>
              <w:t xml:space="preserve">Пояснението към критерия придобива следната промяна: </w:t>
            </w:r>
          </w:p>
          <w:p w:rsidR="00C520EE" w:rsidRPr="00175E85" w:rsidRDefault="00C520EE" w:rsidP="00C520EE">
            <w:pPr>
              <w:jc w:val="both"/>
              <w:rPr>
                <w:bCs/>
                <w:sz w:val="22"/>
                <w:szCs w:val="22"/>
              </w:rPr>
            </w:pPr>
            <w:r w:rsidRPr="00175E85">
              <w:rPr>
                <w:bCs/>
                <w:sz w:val="22"/>
                <w:szCs w:val="22"/>
              </w:rPr>
              <w:t xml:space="preserve">По критерий № 8  Проекти, които се изпълняват в </w:t>
            </w:r>
            <w:r w:rsidRPr="00175E85">
              <w:rPr>
                <w:bCs/>
                <w:sz w:val="22"/>
                <w:szCs w:val="22"/>
              </w:rPr>
              <w:lastRenderedPageBreak/>
              <w:t xml:space="preserve">обхвата на необлагодетелствани райони - 8 точки получават проекти, които съгласно Наредба за определяне на критериите за </w:t>
            </w:r>
            <w:proofErr w:type="spellStart"/>
            <w:r w:rsidRPr="00175E85">
              <w:rPr>
                <w:bCs/>
                <w:sz w:val="22"/>
                <w:szCs w:val="22"/>
              </w:rPr>
              <w:t>необлагодетелствените</w:t>
            </w:r>
            <w:proofErr w:type="spellEnd"/>
            <w:r w:rsidRPr="00175E85">
              <w:rPr>
                <w:bCs/>
                <w:sz w:val="22"/>
                <w:szCs w:val="22"/>
              </w:rPr>
              <w:t xml:space="preserve"> райони от 26.02.2008 г. попадат в </w:t>
            </w:r>
            <w:proofErr w:type="spellStart"/>
            <w:r w:rsidRPr="00175E85">
              <w:rPr>
                <w:bCs/>
                <w:sz w:val="22"/>
                <w:szCs w:val="22"/>
              </w:rPr>
              <w:t>необлагодетелствените</w:t>
            </w:r>
            <w:proofErr w:type="spellEnd"/>
            <w:r w:rsidRPr="00175E85">
              <w:rPr>
                <w:bCs/>
                <w:sz w:val="22"/>
                <w:szCs w:val="22"/>
              </w:rPr>
              <w:t xml:space="preserve"> райони:</w:t>
            </w:r>
          </w:p>
          <w:p w:rsidR="00C520EE" w:rsidRPr="00175E85" w:rsidRDefault="00C520EE" w:rsidP="00C520EE">
            <w:pPr>
              <w:jc w:val="both"/>
              <w:rPr>
                <w:bCs/>
                <w:sz w:val="22"/>
                <w:szCs w:val="22"/>
              </w:rPr>
            </w:pPr>
            <w:r w:rsidRPr="00175E85">
              <w:rPr>
                <w:bCs/>
                <w:sz w:val="22"/>
                <w:szCs w:val="22"/>
              </w:rPr>
              <w:t>-планински райони: с. Костур;</w:t>
            </w:r>
          </w:p>
          <w:p w:rsidR="00C520EE" w:rsidRPr="00175E85" w:rsidRDefault="00C520EE" w:rsidP="00C520EE">
            <w:pPr>
              <w:jc w:val="both"/>
              <w:rPr>
                <w:sz w:val="22"/>
                <w:szCs w:val="22"/>
                <w:lang w:val="x-none"/>
              </w:rPr>
            </w:pPr>
            <w:r w:rsidRPr="00175E85">
              <w:rPr>
                <w:bCs/>
                <w:sz w:val="22"/>
                <w:szCs w:val="22"/>
              </w:rPr>
              <w:t>-райони с ограничения различни от планинските: с. Варник, с. Дервишка могила, с. Левка, с. Лисово, с. Михалич, с. Младиново, с. Мустрак, с. Пашово и с. Равна гора.</w:t>
            </w:r>
            <w:r w:rsidRPr="00175E85">
              <w:rPr>
                <w:sz w:val="22"/>
                <w:szCs w:val="22"/>
              </w:rPr>
              <w:t xml:space="preserve"> </w:t>
            </w:r>
            <w:r w:rsidRPr="00175E85">
              <w:rPr>
                <w:bCs/>
                <w:sz w:val="22"/>
                <w:szCs w:val="22"/>
              </w:rPr>
              <w:t>Кандидата представя акт за собственост или договор за наеми/ или аренда за доказване на критерия.</w:t>
            </w:r>
          </w:p>
          <w:p w:rsidR="00A22B4A" w:rsidRDefault="00A22B4A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093BC1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2:</w:t>
            </w:r>
          </w:p>
          <w:p w:rsidR="00093BC1" w:rsidRDefault="00093BC1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93BC1" w:rsidRPr="00093BC1" w:rsidRDefault="00093BC1" w:rsidP="00643797">
            <w:pPr>
              <w:jc w:val="both"/>
              <w:rPr>
                <w:bCs/>
                <w:sz w:val="22"/>
                <w:szCs w:val="22"/>
              </w:rPr>
            </w:pPr>
            <w:r w:rsidRPr="00093BC1">
              <w:rPr>
                <w:sz w:val="22"/>
                <w:szCs w:val="22"/>
              </w:rPr>
              <w:t xml:space="preserve">Съгласно даденото прояснение в т. 22 </w:t>
            </w:r>
            <w:r w:rsidRPr="00093BC1">
              <w:rPr>
                <w:bCs/>
                <w:sz w:val="22"/>
                <w:szCs w:val="22"/>
                <w:lang w:val="x-none"/>
              </w:rPr>
              <w:t>Критерии и методика за оценка на проектните предложения</w:t>
            </w:r>
            <w:r w:rsidRPr="00093BC1">
              <w:rPr>
                <w:bCs/>
                <w:sz w:val="22"/>
                <w:szCs w:val="22"/>
              </w:rPr>
              <w:t xml:space="preserve"> от Условията за кандидатстване е дадено пояснение към първия критерий както следва:</w:t>
            </w:r>
          </w:p>
          <w:p w:rsidR="00093BC1" w:rsidRPr="00093BC1" w:rsidRDefault="00093BC1" w:rsidP="00093BC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093BC1">
              <w:rPr>
                <w:sz w:val="22"/>
                <w:szCs w:val="22"/>
              </w:rPr>
              <w:t xml:space="preserve"> </w:t>
            </w:r>
            <w:r w:rsidRPr="00093BC1">
              <w:rPr>
                <w:bCs/>
                <w:sz w:val="22"/>
                <w:szCs w:val="22"/>
              </w:rPr>
              <w:t>По критерий № 1 – 11 точки получава проект, който предвижда от 30% до 50% от допустимите инвестиционни разходи да бъдат свързани с производство на биологични продукти; 20 точки получава проект, който предвижда над 50% от допустимите инвестиционни разходи да бъдат свързани с производство на биологични продукти</w:t>
            </w:r>
            <w:r w:rsidRPr="00093BC1">
              <w:rPr>
                <w:b/>
                <w:bCs/>
                <w:i/>
                <w:sz w:val="22"/>
                <w:szCs w:val="22"/>
              </w:rPr>
              <w:t>; За доказване на критерия кандидата представя удостоверение за съответствие и/или сертификат за съответствие издаден/и от сертифициращ орган.</w:t>
            </w:r>
          </w:p>
          <w:p w:rsidR="00093BC1" w:rsidRDefault="00093BC1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Default="008658B3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Отговор 3:</w:t>
            </w:r>
          </w:p>
          <w:p w:rsidR="008658B3" w:rsidRDefault="008658B3" w:rsidP="0064379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22B4A" w:rsidRPr="008658B3" w:rsidRDefault="008658B3" w:rsidP="00643797">
            <w:pPr>
              <w:jc w:val="both"/>
              <w:rPr>
                <w:sz w:val="22"/>
                <w:szCs w:val="22"/>
              </w:rPr>
            </w:pPr>
            <w:r w:rsidRPr="008658B3">
              <w:rPr>
                <w:sz w:val="22"/>
                <w:szCs w:val="22"/>
              </w:rPr>
              <w:t xml:space="preserve">Приложение 3 Списък с активите, дейностите и услугите, за които са определени референтни разходи </w:t>
            </w:r>
            <w:r w:rsidRPr="008658B3">
              <w:rPr>
                <w:sz w:val="22"/>
                <w:szCs w:val="22"/>
              </w:rPr>
              <w:lastRenderedPageBreak/>
              <w:t xml:space="preserve">при създаване на трайни насаждения по конвенционален и биологичен начин е документ, който има за цел да даде яснота за кои видове активи, дейности и услуги има определени референтни цени от страна на Министерството на земеделието, храните и горите.  </w:t>
            </w:r>
          </w:p>
          <w:p w:rsidR="00A22B4A" w:rsidRPr="008658B3" w:rsidRDefault="00A22B4A" w:rsidP="00643797">
            <w:pPr>
              <w:jc w:val="both"/>
              <w:rPr>
                <w:sz w:val="22"/>
                <w:szCs w:val="22"/>
              </w:rPr>
            </w:pPr>
          </w:p>
          <w:p w:rsidR="00137A8D" w:rsidRDefault="00137A8D" w:rsidP="00AF1B9D">
            <w:pPr>
              <w:rPr>
                <w:sz w:val="22"/>
                <w:szCs w:val="22"/>
              </w:rPr>
            </w:pPr>
          </w:p>
          <w:p w:rsidR="00927185" w:rsidRDefault="00927185" w:rsidP="00AF1B9D">
            <w:pPr>
              <w:rPr>
                <w:sz w:val="22"/>
                <w:szCs w:val="22"/>
              </w:rPr>
            </w:pPr>
          </w:p>
          <w:p w:rsidR="00927185" w:rsidRPr="00F046A0" w:rsidRDefault="00927185" w:rsidP="00AF1B9D">
            <w:pPr>
              <w:rPr>
                <w:sz w:val="22"/>
                <w:szCs w:val="22"/>
              </w:rPr>
            </w:pPr>
          </w:p>
        </w:tc>
      </w:tr>
    </w:tbl>
    <w:p w:rsidR="006D2487" w:rsidRDefault="006D2487"/>
    <w:p w:rsidR="00773380" w:rsidRDefault="00773380"/>
    <w:p w:rsidR="00773380" w:rsidRPr="00A64E03" w:rsidRDefault="00773380">
      <w:r>
        <w:t xml:space="preserve">    </w:t>
      </w:r>
    </w:p>
    <w:sectPr w:rsidR="00773380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B8F"/>
    <w:multiLevelType w:val="multilevel"/>
    <w:tmpl w:val="4F84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06297"/>
    <w:rsid w:val="00017AD7"/>
    <w:rsid w:val="00020CCC"/>
    <w:rsid w:val="000232A3"/>
    <w:rsid w:val="00073918"/>
    <w:rsid w:val="00082B60"/>
    <w:rsid w:val="00093BC1"/>
    <w:rsid w:val="000965B5"/>
    <w:rsid w:val="000B28A4"/>
    <w:rsid w:val="000C7CE0"/>
    <w:rsid w:val="000D0D10"/>
    <w:rsid w:val="000D5485"/>
    <w:rsid w:val="000D6AB7"/>
    <w:rsid w:val="000E7976"/>
    <w:rsid w:val="0010024F"/>
    <w:rsid w:val="00104026"/>
    <w:rsid w:val="001051C4"/>
    <w:rsid w:val="00112C0A"/>
    <w:rsid w:val="0011435C"/>
    <w:rsid w:val="00134557"/>
    <w:rsid w:val="00134D19"/>
    <w:rsid w:val="00137A8D"/>
    <w:rsid w:val="001504BF"/>
    <w:rsid w:val="00151B2A"/>
    <w:rsid w:val="00156365"/>
    <w:rsid w:val="00162E2E"/>
    <w:rsid w:val="00164C85"/>
    <w:rsid w:val="00175E85"/>
    <w:rsid w:val="00175EC9"/>
    <w:rsid w:val="001809A2"/>
    <w:rsid w:val="00197A4F"/>
    <w:rsid w:val="001C4904"/>
    <w:rsid w:val="00213873"/>
    <w:rsid w:val="00217ADF"/>
    <w:rsid w:val="002270BB"/>
    <w:rsid w:val="00233EFB"/>
    <w:rsid w:val="00241B8C"/>
    <w:rsid w:val="00280EF5"/>
    <w:rsid w:val="002B0528"/>
    <w:rsid w:val="002B1932"/>
    <w:rsid w:val="002F0E42"/>
    <w:rsid w:val="002F382A"/>
    <w:rsid w:val="00341448"/>
    <w:rsid w:val="003668C9"/>
    <w:rsid w:val="0037056E"/>
    <w:rsid w:val="00372054"/>
    <w:rsid w:val="00377624"/>
    <w:rsid w:val="0038466C"/>
    <w:rsid w:val="00393FAB"/>
    <w:rsid w:val="00397F96"/>
    <w:rsid w:val="003A54E0"/>
    <w:rsid w:val="003B4BAE"/>
    <w:rsid w:val="003B644A"/>
    <w:rsid w:val="003E1FBD"/>
    <w:rsid w:val="00401490"/>
    <w:rsid w:val="004054C4"/>
    <w:rsid w:val="0042569C"/>
    <w:rsid w:val="00440FC2"/>
    <w:rsid w:val="00443B18"/>
    <w:rsid w:val="00460F52"/>
    <w:rsid w:val="004620F8"/>
    <w:rsid w:val="004808AD"/>
    <w:rsid w:val="004938BA"/>
    <w:rsid w:val="00497251"/>
    <w:rsid w:val="004C39BE"/>
    <w:rsid w:val="004E0361"/>
    <w:rsid w:val="004E2078"/>
    <w:rsid w:val="004F6C56"/>
    <w:rsid w:val="005923D0"/>
    <w:rsid w:val="005C479B"/>
    <w:rsid w:val="005E0B39"/>
    <w:rsid w:val="005E4155"/>
    <w:rsid w:val="006115E5"/>
    <w:rsid w:val="00643797"/>
    <w:rsid w:val="006764EC"/>
    <w:rsid w:val="006929B7"/>
    <w:rsid w:val="006B1BBB"/>
    <w:rsid w:val="006B2AF7"/>
    <w:rsid w:val="006B3934"/>
    <w:rsid w:val="006B633B"/>
    <w:rsid w:val="006D200C"/>
    <w:rsid w:val="006D2487"/>
    <w:rsid w:val="006D264E"/>
    <w:rsid w:val="007148ED"/>
    <w:rsid w:val="00723976"/>
    <w:rsid w:val="00773380"/>
    <w:rsid w:val="00780E77"/>
    <w:rsid w:val="00790875"/>
    <w:rsid w:val="007B2E8C"/>
    <w:rsid w:val="007C3AE9"/>
    <w:rsid w:val="007D0592"/>
    <w:rsid w:val="007E34E8"/>
    <w:rsid w:val="007E560D"/>
    <w:rsid w:val="007E60E3"/>
    <w:rsid w:val="007F662D"/>
    <w:rsid w:val="00813E89"/>
    <w:rsid w:val="00816613"/>
    <w:rsid w:val="0082179B"/>
    <w:rsid w:val="00845DE6"/>
    <w:rsid w:val="00847DDC"/>
    <w:rsid w:val="00861E54"/>
    <w:rsid w:val="008658B3"/>
    <w:rsid w:val="00885B10"/>
    <w:rsid w:val="008963B3"/>
    <w:rsid w:val="008A5202"/>
    <w:rsid w:val="008A53A3"/>
    <w:rsid w:val="008C25B4"/>
    <w:rsid w:val="008E0E19"/>
    <w:rsid w:val="008F54E5"/>
    <w:rsid w:val="00927185"/>
    <w:rsid w:val="00927E35"/>
    <w:rsid w:val="00974BAF"/>
    <w:rsid w:val="00990BAF"/>
    <w:rsid w:val="009C7D53"/>
    <w:rsid w:val="009D6690"/>
    <w:rsid w:val="009E50C4"/>
    <w:rsid w:val="00A17928"/>
    <w:rsid w:val="00A22B4A"/>
    <w:rsid w:val="00A23716"/>
    <w:rsid w:val="00A251E8"/>
    <w:rsid w:val="00A41014"/>
    <w:rsid w:val="00A47BBC"/>
    <w:rsid w:val="00A64E03"/>
    <w:rsid w:val="00A816FD"/>
    <w:rsid w:val="00A81CE7"/>
    <w:rsid w:val="00AA5B87"/>
    <w:rsid w:val="00AC0C4E"/>
    <w:rsid w:val="00AD2F6F"/>
    <w:rsid w:val="00AD3E98"/>
    <w:rsid w:val="00AE6A51"/>
    <w:rsid w:val="00AF1B9D"/>
    <w:rsid w:val="00B26F1D"/>
    <w:rsid w:val="00B64BF3"/>
    <w:rsid w:val="00B70AF8"/>
    <w:rsid w:val="00B7193C"/>
    <w:rsid w:val="00B80AC0"/>
    <w:rsid w:val="00BA047B"/>
    <w:rsid w:val="00BA2763"/>
    <w:rsid w:val="00BC0544"/>
    <w:rsid w:val="00BC6CAE"/>
    <w:rsid w:val="00BD1AB7"/>
    <w:rsid w:val="00BD650A"/>
    <w:rsid w:val="00BE1CE7"/>
    <w:rsid w:val="00BF26C0"/>
    <w:rsid w:val="00C04ADD"/>
    <w:rsid w:val="00C2519D"/>
    <w:rsid w:val="00C50BD9"/>
    <w:rsid w:val="00C520EE"/>
    <w:rsid w:val="00C5747D"/>
    <w:rsid w:val="00C609D6"/>
    <w:rsid w:val="00C76211"/>
    <w:rsid w:val="00CB1491"/>
    <w:rsid w:val="00CB1790"/>
    <w:rsid w:val="00CB5818"/>
    <w:rsid w:val="00CC34F3"/>
    <w:rsid w:val="00CC781E"/>
    <w:rsid w:val="00CF0266"/>
    <w:rsid w:val="00CF25D9"/>
    <w:rsid w:val="00CF59FB"/>
    <w:rsid w:val="00D02F70"/>
    <w:rsid w:val="00DB107F"/>
    <w:rsid w:val="00DB295A"/>
    <w:rsid w:val="00DB3866"/>
    <w:rsid w:val="00DB4FA6"/>
    <w:rsid w:val="00DC3833"/>
    <w:rsid w:val="00DC54C6"/>
    <w:rsid w:val="00DD2F45"/>
    <w:rsid w:val="00DE5FFD"/>
    <w:rsid w:val="00DF288A"/>
    <w:rsid w:val="00E22962"/>
    <w:rsid w:val="00E342D3"/>
    <w:rsid w:val="00E63D0B"/>
    <w:rsid w:val="00E67EBC"/>
    <w:rsid w:val="00E96849"/>
    <w:rsid w:val="00EA3B4D"/>
    <w:rsid w:val="00EA46BC"/>
    <w:rsid w:val="00EC54C4"/>
    <w:rsid w:val="00ED0530"/>
    <w:rsid w:val="00ED09C6"/>
    <w:rsid w:val="00ED6C2A"/>
    <w:rsid w:val="00F01B4E"/>
    <w:rsid w:val="00F046A0"/>
    <w:rsid w:val="00F14DFA"/>
    <w:rsid w:val="00F15001"/>
    <w:rsid w:val="00F222D9"/>
    <w:rsid w:val="00F42888"/>
    <w:rsid w:val="00F54200"/>
    <w:rsid w:val="00F6045A"/>
    <w:rsid w:val="00F60C28"/>
    <w:rsid w:val="00F72B0B"/>
    <w:rsid w:val="00FC448A"/>
    <w:rsid w:val="00FC5517"/>
    <w:rsid w:val="00FD0120"/>
    <w:rsid w:val="00FD60DB"/>
    <w:rsid w:val="00FE045D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Hyperlink"/>
    <w:basedOn w:val="a0"/>
    <w:uiPriority w:val="99"/>
    <w:unhideWhenUsed/>
    <w:rsid w:val="00C57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163</cp:revision>
  <dcterms:created xsi:type="dcterms:W3CDTF">2019-01-24T07:43:00Z</dcterms:created>
  <dcterms:modified xsi:type="dcterms:W3CDTF">2020-03-12T08:31:00Z</dcterms:modified>
</cp:coreProperties>
</file>