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54" w:rsidRPr="00212554" w:rsidRDefault="00212554" w:rsidP="00212554">
      <w:pPr>
        <w:shd w:val="clear" w:color="auto" w:fill="FFFFFF"/>
        <w:spacing w:before="600" w:after="150" w:line="240" w:lineRule="atLeast"/>
        <w:outlineLvl w:val="1"/>
        <w:rPr>
          <w:rFonts w:ascii="Roboto" w:eastAsia="Times New Roman" w:hAnsi="Roboto" w:cs="Times New Roman"/>
          <w:b/>
          <w:bCs/>
          <w:color w:val="333333"/>
          <w:sz w:val="30"/>
          <w:szCs w:val="30"/>
          <w:lang w:eastAsia="bg-BG"/>
        </w:rPr>
      </w:pPr>
      <w:r w:rsidRPr="00212554">
        <w:rPr>
          <w:rFonts w:ascii="Roboto" w:eastAsia="Times New Roman" w:hAnsi="Roboto" w:cs="Times New Roman"/>
          <w:b/>
          <w:bCs/>
          <w:color w:val="333333"/>
          <w:sz w:val="30"/>
          <w:szCs w:val="30"/>
          <w:lang w:eastAsia="bg-BG"/>
        </w:rPr>
        <w:br/>
        <w:t>Критерии за оценка</w:t>
      </w:r>
    </w:p>
    <w:tbl>
      <w:tblPr>
        <w:tblW w:w="5000" w:type="pct"/>
        <w:tblCellMar>
          <w:top w:w="15" w:type="dxa"/>
          <w:left w:w="15" w:type="dxa"/>
          <w:bottom w:w="15" w:type="dxa"/>
          <w:right w:w="15" w:type="dxa"/>
        </w:tblCellMar>
        <w:tblLook w:val="04A0" w:firstRow="1" w:lastRow="0" w:firstColumn="1" w:lastColumn="0" w:noHBand="0" w:noVBand="1"/>
      </w:tblPr>
      <w:tblGrid>
        <w:gridCol w:w="396"/>
        <w:gridCol w:w="7188"/>
        <w:gridCol w:w="1482"/>
        <w:gridCol w:w="156"/>
      </w:tblGrid>
      <w:tr w:rsidR="00212554" w:rsidRPr="00212554" w:rsidTr="00212554">
        <w:trPr>
          <w:tblHeader/>
        </w:trPr>
        <w:tc>
          <w:tcPr>
            <w:tcW w:w="600" w:type="dxa"/>
            <w:tcBorders>
              <w:left w:val="nil"/>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jc w:val="center"/>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I.</w:t>
            </w:r>
          </w:p>
        </w:tc>
        <w:tc>
          <w:tcPr>
            <w:tcW w:w="120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Група</w:t>
            </w:r>
          </w:p>
        </w:tc>
        <w:tc>
          <w:tcPr>
            <w:tcW w:w="3000" w:type="dxa"/>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c>
          <w:tcPr>
            <w:tcW w:w="0" w:type="auto"/>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3"/>
                <w:szCs w:val="23"/>
                <w:lang w:eastAsia="bg-BG"/>
              </w:rPr>
            </w:pPr>
          </w:p>
        </w:tc>
        <w:tc>
          <w:tcPr>
            <w:tcW w:w="0" w:type="auto"/>
            <w:gridSpan w:val="2"/>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bookmarkStart w:id="0" w:name="_GoBack"/>
            <w:r w:rsidRPr="00212554">
              <w:rPr>
                <w:rFonts w:ascii="Roboto" w:eastAsia="Times New Roman" w:hAnsi="Roboto" w:cs="Courier New"/>
                <w:sz w:val="23"/>
                <w:szCs w:val="23"/>
                <w:lang w:eastAsia="bg-BG"/>
              </w:rPr>
              <w:t>КРИТЕРИИ ЗА ОЦЕНКА НА АДМИНИСТРАТИВНО СЪОТВТЕТСТВИЕ</w:t>
            </w:r>
            <w:bookmarkEnd w:id="0"/>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c>
          <w:tcPr>
            <w:tcW w:w="0" w:type="auto"/>
            <w:gridSpan w:val="3"/>
            <w:tcBorders>
              <w:left w:val="single" w:sz="6" w:space="0" w:color="8F8F8F"/>
              <w:bottom w:val="single" w:sz="6" w:space="0" w:color="8F8F8F"/>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61"/>
              <w:gridCol w:w="6774"/>
              <w:gridCol w:w="1527"/>
              <w:gridCol w:w="156"/>
            </w:tblGrid>
            <w:tr w:rsidR="00212554" w:rsidRPr="00212554" w:rsidTr="00212554">
              <w:trPr>
                <w:tblHeader/>
              </w:trPr>
              <w:tc>
                <w:tcPr>
                  <w:tcW w:w="600" w:type="dxa"/>
                  <w:tcBorders>
                    <w:left w:val="nil"/>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c>
                <w:tcPr>
                  <w:tcW w:w="114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Критерий</w:t>
                  </w:r>
                </w:p>
              </w:tc>
              <w:tc>
                <w:tcPr>
                  <w:tcW w:w="30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Води до отхвърляне</w:t>
                  </w:r>
                </w:p>
              </w:tc>
              <w:tc>
                <w:tcPr>
                  <w:tcW w:w="0" w:type="auto"/>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Проектното предложение е представено чрез Информационната система за управление и наблюдение на Структурните инструменти на ЕС в България (ИСУН 2020) - https://eumis2020.government.bg</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Формулярът за кандидатстване е подписан с квалифициран електронен подпис (КЕП) от законния представител на кандидата или упълномощено за целите на подаването на проектното предложение лице.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3.</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Пълномощно за подаване на проектното предложение е прикачено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Прилага се, в случай че проектното предложение е подадено от лице, различно от официалния представител на кандидата.</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4.</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по чл. 25, ал. 2 от ЗУСЕСИФ, попълнена по образец (Приложение I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Декларацията се подава от кандидата и от всички партньори.</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5.</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за минимални и държавни помощи, попълнена по образец (Приложение II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Декларацията се подава само от ЮЛНЦ - кандидат или партньор.</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6.</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от кандидата относно задължението да представя оригинали на УО, попълнена по образец (Приложение III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Декларацията се подава само от кандидата.</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7.</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за съгласие на кандидата/партньора за ползване и разпространение на обобщените данни по проекта от УО и от НСИ, попълнена по образец (Приложение IV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Декларацията се подава от кандидата и от всички партньори.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8.</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за липса на двойно финансиране и за завършеност, попълнена по образец (Приложение V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Декларацията се подава от кандидата и от всички партньори.</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9.</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за партньорство, попълнена по образец (Приложение VI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Подава се в случай че проектното предложение включва партньорство.</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10.</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Автобиографии на членовете на екипа за организация и управление на проекта, попълнени по образец (Приложение VII към Условията за кандидатстване) и прикачени в ИСУН 2020.</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11.</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Декларация на асоциирания партньор, попълнена по образец (Приложение VIII към Условията за кандидатстване) и прикачена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Подава се, в случай че проектното предложение включва асоцииран/и партньор/и.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12.</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Счетоводни документи за последните две приключили финансови години, </w:t>
                  </w:r>
                  <w:r w:rsidRPr="00212554">
                    <w:rPr>
                      <w:rFonts w:ascii="Roboto" w:eastAsia="Times New Roman" w:hAnsi="Roboto" w:cs="Courier New"/>
                      <w:sz w:val="20"/>
                      <w:szCs w:val="20"/>
                      <w:lang w:eastAsia="bg-BG"/>
                    </w:rPr>
                    <w:lastRenderedPageBreak/>
                    <w:t>прикачени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Счетоводни документи за последните две приключили финансови години задължително се представят:</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–от училище – кандидат - отчети за касовото изпълнение на бюджета или друг приложим счетоводен документ, съдържащ отчет за изпълнението на бюджета на съответната организация;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–от ЮЛНЦ – кандидат или партньор – ОПР, баланс, отчет за нестопанската и отчет за стопанската дейност, отразени в годишен отчет за дейността (ГОД);</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от партньори училища и/или ЦПЛР, по преценка на кандидата, с оглед доказване изпълнение на изискването за финансов капацитет за изпълнението на проекта.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исканите документи, заверени по реда на Закона за счетоводството, са публично достъпни, следва да бъде предоставен линк към източниците, в които са налични за целите на оценката на критерия за финансов капацитет.</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исканите документи са налични в МОНИТОРСТАТ на Националния статистически институт, същите се проверяват по служебен път.</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13.</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Устав/ учредителен акт, удостоверение за актуално състояние, съдебно решение или решение по вписване, удостоверяващо най-малко 2 години обществено полезна дейност на кандидат/партньор ЮЛНЦ, прикачени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информацията е оповестена в публични регистри, това обстоятелство ще се проверява по служебен път като кандидатът/партньорът посочва източниците на информация.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на не пререгистрирани ЮЛНЦ в ТРРЮЛНЦ същите прилагат документите в ИСУН 2020.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Удостоверението за актуално състояние следва да е издадено не по-рано от 3 месеца преди крайната дата на кандидатстване, сканирано и прикачено в ИСУН 2020 за не пререгистрираните ЮЛНЦ в ТРРЮЛНЦ</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14.</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Учредителен акт или друг еквивалентен документ за учредяване на ЦПЛР и Правилник за дейността му, приет от органа по учредяване по реда на чл. 49, ал.7, 8, 9 от ЗПУО.</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информацията е публична, това обстоятелство ще се проверява по служебен път, за което се посочват източниците на информация.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15.</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Описаният Механизъм за идентифициране и мотивиране на целевите групи и включването им в дейности по процедурата предвижда задължителна комуникация с Дирекции „Бюра по труда“ на Агенция по заетостта в процеса на идентифициране на конкретните представители на целевите групи.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Проверява се във формуляра за кандидатстване, раздел 11. „Допълнителна информация необходима за оценка на проектното предложение, поле „Механизъм за идентифициране и мотивиране на целевите групи“</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bl>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rPr>
          <w:tblHeader/>
        </w:trPr>
        <w:tc>
          <w:tcPr>
            <w:tcW w:w="600" w:type="dxa"/>
            <w:tcBorders>
              <w:left w:val="nil"/>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jc w:val="center"/>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lastRenderedPageBreak/>
              <w:t>II.</w:t>
            </w:r>
          </w:p>
        </w:tc>
        <w:tc>
          <w:tcPr>
            <w:tcW w:w="120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Група</w:t>
            </w:r>
          </w:p>
        </w:tc>
        <w:tc>
          <w:tcPr>
            <w:tcW w:w="3000" w:type="dxa"/>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c>
          <w:tcPr>
            <w:tcW w:w="0" w:type="auto"/>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3"/>
                <w:szCs w:val="23"/>
                <w:lang w:eastAsia="bg-BG"/>
              </w:rPr>
            </w:pPr>
          </w:p>
        </w:tc>
        <w:tc>
          <w:tcPr>
            <w:tcW w:w="0" w:type="auto"/>
            <w:gridSpan w:val="2"/>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3"/>
                <w:szCs w:val="23"/>
                <w:lang w:eastAsia="bg-BG"/>
              </w:rPr>
              <w:t>КРИТЕРИИ ЗА ОЦЕНКА НА ДОПУСТИМОСТТА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c>
          <w:tcPr>
            <w:tcW w:w="0" w:type="auto"/>
            <w:gridSpan w:val="3"/>
            <w:tcBorders>
              <w:left w:val="single" w:sz="6" w:space="0" w:color="8F8F8F"/>
              <w:bottom w:val="single" w:sz="6" w:space="0" w:color="8F8F8F"/>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53"/>
              <w:gridCol w:w="6832"/>
              <w:gridCol w:w="1477"/>
              <w:gridCol w:w="156"/>
            </w:tblGrid>
            <w:tr w:rsidR="00212554" w:rsidRPr="00212554" w:rsidTr="00212554">
              <w:trPr>
                <w:tblHeader/>
              </w:trPr>
              <w:tc>
                <w:tcPr>
                  <w:tcW w:w="600" w:type="dxa"/>
                  <w:tcBorders>
                    <w:left w:val="nil"/>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c>
                <w:tcPr>
                  <w:tcW w:w="114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Критерий</w:t>
                  </w:r>
                </w:p>
              </w:tc>
              <w:tc>
                <w:tcPr>
                  <w:tcW w:w="3000" w:type="dxa"/>
                  <w:tcBorders>
                    <w:left w:val="single" w:sz="6" w:space="0" w:color="8F8F8F"/>
                  </w:tcBorders>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r w:rsidRPr="00212554">
                    <w:rPr>
                      <w:rFonts w:ascii="Times New Roman" w:eastAsia="Times New Roman" w:hAnsi="Times New Roman" w:cs="Times New Roman"/>
                      <w:b/>
                      <w:bCs/>
                      <w:sz w:val="20"/>
                      <w:szCs w:val="20"/>
                      <w:lang w:eastAsia="bg-BG"/>
                    </w:rPr>
                    <w:t>Води до отхвърляне</w:t>
                  </w:r>
                </w:p>
              </w:tc>
              <w:tc>
                <w:tcPr>
                  <w:tcW w:w="0" w:type="auto"/>
                  <w:shd w:val="clear" w:color="auto" w:fill="E9E9E9"/>
                  <w:tcMar>
                    <w:top w:w="105" w:type="dxa"/>
                    <w:left w:w="75" w:type="dxa"/>
                    <w:bottom w:w="105" w:type="dxa"/>
                    <w:right w:w="75" w:type="dxa"/>
                  </w:tcMar>
                  <w:hideMark/>
                </w:tcPr>
                <w:p w:rsidR="00212554" w:rsidRPr="00212554" w:rsidRDefault="00212554" w:rsidP="00212554">
                  <w:pPr>
                    <w:spacing w:after="0" w:line="312" w:lineRule="atLeast"/>
                    <w:rPr>
                      <w:rFonts w:ascii="Times New Roman" w:eastAsia="Times New Roman" w:hAnsi="Times New Roman" w:cs="Times New Roman"/>
                      <w:b/>
                      <w:bCs/>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е допустим съгласно т. 11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Проверката за кандидати училища се прави служебно в регистъра на институциите в системата на предучилищното и училищното образование съгласно чл. 345 от ЗПУО или БУЛСТАТ, или друг регистър към датата на подаване на проектното предложение по настоящата процедура.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lastRenderedPageBreak/>
                    <w:t>Проверката за кандидат ЮЛНЦ се прави служебно в ТРРЮЛНЦ, регистър БУЛСТАТ или в други публични регистри. За ЮЛНЦ, които не са вписани в ТРРЮЛНЦ към датата на подаване на проектното предложение, проверката се извършва на база представените в ИСУН 2020 документи в по т.13 от Група I. КРИТЕРИИ ЗА ОЦЕНКА НА АДМИНИСТРАТИВНО СЪОТВЕТСТВИЕ.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подадени от недопустими кандидати, следва да бъдат отхвърлени.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2.</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Партньорът/</w:t>
                  </w:r>
                  <w:proofErr w:type="spellStart"/>
                  <w:r w:rsidRPr="00212554">
                    <w:rPr>
                      <w:rFonts w:ascii="Roboto" w:eastAsia="Times New Roman" w:hAnsi="Roboto" w:cs="Courier New"/>
                      <w:sz w:val="20"/>
                      <w:szCs w:val="20"/>
                      <w:lang w:eastAsia="bg-BG"/>
                    </w:rPr>
                    <w:t>ите</w:t>
                  </w:r>
                  <w:proofErr w:type="spellEnd"/>
                  <w:r w:rsidRPr="00212554">
                    <w:rPr>
                      <w:rFonts w:ascii="Roboto" w:eastAsia="Times New Roman" w:hAnsi="Roboto" w:cs="Courier New"/>
                      <w:sz w:val="20"/>
                      <w:szCs w:val="20"/>
                      <w:lang w:eastAsia="bg-BG"/>
                    </w:rPr>
                    <w:t xml:space="preserve"> е/са допустим/и, съгласно т. 12 от Условията за кандидатстване (приложимо в случай, че в проектното предложение участва/т партньор/и).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Проверката за партньори училища се прави служебно в регистъра на институциите в системата на предучилищното и училищното образование съгласно чл. 345 от ЗПУО или БУЛСТАТ, или друг регистър към датата на подаване на проектното предложение по настоящата процедура.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Проверката за партньор ЮЛНЦ се прави служебно в ТРРЮЛНЦ, регистър БУЛСТАТ или в други публични регистри. За ЮЛНЦ, които не са вписани в ТРРЮЛНЦ към датата на подаване на проектното предложение, проверката се извършва на база представените в ИСУН 2020 документи в по т.13 от Група I. КРИТЕРИИ ЗА ОЦЕНКА НА АДМИНИСТРАТИВНО СЪОТВЕТСТВИЕ.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Проверката за партньори ЦПЛР се прави служебно, при наличие на такава възможност. При липса на възможност за служебна проверка, проверката се извършва въз основа на представения Учредителен акт/еквивалентен документ – Решение на общински съвет или на органа по учредяване, Правилник за дейността на ЦПЛР.</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в които са включени недопустими партньори, следва да бъдат отхвърлени.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3.</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е подал само едно проектно предложение по процедурата.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кандидат е подал повече от едно проектно предложение, оценителната комисия следва да разгледа само последното постъпило проектно предложение, което не е оттеглено.</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4.</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Проектно предложение с кандидат ЮЛНЦ се изпълнява в задължително партньорство с поне едно училище, допустим партньор, съгласно т. 12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които не отговарят на изискванията, следва да бъдат отхвърлени.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5.</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ЮЛНЦ участва в не повече от четири проектни предложения: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като кандидат в едно проектно предложение и като партньор в не повече от три други проектни предложения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или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само като партньор в не повече от четири проектни предложения съгласно т.12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посочените ограничения по отношение участието на ЮЛНЦ не са спазени, всички проектни предложения, в които е включено съответното ЮЛНЦ, следва да бъдат отхвърлени от оценителната комисия.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6.</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Училище участва само в едно проектно предложение по процедурата съгласно т.11, т.12 и т.13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посоченото ограничение по отношение участието на училище не е спазено, всички проектни предложения, в които е включено съответното училище, следва да бъдат отхвърлени от оценителната комисия.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7.</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ЦПЛР участва като партньор само в дейност 4, в рамките на територията, </w:t>
                  </w:r>
                  <w:r w:rsidRPr="00212554">
                    <w:rPr>
                      <w:rFonts w:ascii="Roboto" w:eastAsia="Times New Roman" w:hAnsi="Roboto" w:cs="Courier New"/>
                      <w:sz w:val="20"/>
                      <w:szCs w:val="20"/>
                      <w:lang w:eastAsia="bg-BG"/>
                    </w:rPr>
                    <w:lastRenderedPageBreak/>
                    <w:t>която обслужва, съгласно т.12 и т.13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Проверката се извършва съгласно приложените документи по критерий 14 от Група I. Критерии за оценка на административно съответствие.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с участие на ЦПЛР, които не отговарят на изискването, ще бъдат отхвърлени от оценителната комисия.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8.</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За кандидата и всички партньори не са налице обстоятелствата по чл. 25, ал. 2 от ЗУСЕСИФ.</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Проверява се чрез декларация – Приложение I към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9.</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Проектното предложение отговоря на изискванията за териториален обхват, съгласно т. 5 от Условията за кандидатстване.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10.</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Заявената безвъзмездна финансова помощ е в рамките на минималния и максимален размер, определен в т. 9 от Условията за кандидатстване.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11.</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Проектното предложение не надвишава максималната допустима продължителност, съгласно т.18 от Условията за кандидатстване.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12.</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Целевата група е допустима, съгласно т. 15 от Условията за кандидатстване.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13.</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Проектното предложение съдържа само допустими дейности съгласно т.13 от Условия за кандидатстване: Дейност 1, Дейност 2, и/или Дейност 3 и/или Дейност 4.</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За проектни предложения, които съдържат недопустими дейности, на етап техническа и финансова оценка оценителната комисия следва да отстрани предвидените за тях разходи.</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14.</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Проектното предложение съдържа задължителните допустими дейности – </w:t>
                  </w:r>
                  <w:proofErr w:type="spellStart"/>
                  <w:r w:rsidRPr="00212554">
                    <w:rPr>
                      <w:rFonts w:ascii="Roboto" w:eastAsia="Times New Roman" w:hAnsi="Roboto" w:cs="Courier New"/>
                      <w:sz w:val="20"/>
                      <w:szCs w:val="20"/>
                      <w:lang w:eastAsia="bg-BG"/>
                    </w:rPr>
                    <w:t>поддейност</w:t>
                  </w:r>
                  <w:proofErr w:type="spellEnd"/>
                  <w:r w:rsidRPr="00212554">
                    <w:rPr>
                      <w:rFonts w:ascii="Roboto" w:eastAsia="Times New Roman" w:hAnsi="Roboto" w:cs="Courier New"/>
                      <w:sz w:val="20"/>
                      <w:szCs w:val="20"/>
                      <w:lang w:eastAsia="bg-BG"/>
                    </w:rPr>
                    <w:t xml:space="preserve"> 1.1, </w:t>
                  </w:r>
                  <w:proofErr w:type="spellStart"/>
                  <w:r w:rsidRPr="00212554">
                    <w:rPr>
                      <w:rFonts w:ascii="Roboto" w:eastAsia="Times New Roman" w:hAnsi="Roboto" w:cs="Courier New"/>
                      <w:sz w:val="20"/>
                      <w:szCs w:val="20"/>
                      <w:lang w:eastAsia="bg-BG"/>
                    </w:rPr>
                    <w:t>поддейност</w:t>
                  </w:r>
                  <w:proofErr w:type="spellEnd"/>
                  <w:r w:rsidRPr="00212554">
                    <w:rPr>
                      <w:rFonts w:ascii="Roboto" w:eastAsia="Times New Roman" w:hAnsi="Roboto" w:cs="Courier New"/>
                      <w:sz w:val="20"/>
                      <w:szCs w:val="20"/>
                      <w:lang w:eastAsia="bg-BG"/>
                    </w:rPr>
                    <w:t xml:space="preserve"> 1.2 и една от следните комбинации: </w:t>
                  </w:r>
                  <w:proofErr w:type="spellStart"/>
                  <w:r w:rsidRPr="00212554">
                    <w:rPr>
                      <w:rFonts w:ascii="Roboto" w:eastAsia="Times New Roman" w:hAnsi="Roboto" w:cs="Courier New"/>
                      <w:sz w:val="20"/>
                      <w:szCs w:val="20"/>
                      <w:lang w:eastAsia="bg-BG"/>
                    </w:rPr>
                    <w:t>поддейности</w:t>
                  </w:r>
                  <w:proofErr w:type="spellEnd"/>
                  <w:r w:rsidRPr="00212554">
                    <w:rPr>
                      <w:rFonts w:ascii="Roboto" w:eastAsia="Times New Roman" w:hAnsi="Roboto" w:cs="Courier New"/>
                      <w:sz w:val="20"/>
                      <w:szCs w:val="20"/>
                      <w:lang w:eastAsia="bg-BG"/>
                    </w:rPr>
                    <w:t xml:space="preserve"> 2.1. и 2.3 или </w:t>
                  </w:r>
                  <w:proofErr w:type="spellStart"/>
                  <w:r w:rsidRPr="00212554">
                    <w:rPr>
                      <w:rFonts w:ascii="Roboto" w:eastAsia="Times New Roman" w:hAnsi="Roboto" w:cs="Courier New"/>
                      <w:sz w:val="20"/>
                      <w:szCs w:val="20"/>
                      <w:lang w:eastAsia="bg-BG"/>
                    </w:rPr>
                    <w:t>поддейности</w:t>
                  </w:r>
                  <w:proofErr w:type="spellEnd"/>
                  <w:r w:rsidRPr="00212554">
                    <w:rPr>
                      <w:rFonts w:ascii="Roboto" w:eastAsia="Times New Roman" w:hAnsi="Roboto" w:cs="Courier New"/>
                      <w:sz w:val="20"/>
                      <w:szCs w:val="20"/>
                      <w:lang w:eastAsia="bg-BG"/>
                    </w:rPr>
                    <w:t xml:space="preserve"> 2.</w:t>
                  </w:r>
                  <w:proofErr w:type="spellStart"/>
                  <w:r w:rsidRPr="00212554">
                    <w:rPr>
                      <w:rFonts w:ascii="Roboto" w:eastAsia="Times New Roman" w:hAnsi="Roboto" w:cs="Courier New"/>
                      <w:sz w:val="20"/>
                      <w:szCs w:val="20"/>
                      <w:lang w:eastAsia="bg-BG"/>
                    </w:rPr>
                    <w:t>2</w:t>
                  </w:r>
                  <w:proofErr w:type="spellEnd"/>
                  <w:r w:rsidRPr="00212554">
                    <w:rPr>
                      <w:rFonts w:ascii="Roboto" w:eastAsia="Times New Roman" w:hAnsi="Roboto" w:cs="Courier New"/>
                      <w:sz w:val="20"/>
                      <w:szCs w:val="20"/>
                      <w:lang w:eastAsia="bg-BG"/>
                    </w:rPr>
                    <w:t xml:space="preserve">. и 2.3 или </w:t>
                  </w:r>
                  <w:proofErr w:type="spellStart"/>
                  <w:r w:rsidRPr="00212554">
                    <w:rPr>
                      <w:rFonts w:ascii="Roboto" w:eastAsia="Times New Roman" w:hAnsi="Roboto" w:cs="Courier New"/>
                      <w:sz w:val="20"/>
                      <w:szCs w:val="20"/>
                      <w:lang w:eastAsia="bg-BG"/>
                    </w:rPr>
                    <w:t>поддейности</w:t>
                  </w:r>
                  <w:proofErr w:type="spellEnd"/>
                  <w:r w:rsidRPr="00212554">
                    <w:rPr>
                      <w:rFonts w:ascii="Roboto" w:eastAsia="Times New Roman" w:hAnsi="Roboto" w:cs="Courier New"/>
                      <w:sz w:val="20"/>
                      <w:szCs w:val="20"/>
                      <w:lang w:eastAsia="bg-BG"/>
                    </w:rPr>
                    <w:t xml:space="preserve"> 2.1 и 2.2 и 2.3, посочени в т. 13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Проектни предложения, които не съдържат всички задължителни допустими </w:t>
                  </w:r>
                  <w:proofErr w:type="spellStart"/>
                  <w:r w:rsidRPr="00212554">
                    <w:rPr>
                      <w:rFonts w:ascii="Roboto" w:eastAsia="Times New Roman" w:hAnsi="Roboto" w:cs="Courier New"/>
                      <w:sz w:val="20"/>
                      <w:szCs w:val="20"/>
                      <w:lang w:eastAsia="bg-BG"/>
                    </w:rPr>
                    <w:t>поддейности</w:t>
                  </w:r>
                  <w:proofErr w:type="spellEnd"/>
                  <w:r w:rsidRPr="00212554">
                    <w:rPr>
                      <w:rFonts w:ascii="Roboto" w:eastAsia="Times New Roman" w:hAnsi="Roboto" w:cs="Courier New"/>
                      <w:sz w:val="20"/>
                      <w:szCs w:val="20"/>
                      <w:lang w:eastAsia="bg-BG"/>
                    </w:rPr>
                    <w:t>, следва да бъдат отхвърлени.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15.</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проектното предложение участва само едно ЮЛНЦ в качеството му на кандидат или партньор с допустимите за него дейности (Дейност 1 и ако е приложимо Дейност 4), съгласно т.11, т.12 и т.13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с участие на повече от едно ЮЛНЦ ще бъдат отхвърлени от оценителната комисия.</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16.</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е декларирал в т. 11 на Формуляра за кандидатстване, че в хода на реализиране на дейностите по проектното предложение ще извърши необходимите дейности за организация и управление и за информация и комуникация и e описал планираните мерки.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случай че кандидатът не е декларирал и не е описал планираните мерки за организация и управление и за информация и комуникация, проектното предложение следва да бъде отхвърлено.</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17.</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Дейностите по проекта НЕ са били физически завършени или изцяло осъществени преди подаването на проектното предложение за финансиране по програмата, независимо дали всички свързани плащания са направени от бенефициента или 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Проверява се чрез декларация – Приложение V към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18.</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проектното предложение са включени следните задължителни индикатори съгласно т. 7 от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 И 3213 Лица над 16 години (включително роми), включени в курсове за </w:t>
                  </w:r>
                  <w:r w:rsidRPr="00212554">
                    <w:rPr>
                      <w:rFonts w:ascii="Roboto" w:eastAsia="Times New Roman" w:hAnsi="Roboto" w:cs="Courier New"/>
                      <w:sz w:val="20"/>
                      <w:szCs w:val="20"/>
                      <w:lang w:eastAsia="bg-BG"/>
                    </w:rPr>
                    <w:lastRenderedPageBreak/>
                    <w:t>ограмотяване или в курсове за усвояване на учебно съдържание, предвидено за изучаване в класове от прогимназиалния етап на основното образование по ОП;</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От тях:</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o Лица над 16 години, регистрирани в Дирекции „Бюро по труда“, включени в курсове по ограмотяване и/или в курсове за усвояване на учебно съдържание, предвидено за изучаване в класове от прогимназиалния етап на основното образование.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o Лица над 16 години, включени в курсове по ограмотяване.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o Лица над 16 години, включени в курсове за усвояване на учебно съдържание, предвидено за изучаване в класове от прогимназиалния етап на основното образование.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o Лица от 16 до 24 навършени години, включени в курсове за ограмотяване или в курсове за усвояване на учебно съдържание, предвидено за изучаване в класове от прогимназиалния етап на основното образование.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 И 2323 Лица, желаещи да </w:t>
                  </w:r>
                  <w:proofErr w:type="spellStart"/>
                  <w:r w:rsidRPr="00212554">
                    <w:rPr>
                      <w:rFonts w:ascii="Roboto" w:eastAsia="Times New Roman" w:hAnsi="Roboto" w:cs="Courier New"/>
                      <w:sz w:val="20"/>
                      <w:szCs w:val="20"/>
                      <w:lang w:eastAsia="bg-BG"/>
                    </w:rPr>
                    <w:t>валидират</w:t>
                  </w:r>
                  <w:proofErr w:type="spellEnd"/>
                  <w:r w:rsidRPr="00212554">
                    <w:rPr>
                      <w:rFonts w:ascii="Roboto" w:eastAsia="Times New Roman" w:hAnsi="Roboto" w:cs="Courier New"/>
                      <w:sz w:val="20"/>
                      <w:szCs w:val="20"/>
                      <w:lang w:eastAsia="bg-BG"/>
                    </w:rPr>
                    <w:t xml:space="preserve"> знания, умения и компетентности (когато дейност 3 е включена в проектното предложение);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И 2327 Лица на възраст 25-64 години, участващи в продължаващо обучение и надграждане на знания, умения и компетентности по ОП;</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Р 3213 Дял на получилите (включително роми) удостоверения за успешно завършени курсове по ограмотяване или за усвояване на учебно съдържание, предвидено за изучаване в класове от прогимназиалния етап на основно образование по ОП;</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 Р 2322 Дял на лицата, от включени в дейности по ОП, </w:t>
                  </w:r>
                  <w:proofErr w:type="spellStart"/>
                  <w:r w:rsidRPr="00212554">
                    <w:rPr>
                      <w:rFonts w:ascii="Roboto" w:eastAsia="Times New Roman" w:hAnsi="Roboto" w:cs="Courier New"/>
                      <w:sz w:val="20"/>
                      <w:szCs w:val="20"/>
                      <w:lang w:eastAsia="bg-BG"/>
                    </w:rPr>
                    <w:t>валидирали</w:t>
                  </w:r>
                  <w:proofErr w:type="spellEnd"/>
                  <w:r w:rsidRPr="00212554">
                    <w:rPr>
                      <w:rFonts w:ascii="Roboto" w:eastAsia="Times New Roman" w:hAnsi="Roboto" w:cs="Courier New"/>
                      <w:sz w:val="20"/>
                      <w:szCs w:val="20"/>
                      <w:lang w:eastAsia="bg-BG"/>
                    </w:rPr>
                    <w:t xml:space="preserve"> знания, умения и компетентности (когато дейност 3 е включена в проектното предложение).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които не отговарят на изискването, ще бъдат отхвърлени от оценителната комисия.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19.</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Заложената в проектното предложение целева стойност на индикаторите за изпълнение и за резултат е положителна величина, различна от 0.</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Проектни предложения, които не отговарят на изискването, ще бъдат отхвърлени от оценителната комисия.</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20.</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В проектното предложение е описано съответствие с хоризонталните принципи и принципа за екологична устойчивост, залегнали в чл. 7 и чл. 8 на Регламент 1303/2013 г. на Европейския парламент и на Съвета, посочени в т. 17 на Условията за кандидатстване.</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21.</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и партньорите разполагат с административен капацитет.</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Счита се, че е налице административен капацитет за изпълнение на проекта, в случай че всеки от предложените експерти в </w:t>
                  </w:r>
                  <w:proofErr w:type="spellStart"/>
                  <w:r w:rsidRPr="00212554">
                    <w:rPr>
                      <w:rFonts w:ascii="Roboto" w:eastAsia="Times New Roman" w:hAnsi="Roboto" w:cs="Courier New"/>
                      <w:sz w:val="20"/>
                      <w:szCs w:val="20"/>
                      <w:lang w:eastAsia="bg-BG"/>
                    </w:rPr>
                    <w:t>екипa</w:t>
                  </w:r>
                  <w:proofErr w:type="spellEnd"/>
                  <w:r w:rsidRPr="00212554">
                    <w:rPr>
                      <w:rFonts w:ascii="Roboto" w:eastAsia="Times New Roman" w:hAnsi="Roboto" w:cs="Courier New"/>
                      <w:sz w:val="20"/>
                      <w:szCs w:val="20"/>
                      <w:lang w:eastAsia="bg-BG"/>
                    </w:rPr>
                    <w:t xml:space="preserve"> за организация и управление отговаря на изискванията от т.11 на Условията за кандидатстване: Ръководителят на проекта има минимум 2 години опит в управлението/изпълнението на сходен тип дейности и/или управление/изпълнение на сходен тип проекти, членовете на екипа може да имат най-малко 1 година опит в изпълнението на сходен тип дейности и/или управление/изпълнение на сходен тип проекти. Проверката е на база представени автобиографии от всеки от членовете на екипа за организация и управление.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За целите на процедурата под сходен тип дейности следва да се разбират дейности за ограмотяване на възрастни и/или дейности за предотвратяване отпадането от образование и/или приобщаващо образование и обучение и/или образователна медиация и мотивация на </w:t>
                  </w:r>
                  <w:proofErr w:type="spellStart"/>
                  <w:r w:rsidRPr="00212554">
                    <w:rPr>
                      <w:rFonts w:ascii="Roboto" w:eastAsia="Times New Roman" w:hAnsi="Roboto" w:cs="Courier New"/>
                      <w:sz w:val="20"/>
                      <w:szCs w:val="20"/>
                      <w:lang w:eastAsia="bg-BG"/>
                    </w:rPr>
                    <w:t>маргинализирани</w:t>
                  </w:r>
                  <w:proofErr w:type="spellEnd"/>
                  <w:r w:rsidRPr="00212554">
                    <w:rPr>
                      <w:rFonts w:ascii="Roboto" w:eastAsia="Times New Roman" w:hAnsi="Roboto" w:cs="Courier New"/>
                      <w:sz w:val="20"/>
                      <w:szCs w:val="20"/>
                      <w:lang w:eastAsia="bg-BG"/>
                    </w:rPr>
                    <w:t xml:space="preserve"> групи и/или социално-икономическа интеграция на уязвими групи и/или работа с лица, търсещи или получили закрила, и/или образование за учене през целия живот и/или кариерно ориентиране и консултиране за адаптиране към пазара на </w:t>
                  </w:r>
                  <w:r w:rsidRPr="00212554">
                    <w:rPr>
                      <w:rFonts w:ascii="Roboto" w:eastAsia="Times New Roman" w:hAnsi="Roboto" w:cs="Courier New"/>
                      <w:sz w:val="20"/>
                      <w:szCs w:val="20"/>
                      <w:lang w:eastAsia="bg-BG"/>
                    </w:rPr>
                    <w:lastRenderedPageBreak/>
                    <w:t>труда. Под сходен тип проекти следва да се разбират проекти със сходни дейности или проекти за уязвими групи като тези по настоящата процедура.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lastRenderedPageBreak/>
                    <w:t>22.</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и партньорите притежават финансов капацитет за изпълнението на проекта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Финансовият капацитет на кандидата и партньорите се оценява съвкупно на база представените счетоводни отчети (приложени по критерий 13 от Група I. Критерии за оценка на административно съответствие) за последните две приключили финансови години. Счита се, че кандидатът и партньорите разполагат с финансов капацитет, в случай че през последните две приключени финансови години общият им оборот с натрупване е поне 30% от стойността на исканото финансиране по проекта.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23.</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и партньорите притежават оперативен капацитет за изпълнението на проекта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Счита се, че кандидатът и партньорите притежават оперативен капацитет, в случай че през последните две години, спрямо датата на подаване на проектното предложение, най-малко един от тях е участвал в изпълнението на поне 1 проект с дейности, насочени към ограмотяване на възрастни и/или дейности за предотвратяване отпадането от образование и/или приобщаващо образование и обучение и/или образователна медиация и мотивация на </w:t>
                  </w:r>
                  <w:proofErr w:type="spellStart"/>
                  <w:r w:rsidRPr="00212554">
                    <w:rPr>
                      <w:rFonts w:ascii="Roboto" w:eastAsia="Times New Roman" w:hAnsi="Roboto" w:cs="Courier New"/>
                      <w:sz w:val="20"/>
                      <w:szCs w:val="20"/>
                      <w:lang w:eastAsia="bg-BG"/>
                    </w:rPr>
                    <w:t>маргинализирани</w:t>
                  </w:r>
                  <w:proofErr w:type="spellEnd"/>
                  <w:r w:rsidRPr="00212554">
                    <w:rPr>
                      <w:rFonts w:ascii="Roboto" w:eastAsia="Times New Roman" w:hAnsi="Roboto" w:cs="Courier New"/>
                      <w:sz w:val="20"/>
                      <w:szCs w:val="20"/>
                      <w:lang w:eastAsia="bg-BG"/>
                    </w:rPr>
                    <w:t xml:space="preserve"> групи и/или социално-икономическа интеграция на уязвими групи и/или работа с лица търсещи или получили закрила, и/или образование за учене през целия живот, финансирани от националния бюджет, ЕС или други донори и/или е изпълнявал/изпълнява </w:t>
                  </w:r>
                  <w:proofErr w:type="spellStart"/>
                  <w:r w:rsidRPr="00212554">
                    <w:rPr>
                      <w:rFonts w:ascii="Roboto" w:eastAsia="Times New Roman" w:hAnsi="Roboto" w:cs="Courier New"/>
                      <w:sz w:val="20"/>
                      <w:szCs w:val="20"/>
                      <w:lang w:eastAsia="bg-BG"/>
                    </w:rPr>
                    <w:t>многофондова</w:t>
                  </w:r>
                  <w:proofErr w:type="spellEnd"/>
                  <w:r w:rsidRPr="00212554">
                    <w:rPr>
                      <w:rFonts w:ascii="Roboto" w:eastAsia="Times New Roman" w:hAnsi="Roboto" w:cs="Courier New"/>
                      <w:sz w:val="20"/>
                      <w:szCs w:val="20"/>
                      <w:lang w:eastAsia="bg-BG"/>
                    </w:rPr>
                    <w:t xml:space="preserve"> Стратегия за водено от общностите местно развитие, в рамките на която се изпълнява поне 1 проект, включващ мерки, насочени към образователна интеграция на </w:t>
                  </w:r>
                  <w:proofErr w:type="spellStart"/>
                  <w:r w:rsidRPr="00212554">
                    <w:rPr>
                      <w:rFonts w:ascii="Roboto" w:eastAsia="Times New Roman" w:hAnsi="Roboto" w:cs="Courier New"/>
                      <w:sz w:val="20"/>
                      <w:szCs w:val="20"/>
                      <w:lang w:eastAsia="bg-BG"/>
                    </w:rPr>
                    <w:t>маргинализирани</w:t>
                  </w:r>
                  <w:proofErr w:type="spellEnd"/>
                  <w:r w:rsidRPr="00212554">
                    <w:rPr>
                      <w:rFonts w:ascii="Roboto" w:eastAsia="Times New Roman" w:hAnsi="Roboto" w:cs="Courier New"/>
                      <w:sz w:val="20"/>
                      <w:szCs w:val="20"/>
                      <w:lang w:eastAsia="bg-BG"/>
                    </w:rPr>
                    <w:t xml:space="preserve"> групи.</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24.</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Разходите, заложени в проектното предложение, не са финансирани със средства от Европейските структурни или инвестиционни фондове или чрез други инструменти на Европейския съюз в съответствие с чл. 65, параграф 11 от Регламент (ЕС) № 1303/2013, както и с други публични средства.</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Проверява се чрез декларация за липса на двойно финансиране и завършеност – Приложение V към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r w:rsidR="00212554" w:rsidRPr="00212554" w:rsidTr="00212554">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jc w:val="right"/>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25.</w:t>
                  </w: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Кандидатът или партньорът - ЮЛНЦ отговаря на изискванията за предоставяне на минимални помощи, в съответствие с Регламент (ЕС) № 1407/2013.</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r w:rsidRPr="00212554">
                    <w:rPr>
                      <w:rFonts w:ascii="Roboto" w:eastAsia="Times New Roman" w:hAnsi="Roboto" w:cs="Courier New"/>
                      <w:sz w:val="20"/>
                      <w:szCs w:val="20"/>
                      <w:lang w:eastAsia="bg-BG"/>
                    </w:rPr>
                    <w:t xml:space="preserve">Проверката се прави на база </w:t>
                  </w:r>
                  <w:proofErr w:type="spellStart"/>
                  <w:r w:rsidRPr="00212554">
                    <w:rPr>
                      <w:rFonts w:ascii="Roboto" w:eastAsia="Times New Roman" w:hAnsi="Roboto" w:cs="Courier New"/>
                      <w:sz w:val="20"/>
                      <w:szCs w:val="20"/>
                      <w:lang w:eastAsia="bg-BG"/>
                    </w:rPr>
                    <w:t>подаденaта</w:t>
                  </w:r>
                  <w:proofErr w:type="spellEnd"/>
                  <w:r w:rsidRPr="00212554">
                    <w:rPr>
                      <w:rFonts w:ascii="Roboto" w:eastAsia="Times New Roman" w:hAnsi="Roboto" w:cs="Courier New"/>
                      <w:sz w:val="20"/>
                      <w:szCs w:val="20"/>
                      <w:lang w:eastAsia="bg-BG"/>
                    </w:rPr>
                    <w:t xml:space="preserve"> Декларация за минимална помощ (Приложение II към Условията за кандидатстване).</w:t>
                  </w:r>
                </w:p>
                <w:p w:rsidR="00212554" w:rsidRPr="00212554" w:rsidRDefault="00212554" w:rsidP="0021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Courier New"/>
                      <w:sz w:val="20"/>
                      <w:szCs w:val="20"/>
                      <w:lang w:eastAsia="bg-BG"/>
                    </w:rPr>
                  </w:pPr>
                </w:p>
              </w:tc>
              <w:tc>
                <w:tcPr>
                  <w:tcW w:w="0" w:type="auto"/>
                  <w:tcBorders>
                    <w:left w:val="single" w:sz="6" w:space="0" w:color="8F8F8F"/>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r w:rsidRPr="00212554">
                    <w:rPr>
                      <w:rFonts w:ascii="Times New Roman" w:eastAsia="Times New Roman" w:hAnsi="Times New Roman" w:cs="Times New Roman"/>
                      <w:sz w:val="20"/>
                      <w:szCs w:val="20"/>
                      <w:lang w:eastAsia="bg-BG"/>
                    </w:rPr>
                    <w:t>Да</w:t>
                  </w:r>
                </w:p>
              </w:tc>
              <w:tc>
                <w:tcPr>
                  <w:tcW w:w="0" w:type="auto"/>
                  <w:tcBorders>
                    <w:left w:val="nil"/>
                    <w:bottom w:val="single" w:sz="6" w:space="0" w:color="8F8F8F"/>
                  </w:tcBorders>
                  <w:tcMar>
                    <w:top w:w="30" w:type="dxa"/>
                    <w:left w:w="30" w:type="dxa"/>
                    <w:bottom w:w="30" w:type="dxa"/>
                    <w:right w:w="30" w:type="dxa"/>
                  </w:tcMar>
                  <w:hideMark/>
                </w:tcPr>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bl>
          <w:p w:rsidR="00212554" w:rsidRPr="00212554" w:rsidRDefault="00212554" w:rsidP="00212554">
            <w:pPr>
              <w:spacing w:after="0" w:line="240" w:lineRule="auto"/>
              <w:rPr>
                <w:rFonts w:ascii="Times New Roman" w:eastAsia="Times New Roman" w:hAnsi="Times New Roman" w:cs="Times New Roman"/>
                <w:sz w:val="20"/>
                <w:szCs w:val="20"/>
                <w:lang w:eastAsia="bg-BG"/>
              </w:rPr>
            </w:pPr>
          </w:p>
        </w:tc>
      </w:tr>
    </w:tbl>
    <w:p w:rsidR="00E14B3F" w:rsidRDefault="00E14B3F"/>
    <w:sectPr w:rsidR="00E1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89"/>
    <w:rsid w:val="001A099B"/>
    <w:rsid w:val="00212554"/>
    <w:rsid w:val="00E14B3F"/>
    <w:rsid w:val="00F00B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72756">
      <w:bodyDiv w:val="1"/>
      <w:marLeft w:val="0"/>
      <w:marRight w:val="0"/>
      <w:marTop w:val="0"/>
      <w:marBottom w:val="0"/>
      <w:divBdr>
        <w:top w:val="none" w:sz="0" w:space="0" w:color="auto"/>
        <w:left w:val="none" w:sz="0" w:space="0" w:color="auto"/>
        <w:bottom w:val="none" w:sz="0" w:space="0" w:color="auto"/>
        <w:right w:val="none" w:sz="0" w:space="0" w:color="auto"/>
      </w:divBdr>
      <w:divsChild>
        <w:div w:id="704597859">
          <w:marLeft w:val="0"/>
          <w:marRight w:val="0"/>
          <w:marTop w:val="150"/>
          <w:marBottom w:val="0"/>
          <w:divBdr>
            <w:top w:val="none" w:sz="0" w:space="0" w:color="auto"/>
            <w:left w:val="none" w:sz="0" w:space="0" w:color="auto"/>
            <w:bottom w:val="none" w:sz="0" w:space="0" w:color="auto"/>
            <w:right w:val="none" w:sz="0" w:space="0" w:color="auto"/>
          </w:divBdr>
          <w:divsChild>
            <w:div w:id="90399295">
              <w:marLeft w:val="0"/>
              <w:marRight w:val="0"/>
              <w:marTop w:val="0"/>
              <w:marBottom w:val="0"/>
              <w:divBdr>
                <w:top w:val="none" w:sz="0" w:space="0" w:color="auto"/>
                <w:left w:val="none" w:sz="0" w:space="0" w:color="auto"/>
                <w:bottom w:val="none" w:sz="0" w:space="0" w:color="auto"/>
                <w:right w:val="none" w:sz="0" w:space="0" w:color="auto"/>
              </w:divBdr>
            </w:div>
            <w:div w:id="17328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14415</Characters>
  <Application>Microsoft Office Word</Application>
  <DocSecurity>0</DocSecurity>
  <Lines>120</Lines>
  <Paragraphs>33</Paragraphs>
  <ScaleCrop>false</ScaleCrop>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2020-12-29T07:31:00Z</dcterms:created>
  <dcterms:modified xsi:type="dcterms:W3CDTF">2020-12-29T07:31:00Z</dcterms:modified>
</cp:coreProperties>
</file>