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2A" w:rsidRPr="0054342A" w:rsidRDefault="0054342A" w:rsidP="0054342A">
      <w:pPr>
        <w:spacing w:before="600" w:after="150" w:line="240" w:lineRule="atLeast"/>
        <w:outlineLvl w:val="1"/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bg-BG"/>
        </w:rPr>
      </w:pPr>
      <w:bookmarkStart w:id="0" w:name="_GoBack"/>
      <w:bookmarkEnd w:id="0"/>
      <w:r w:rsidRPr="0054342A">
        <w:rPr>
          <w:rFonts w:ascii="Roboto" w:eastAsia="Times New Roman" w:hAnsi="Roboto" w:cs="Times New Roman"/>
          <w:b/>
          <w:bCs/>
          <w:color w:val="333333"/>
          <w:sz w:val="30"/>
          <w:szCs w:val="30"/>
          <w:lang w:eastAsia="bg-BG"/>
        </w:rPr>
        <w:t>Критерии за оценка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6362"/>
        <w:gridCol w:w="2204"/>
        <w:gridCol w:w="195"/>
      </w:tblGrid>
      <w:tr w:rsidR="0054342A" w:rsidRPr="0054342A" w:rsidTr="0054342A">
        <w:trPr>
          <w:tblHeader/>
        </w:trPr>
        <w:tc>
          <w:tcPr>
            <w:tcW w:w="600" w:type="dxa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</w:t>
            </w:r>
          </w:p>
        </w:tc>
        <w:tc>
          <w:tcPr>
            <w:tcW w:w="12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Група</w:t>
            </w:r>
          </w:p>
        </w:tc>
        <w:tc>
          <w:tcPr>
            <w:tcW w:w="3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Праг за преминаване</w:t>
            </w:r>
          </w:p>
        </w:tc>
        <w:tc>
          <w:tcPr>
            <w:tcW w:w="0" w:type="auto"/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sz w:val="20"/>
                <w:szCs w:val="20"/>
                <w:lang w:eastAsia="bg-BG"/>
              </w:rPr>
            </w:pPr>
            <w:r w:rsidRPr="0054342A">
              <w:rPr>
                <w:rFonts w:ascii="Roboto" w:eastAsia="Times New Roman" w:hAnsi="Roboto" w:cs="Courier New"/>
                <w:sz w:val="23"/>
                <w:szCs w:val="23"/>
                <w:lang w:eastAsia="bg-BG"/>
              </w:rPr>
              <w:t>КАЧЕСТВО НА СЪОТВЕТСТВИЕТО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8F8F8F"/>
              <w:bottom w:val="single" w:sz="6" w:space="0" w:color="8F8F8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"/>
              <w:gridCol w:w="6749"/>
              <w:gridCol w:w="1576"/>
              <w:gridCol w:w="156"/>
            </w:tblGrid>
            <w:tr w:rsidR="0054342A" w:rsidRPr="0054342A" w:rsidTr="0054342A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4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Критерий</w:t>
                  </w:r>
                </w:p>
              </w:tc>
              <w:tc>
                <w:tcPr>
                  <w:tcW w:w="30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Максимален праг</w:t>
                  </w: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br/>
                    <w:t>40.00</w:t>
                  </w:r>
                </w:p>
              </w:tc>
              <w:tc>
                <w:tcPr>
                  <w:tcW w:w="0" w:type="auto"/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Съответствие на дейностите с целите и очакваните резултати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Налице е съответствие между описанието на планираните дейности и очакваните резултати за всяка дейност.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За всяка от планираните дейности е описан принос към конкретен индикатор по процедурата.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Планът за изпълнение отразява логическата връзка и/или последователност на планираните дейности и очакваните резултати/индикатори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Три от посочените критерии са изпълнени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Два от посочените критерии са изпълнени - 3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Един от посочените п критерии е изпълнен - 1 точка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Обхватност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на проектното предложение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- Проектното предложение обхваща всички задължителни дейности (дейност 1 –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1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. 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1.2 и дейност 2 –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2.3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. и 2.3.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2.1., 2.2 и 2.3.) и незадължителните дейност 3 и дейност 4. - 10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- Проектното предложение обхваща всички задължителни дейности (дейност 1 –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1.1 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1.2 и дейност 2-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2.3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. и 2.3.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. и 2.3) и незадължителната дейност 4.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Проектното предложение обхваща всички задължителни дейности (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1-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1.1 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1.2 и дейност 2-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2.3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. и 2.3.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. и 2.3) и незадължителната дейност 3. - 3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- Проектното предложение обхваща само задължителни дейности (дейност 1 –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1.1 и 1.2 и дейност 2 -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2.3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. и 2.3. или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поддейности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2.1 и 2.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. и 2.3) - 1 точка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Механизъм за идентифициране и мотивиране на целевите групи и включването им в дейности по процедурата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Описаният механизъм за идентифициране и мотивиране на целевите групи включва предварителен анализ, основан на количествени и качествени данни (брой, възраст, образование, социален статус, признак на уязвимост и др. приложими за целевите групи) и прогнози и предварителна комуникация и координация с основните отговорни институции (АЗ-ДБТ, АСП, ДАБ, общини, РУО)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- Описаният механизъм включва конкретна методология за идентифициране и мотивиране на целевите групи чрез пряка ангажираност на кандидата и/или партньора/партньорите, при наличие на такива, и/или образователни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медиатори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Описаният механизъм посочва конкретно определени комуникационни канали за разпространение на информация сред целевите групи.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Три от критериите са изпълнени - 10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Два от критериите са изпълнени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Един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ото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критериите е изпълнен - 1 точка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Организация и провеждане на курсове по дейност 2 за ограмотяване и курсове за придобиване на компетентности от прогимназиалния етап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lastRenderedPageBreak/>
                    <w:t>Организацията и провеждането на курсовете по дейност 2 е съобразена с наличната образователна среда в училището: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организацията на курсовете предвижда обучение в самостоятелни класни стаи за всяка група курсисти;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предвидени са и са описани налични учебно-технически средства, необходими за провеждане на курсовете за възрастни;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- описани са изисквания за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обучители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за планирания брой групи – опит в обучение на възрастни, брой групи за един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обучител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описана е организацията за провеждане на изпитите;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организацията на курсовете е съобразена с учебния процес на учениците и спецификите на целевата група (отчетени са възможностите за съчетаване обучение на деца в задължителна ученическа възраст и целевата група при споделено ползване на материално-техническа база в едно училище).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Пет от критериите са изпълнение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Четири от критериите са изпълнени - 3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Три или по-малко от критериите са изпълнени - 1 точка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lastRenderedPageBreak/>
                    <w:t>5.00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Ориентираност към резултати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В проектното предложение са включени всички задължителни за операцията индикатори от ОПНОИР (И 3213 с всички съставни индикатори; И 2327; Р 3213; а при включена дейност 3 - И 2323; Р 2322), както и всички допълнителни специфични за операцията индикатори за изпълнение, както следва: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Лица над 16 години, (включително роми), допуснати до явяване на изпит след участие в курс по ограмотяване и/или в курс за придобиване на компетентности от прогимназиалния етап на основното образование;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Лица, придобили основно образование в рамките на операцията и продължили в първи гимназиален етап на средно образование или в професионално обучение, и/ или започнали/останали на работа в рамките на шест месеца след приключване участието си в дейности по операцията.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В проектното предложение са включени всички задължителни за операцията индикатори от ОПНОИР (И 3213 с всички съставни индикатори; И 2327; Р 3213; а при включена дейност 3 - И 2323; Р 2322), както и един допълнителен специфичен за операцията индикатор за изпълнение. -3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В проектното предложение са включени само задължителните за операцията индикатори от ОПНОИР (И 3213 с всички съставни индикатори; И 2327; Р 3213; а при включена дейност 3 - И 2323; Р 2322). - 1 точка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Устойчивост и въздействие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Предвидено е проследяване на резултатите от изпълнението на проекта и въздействието върху целевата група: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записване в следващ етап/клас на основно образование;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продължаване на образованието в гимназиална степен след придобито основно образование в рамките на процедурата (записване в първи гимназиален етап на формалното образование);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започване или оставане на работа със съдействието на бюрата по труда в рамките на 6 месеца след завършване на курс по процедурата;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насочване към или включване в професионално обучение със съдействието на бюрата по труда.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Три от посочените критерии са изпълнени. - 3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Два от посочените критерии са изпълнени. - 2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lastRenderedPageBreak/>
                    <w:t>Един от посочените критерии е изпълнен. -1 точка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lastRenderedPageBreak/>
                    <w:t>5.00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rPr>
          <w:tblHeader/>
        </w:trPr>
        <w:tc>
          <w:tcPr>
            <w:tcW w:w="600" w:type="dxa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II.</w:t>
            </w:r>
          </w:p>
        </w:tc>
        <w:tc>
          <w:tcPr>
            <w:tcW w:w="12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Група</w:t>
            </w:r>
          </w:p>
        </w:tc>
        <w:tc>
          <w:tcPr>
            <w:tcW w:w="3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Праг за преминаване</w:t>
            </w:r>
          </w:p>
        </w:tc>
        <w:tc>
          <w:tcPr>
            <w:tcW w:w="0" w:type="auto"/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sz w:val="20"/>
                <w:szCs w:val="20"/>
                <w:lang w:eastAsia="bg-BG"/>
              </w:rPr>
            </w:pPr>
            <w:r w:rsidRPr="0054342A">
              <w:rPr>
                <w:rFonts w:ascii="Roboto" w:eastAsia="Times New Roman" w:hAnsi="Roboto" w:cs="Courier New"/>
                <w:sz w:val="23"/>
                <w:szCs w:val="23"/>
                <w:lang w:eastAsia="bg-BG"/>
              </w:rPr>
              <w:t>ОЦЕНКА НА ЦЕЛЕВИТЕ ГРУПИ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8F8F8F"/>
              <w:bottom w:val="single" w:sz="6" w:space="0" w:color="8F8F8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6646"/>
              <w:gridCol w:w="1660"/>
              <w:gridCol w:w="156"/>
            </w:tblGrid>
            <w:tr w:rsidR="0054342A" w:rsidRPr="0054342A" w:rsidTr="0054342A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4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Критерий</w:t>
                  </w:r>
                </w:p>
              </w:tc>
              <w:tc>
                <w:tcPr>
                  <w:tcW w:w="30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Максимален праг</w:t>
                  </w: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br/>
                    <w:t>30.00</w:t>
                  </w:r>
                </w:p>
              </w:tc>
              <w:tc>
                <w:tcPr>
                  <w:tcW w:w="0" w:type="auto"/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Планирана целева стойност на индикатор за изпълнение: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o Лица навършили 16 години, регистрирани в Дирекции „Бюро по труда“, включени в курсове по ограмотяване и/или в курсове за усвояване на учебно съдържание, предвидено за изучаване в класове от прогимназиалния етап на основното образование.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Оценителната комисия чрез изчисления на планираните стойности на индикатори за изпълнение в конкретно проектното предложение определя точките по следната формула 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∑= А/В * 15 , където: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А - целевата стойност на индикатор за изпълнение „ Лица навършили 16 години, регистрирани в Дирекции „Бюро по труда“, включени в курсове по ограмотяване и/или в курсове за усвояване на учебно съдържание, предвидено за изучаване в класове от прогимназиалния етап на основното образование.“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В - целева стойност на индикатор за изпълнение „И 3213 Лица над 16 години (включително роми), включени в курсове за ограмотяване или в курсове за усвояване на учебно съдържание, предвидено за изучаване в класове от прогимназиалния етап на основното образование по ОП“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Полученият резултат се закръглява до цяло число.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Фокус към лица от целевите групи на възраст от 16 до 24 навършени години: неучещи и незаети лица,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лица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без завършен етап/степен на училищно образование, неграмотни или слабо грамотни, отпаднали от системата на образованието, безработни лица, и/или търсещи или получила закрила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Оценителната комисия чрез изчисления на планираните стойности на индикатори за изпълнение в конкретното проектното предложение определя точките по следната формула: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∑=C/B*15, където: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B - целевата стойност на индикатор за изпълнение „И 3213 Лица над 16 години (включително роми), включени в курсове за ограмотяване или в курсове за усвояване на учебно съдържание, предвидено за изучаване в класове от прогимназиалния етап на основното образование по ОП“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C - целева стойност на индикатор за изпълнение „Лица от 16 до 24 навършени години, включени в курсове за ограмотяване или в курсове за усвояване на учебно съдържание, предвидено за изучаване в класове от прогимназиалния етап на основното образование“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Полученият резултат се закръглява до цяло число.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rPr>
          <w:tblHeader/>
        </w:trPr>
        <w:tc>
          <w:tcPr>
            <w:tcW w:w="600" w:type="dxa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III.</w:t>
            </w:r>
          </w:p>
        </w:tc>
        <w:tc>
          <w:tcPr>
            <w:tcW w:w="12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Група</w:t>
            </w:r>
          </w:p>
        </w:tc>
        <w:tc>
          <w:tcPr>
            <w:tcW w:w="3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Праг за преминаване</w:t>
            </w:r>
          </w:p>
        </w:tc>
        <w:tc>
          <w:tcPr>
            <w:tcW w:w="0" w:type="auto"/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sz w:val="20"/>
                <w:szCs w:val="20"/>
                <w:lang w:eastAsia="bg-BG"/>
              </w:rPr>
            </w:pPr>
            <w:r w:rsidRPr="0054342A">
              <w:rPr>
                <w:rFonts w:ascii="Roboto" w:eastAsia="Times New Roman" w:hAnsi="Roboto" w:cs="Courier New"/>
                <w:sz w:val="23"/>
                <w:szCs w:val="23"/>
                <w:lang w:eastAsia="bg-BG"/>
              </w:rPr>
              <w:t>ЕФИКАСНОСТ И ЕФЕКТИВНОСТ НА ПРОЕКТНОТО ПРЕДЛОЖЕНИЕ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8F8F8F"/>
              <w:bottom w:val="single" w:sz="6" w:space="0" w:color="8F8F8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6785"/>
              <w:gridCol w:w="1547"/>
              <w:gridCol w:w="156"/>
            </w:tblGrid>
            <w:tr w:rsidR="0054342A" w:rsidRPr="0054342A" w:rsidTr="0054342A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4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Критерий</w:t>
                  </w:r>
                </w:p>
              </w:tc>
              <w:tc>
                <w:tcPr>
                  <w:tcW w:w="30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Максимален праг</w:t>
                  </w: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br/>
                    <w:t>10.00</w:t>
                  </w:r>
                </w:p>
              </w:tc>
              <w:tc>
                <w:tcPr>
                  <w:tcW w:w="0" w:type="auto"/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Връзка между планираните ресурси и постигането на целите.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Оценителната комисия следва да извърши изчисления на допуснатите до техническа и финансова оценка, проектни предложения на база най-доброто съотношение между планираните ресурси (планираните общо допустими разходи по проекта) и постигането на целите (сумата от планираната целева стойност на индикатор И 3213 + планираната целева стойност на индикатор И 2323). Полученият резултат се закръглява до цяло число след прилагане на следната формула: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∑= O/N*10, където: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N е съотношението на „n“ проектно предложение, изчислено по формулата: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N=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Zn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/([(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Bn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*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Xn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)+(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Dn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*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Yn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)+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Fn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])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(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Bn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целева стойност на индикатор за изпълнение И 3213 на конкретно проектно предложение – „n“;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Xn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– е планираната целевата стойност на индикатор за резултат Р 3213 на конкретно проектно предложение – „n“;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Dn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целевата стойност на индикатор за изпълнение И 2323 на конкретно проектно предложение – „n“;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Yn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– е планираната целевата стойност на индикатор за резултат Р 2322 на конкретно проектно предложение – „n“;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Fn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– е планирана целева стойност на индикатор за изпълнение „Лица, придобили основно образование в рамките на операцията и продължили в първи гимназиален етап на средно образование или в професионално обучение, и/ или започнали/останали на работа в рамките на шест месеца след приключване участието си в дейности по операцията“ на конкретно проектно предложение – „n“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Zn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стойност на общо допустимите разходи (бюджет) на конкретно проектно предложение – „n“;)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O е най-малкото съотношение на проектно предложение сред всички допуснати до ТФО проектни предложения, изчислено по формулата: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O=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Zo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/([(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Bo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*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Xo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)+(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Do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*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Yo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)+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Fo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])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Bo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целева стойност на индикатор за изпълнение И 3213 на проектното предложение с най-малкото съотношение;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Xo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целева стойност на индикатор за резултат Р 3213 на проектното предложение с най-малкото съотношение;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Do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целева стойност на индикатор за изпълнение И 2323 на проектното предложение с най-малкото съотношение;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Yo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целева стойност на индикатор за резултат Р 2322 на проектното предложение с най-малкото съотношение;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Fо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– е планирана целева стойност на индикатор за изпълнение „Лица, придобили основно образование в рамките на операцията и продължили в първи гимназиален етап на средно образование или в професионално обучение, и/ или започнали/останали на работа в рамките на шест месеца след приключване участието си в дейности по операцията“ на проектното с най-малкото съотношение.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Zo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е планираната стойност на общо допустими разходи (бюджет) на проектното предложение с най-малкото съотношение)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rPr>
          <w:tblHeader/>
        </w:trPr>
        <w:tc>
          <w:tcPr>
            <w:tcW w:w="600" w:type="dxa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IV.</w:t>
            </w:r>
          </w:p>
        </w:tc>
        <w:tc>
          <w:tcPr>
            <w:tcW w:w="12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Група</w:t>
            </w:r>
          </w:p>
        </w:tc>
        <w:tc>
          <w:tcPr>
            <w:tcW w:w="3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Праг за преминаване</w:t>
            </w:r>
          </w:p>
        </w:tc>
        <w:tc>
          <w:tcPr>
            <w:tcW w:w="0" w:type="auto"/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sz w:val="20"/>
                <w:szCs w:val="20"/>
                <w:lang w:eastAsia="bg-BG"/>
              </w:rPr>
            </w:pPr>
            <w:r w:rsidRPr="0054342A">
              <w:rPr>
                <w:rFonts w:ascii="Roboto" w:eastAsia="Times New Roman" w:hAnsi="Roboto" w:cs="Courier New"/>
                <w:sz w:val="23"/>
                <w:szCs w:val="23"/>
                <w:lang w:eastAsia="bg-BG"/>
              </w:rPr>
              <w:t>БЮДЖЕТ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8F8F8F"/>
              <w:bottom w:val="single" w:sz="6" w:space="0" w:color="8F8F8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6077"/>
              <w:gridCol w:w="2123"/>
              <w:gridCol w:w="156"/>
            </w:tblGrid>
            <w:tr w:rsidR="0054342A" w:rsidRPr="0054342A" w:rsidTr="0054342A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4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Критерий</w:t>
                  </w:r>
                </w:p>
              </w:tc>
              <w:tc>
                <w:tcPr>
                  <w:tcW w:w="30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Максимален праг</w:t>
                  </w: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br/>
                    <w:t>20.00</w:t>
                  </w:r>
                </w:p>
              </w:tc>
              <w:tc>
                <w:tcPr>
                  <w:tcW w:w="0" w:type="auto"/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Бюджетът не изисква корекции за намаление на планираните преки разходи - 20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Бюджетът изисква корекция с намаление на планираните преки разходи до 3% вкл. - 15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Бюджетът изисква корекция с намаление на планираните преки разходи от 3% до 6% вкл. - 10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Бюджетът изисква корекция с намаление на планираните преки разходи от 6% до 10% вкл. - 5 точки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- Бюджетът изисква корекция с намаление на планираните преки разходи повече от 10%. - 1 точка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rPr>
          <w:tblHeader/>
        </w:trPr>
        <w:tc>
          <w:tcPr>
            <w:tcW w:w="600" w:type="dxa"/>
            <w:tcBorders>
              <w:left w:val="nil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V.</w:t>
            </w:r>
          </w:p>
        </w:tc>
        <w:tc>
          <w:tcPr>
            <w:tcW w:w="12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Група</w:t>
            </w:r>
          </w:p>
        </w:tc>
        <w:tc>
          <w:tcPr>
            <w:tcW w:w="3000" w:type="dxa"/>
            <w:tcBorders>
              <w:left w:val="single" w:sz="6" w:space="0" w:color="8F8F8F"/>
            </w:tcBorders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Праг за преминаване</w:t>
            </w:r>
          </w:p>
        </w:tc>
        <w:tc>
          <w:tcPr>
            <w:tcW w:w="0" w:type="auto"/>
            <w:shd w:val="clear" w:color="auto" w:fill="E9E9E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54342A" w:rsidRPr="0054342A" w:rsidRDefault="0054342A" w:rsidP="0054342A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Roboto" w:eastAsia="Times New Roman" w:hAnsi="Roboto" w:cs="Courier New"/>
                <w:sz w:val="20"/>
                <w:szCs w:val="20"/>
                <w:lang w:eastAsia="bg-BG"/>
              </w:rPr>
            </w:pPr>
            <w:r w:rsidRPr="0054342A">
              <w:rPr>
                <w:rFonts w:ascii="Roboto" w:eastAsia="Times New Roman" w:hAnsi="Roboto" w:cs="Courier New"/>
                <w:sz w:val="23"/>
                <w:szCs w:val="23"/>
                <w:lang w:eastAsia="bg-BG"/>
              </w:rPr>
              <w:t>Лист 2 - Финална Техническа и финансова оценка след проверка на бюджет</w:t>
            </w:r>
          </w:p>
        </w:tc>
        <w:tc>
          <w:tcPr>
            <w:tcW w:w="0" w:type="auto"/>
            <w:tcBorders>
              <w:left w:val="single" w:sz="6" w:space="0" w:color="8F8F8F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4342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0.00</w:t>
            </w:r>
          </w:p>
        </w:tc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4342A" w:rsidRPr="0054342A" w:rsidTr="0054342A">
        <w:tc>
          <w:tcPr>
            <w:tcW w:w="0" w:type="auto"/>
            <w:tcBorders>
              <w:left w:val="nil"/>
              <w:bottom w:val="single" w:sz="6" w:space="0" w:color="8F8F8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8F8F8F"/>
              <w:bottom w:val="single" w:sz="6" w:space="0" w:color="8F8F8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6726"/>
              <w:gridCol w:w="1595"/>
              <w:gridCol w:w="156"/>
            </w:tblGrid>
            <w:tr w:rsidR="0054342A" w:rsidRPr="0054342A" w:rsidTr="0054342A">
              <w:trPr>
                <w:tblHeader/>
              </w:trPr>
              <w:tc>
                <w:tcPr>
                  <w:tcW w:w="600" w:type="dxa"/>
                  <w:tcBorders>
                    <w:left w:val="nil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14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Критерий</w:t>
                  </w:r>
                </w:p>
              </w:tc>
              <w:tc>
                <w:tcPr>
                  <w:tcW w:w="3000" w:type="dxa"/>
                  <w:tcBorders>
                    <w:left w:val="single" w:sz="6" w:space="0" w:color="8F8F8F"/>
                  </w:tcBorders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t>Максимален праг</w:t>
                  </w:r>
                  <w:r w:rsidRPr="005434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  <w:br/>
                    <w:t>0.00</w:t>
                  </w:r>
                </w:p>
              </w:tc>
              <w:tc>
                <w:tcPr>
                  <w:tcW w:w="0" w:type="auto"/>
                  <w:shd w:val="clear" w:color="auto" w:fill="E9E9E9"/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Размерът на безвъзмездната финансова помощ след проверка на бюджета и корекция, когато е приложимо, е равен или по-висок от минималния размер на БФП съгласно т.9 от Условията за кандидатстване.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Оценява се чрез "ДА" или "НЕ" 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При отговор „ДА“ проектното предложение се класира в низходящ ред съгласно получения брой точки.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При отговор „НЕ“ проектното предложение се отхвърля и не участва в класирането, независимо от получения брой точки на етап ТФО.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Въвежда се ръчно от оценителя с аргументация за присъдения отговор.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54342A" w:rsidRPr="0054342A" w:rsidTr="0054342A"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Общият размер на помощта „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de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minimis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”, предоставяна по настоящата процедура, заедно с други получени помощи за едно и също предприятие, не надхвърля 200 000 EUR или 391 166 лв. за период от три бюджетни години (текущата бюджетна година плюс предходните две бюджетни години).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Оценява се чрез "ДА", "НЕ", "</w:t>
                  </w:r>
                  <w:proofErr w:type="spellStart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НЕ</w:t>
                  </w:r>
                  <w:proofErr w:type="spellEnd"/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 xml:space="preserve"> ПРИЛОЖИМО".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При отговор „ДА“ проектното предложение се класира в низходящ ред съгласно получения брой точки.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Проверява се за кандидат или партньор ЮЛНЦ чрез декларация – Приложение II към Условията за кандидатстване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В случай, че исканата част от бюджета на БФП надхвърля допустимия размер на „минимална помощ“ за ЮЛНЦ оценителната комисия след комуникация коригира бюджета за ЮЛНЦ без да редуцира дейностите и индикаторите, а ЮЛНЦ поема ангажимент да ги изпълни, осигурявайки собствени средства в размер на разликата от исканата и редуцираната „минималната помощ“ 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При отговор „НЕ“ проектното предложение се отхвърля и не участва в класирането, независимо от получения брой точки на етап ТФО.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Отговор „НП“ (Неприложимо) се дава за проекти, които нямат кандидат/партньор ЮЛНЦ.</w:t>
                  </w:r>
                </w:p>
                <w:p w:rsidR="0054342A" w:rsidRPr="0054342A" w:rsidRDefault="0054342A" w:rsidP="005434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Roboto" w:eastAsia="Times New Roman" w:hAnsi="Roboto" w:cs="Courier New"/>
                      <w:sz w:val="20"/>
                      <w:szCs w:val="20"/>
                      <w:lang w:eastAsia="bg-BG"/>
                    </w:rPr>
                    <w:t>Въвежда се ръчно от оценителя с аргументация за присъдения отговор.</w:t>
                  </w:r>
                </w:p>
              </w:tc>
              <w:tc>
                <w:tcPr>
                  <w:tcW w:w="0" w:type="auto"/>
                  <w:tcBorders>
                    <w:left w:val="single" w:sz="6" w:space="0" w:color="8F8F8F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5434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single" w:sz="6" w:space="0" w:color="8F8F8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4342A" w:rsidRPr="0054342A" w:rsidRDefault="0054342A" w:rsidP="0054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4342A" w:rsidRPr="0054342A" w:rsidRDefault="0054342A" w:rsidP="0054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4342A" w:rsidRPr="0054342A" w:rsidRDefault="0054342A" w:rsidP="0054342A">
      <w:pPr>
        <w:spacing w:after="75" w:line="240" w:lineRule="auto"/>
        <w:jc w:val="right"/>
        <w:rPr>
          <w:rFonts w:ascii="Roboto" w:eastAsia="Times New Roman" w:hAnsi="Roboto" w:cs="Times New Roman"/>
          <w:b/>
          <w:color w:val="333333"/>
          <w:sz w:val="21"/>
          <w:szCs w:val="21"/>
          <w:lang w:eastAsia="bg-BG"/>
        </w:rPr>
      </w:pPr>
      <w:r w:rsidRPr="0054342A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 xml:space="preserve">Праг за преминаване: </w:t>
      </w:r>
      <w:r w:rsidRPr="0054342A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>51.00</w:t>
      </w:r>
    </w:p>
    <w:p w:rsidR="0054342A" w:rsidRPr="0054342A" w:rsidRDefault="0054342A" w:rsidP="0054342A">
      <w:pPr>
        <w:spacing w:after="75" w:line="240" w:lineRule="auto"/>
        <w:rPr>
          <w:rFonts w:ascii="Roboto" w:eastAsia="Times New Roman" w:hAnsi="Roboto" w:cs="Times New Roman"/>
          <w:b/>
          <w:color w:val="333333"/>
          <w:sz w:val="21"/>
          <w:szCs w:val="21"/>
          <w:lang w:eastAsia="bg-BG"/>
        </w:rPr>
      </w:pPr>
    </w:p>
    <w:p w:rsidR="0054342A" w:rsidRPr="0054342A" w:rsidRDefault="0054342A" w:rsidP="0054342A">
      <w:pPr>
        <w:spacing w:after="75" w:line="240" w:lineRule="auto"/>
        <w:jc w:val="right"/>
        <w:rPr>
          <w:rFonts w:ascii="Roboto" w:eastAsia="Times New Roman" w:hAnsi="Roboto" w:cs="Times New Roman"/>
          <w:b/>
          <w:color w:val="333333"/>
          <w:sz w:val="21"/>
          <w:szCs w:val="21"/>
          <w:lang w:eastAsia="bg-BG"/>
        </w:rPr>
      </w:pPr>
      <w:r w:rsidRPr="0054342A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>Максимален праг:</w:t>
      </w:r>
      <w:r w:rsidRPr="0054342A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 xml:space="preserve"> </w:t>
      </w:r>
      <w:r w:rsidRPr="0054342A">
        <w:rPr>
          <w:rFonts w:ascii="Roboto" w:eastAsia="Times New Roman" w:hAnsi="Roboto" w:cs="Times New Roman"/>
          <w:b/>
          <w:color w:val="333333"/>
          <w:sz w:val="23"/>
          <w:szCs w:val="23"/>
          <w:lang w:eastAsia="bg-BG"/>
        </w:rPr>
        <w:t>100.00</w:t>
      </w:r>
    </w:p>
    <w:sectPr w:rsidR="0054342A" w:rsidRPr="0054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C"/>
    <w:rsid w:val="001A099B"/>
    <w:rsid w:val="0054342A"/>
    <w:rsid w:val="00993C56"/>
    <w:rsid w:val="00E14B3F"/>
    <w:rsid w:val="00E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115519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78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73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30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83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11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2020-12-29T07:32:00Z</dcterms:created>
  <dcterms:modified xsi:type="dcterms:W3CDTF">2020-12-29T07:34:00Z</dcterms:modified>
</cp:coreProperties>
</file>