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E5425" w14:textId="77777777" w:rsidR="00901C5F" w:rsidRDefault="00FF3925" w:rsidP="00FF392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F3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ПРОЕКТ</w:t>
      </w:r>
      <w:r w:rsidR="00D15479" w:rsidRPr="00D15479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D15479" w:rsidRPr="00D1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НА ПРОМЕНИ В СТРАТЕГИЯ ЗА ВОДЕНО ОТ ОБЩНОСТИТЕ МЕСТНО РАЗВИТИЕ (ВОМР) </w:t>
      </w:r>
    </w:p>
    <w:p w14:paraId="179FF6E9" w14:textId="39FEFEA3" w:rsidR="00FF3925" w:rsidRPr="00D15479" w:rsidRDefault="00D15479" w:rsidP="00FF39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1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НА МИГ СВИЛЕНГРАД АРЕАЛ</w:t>
      </w:r>
    </w:p>
    <w:p w14:paraId="538214CB" w14:textId="148A6208" w:rsidR="00A0150C" w:rsidRDefault="00FF3925" w:rsidP="00D15479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>съгласно Споразумение № РД</w:t>
      </w:r>
      <w:r w:rsidRPr="00FF3925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>50-</w:t>
      </w:r>
      <w:r w:rsidR="00D15479">
        <w:rPr>
          <w:rFonts w:ascii="Times New Roman" w:eastAsia="Times New Roman" w:hAnsi="Times New Roman" w:cs="Times New Roman"/>
          <w:color w:val="000000"/>
          <w:lang w:eastAsia="bg-BG"/>
        </w:rPr>
        <w:t>32</w:t>
      </w:r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>/</w:t>
      </w:r>
      <w:r w:rsidR="00D15479">
        <w:rPr>
          <w:rFonts w:ascii="Times New Roman" w:eastAsia="Times New Roman" w:hAnsi="Times New Roman" w:cs="Times New Roman"/>
          <w:color w:val="000000"/>
          <w:lang w:eastAsia="bg-BG"/>
        </w:rPr>
        <w:t>19</w:t>
      </w:r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Pr="00FF3925">
        <w:rPr>
          <w:rFonts w:ascii="Times New Roman" w:eastAsia="Times New Roman" w:hAnsi="Times New Roman" w:cs="Times New Roman"/>
          <w:color w:val="000000"/>
          <w:lang w:eastAsia="bg-BG"/>
        </w:rPr>
        <w:t>04</w:t>
      </w:r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>.20</w:t>
      </w:r>
      <w:r w:rsidRPr="00FF3925">
        <w:rPr>
          <w:rFonts w:ascii="Times New Roman" w:eastAsia="Times New Roman" w:hAnsi="Times New Roman" w:cs="Times New Roman"/>
          <w:color w:val="000000"/>
          <w:lang w:eastAsia="bg-BG"/>
        </w:rPr>
        <w:t>18</w:t>
      </w:r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 xml:space="preserve"> г. по </w:t>
      </w:r>
      <w:proofErr w:type="spellStart"/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>подмярка</w:t>
      </w:r>
      <w:proofErr w:type="spellEnd"/>
      <w:r w:rsidRPr="00251553">
        <w:rPr>
          <w:rFonts w:ascii="Times New Roman" w:eastAsia="Times New Roman" w:hAnsi="Times New Roman" w:cs="Times New Roman"/>
          <w:color w:val="000000"/>
          <w:lang w:eastAsia="bg-BG"/>
        </w:rPr>
        <w:t xml:space="preserve"> 19.2 „Прилагане на операции в рамките на стратегии за водено от общностите местно развитие” на мярка 19 „Водено от общностите местно развитие” от Програмата за развитие на селските райони за периода 2014-2020 г</w:t>
      </w:r>
      <w:r w:rsidR="00D15479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6A064A8C" w14:textId="450FE568" w:rsidR="00FF3925" w:rsidRDefault="00FF3925" w:rsidP="00C876CF">
      <w:pPr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986B210" w14:textId="7CDDB9BC" w:rsidR="00C876CF" w:rsidRPr="00C876CF" w:rsidRDefault="000E68CD" w:rsidP="00C876CF">
      <w:pPr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bg-BG"/>
        </w:rPr>
        <w:t>О</w:t>
      </w:r>
      <w:r w:rsidR="00C876CF">
        <w:rPr>
          <w:rFonts w:ascii="Times New Roman" w:eastAsia="Times New Roman" w:hAnsi="Times New Roman" w:cs="Times New Roman"/>
          <w:color w:val="000000"/>
          <w:u w:val="single"/>
          <w:lang w:eastAsia="bg-BG"/>
        </w:rPr>
        <w:t>снование</w:t>
      </w:r>
      <w:r w:rsidR="00C876CF" w:rsidRPr="00C876CF">
        <w:rPr>
          <w:rFonts w:ascii="Times New Roman" w:eastAsia="Times New Roman" w:hAnsi="Times New Roman" w:cs="Times New Roman"/>
          <w:color w:val="000000"/>
          <w:u w:val="single"/>
          <w:lang w:eastAsia="bg-BG"/>
        </w:rPr>
        <w:t>:</w:t>
      </w:r>
    </w:p>
    <w:p w14:paraId="2ECBA0CF" w14:textId="047F3EB0" w:rsidR="00C876CF" w:rsidRDefault="00C876CF" w:rsidP="00C8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6CF">
        <w:rPr>
          <w:rFonts w:ascii="Times New Roman" w:hAnsi="Times New Roman" w:cs="Times New Roman"/>
        </w:rPr>
        <w:t xml:space="preserve">С изменение на ПРСР 2014-2020 г., са осигурени допълнителни средства по подхода ВОМР. </w:t>
      </w:r>
      <w:r w:rsidR="00D15479">
        <w:rPr>
          <w:rFonts w:ascii="Times New Roman" w:hAnsi="Times New Roman" w:cs="Times New Roman"/>
        </w:rPr>
        <w:t xml:space="preserve">Средствата </w:t>
      </w:r>
      <w:r w:rsidRPr="00C876CF">
        <w:rPr>
          <w:rFonts w:ascii="Times New Roman" w:hAnsi="Times New Roman" w:cs="Times New Roman"/>
        </w:rPr>
        <w:t>са предназначени за подготовка на СВОМР за следващия програмен период, както и за допълнителни проекти от Стратеги</w:t>
      </w:r>
      <w:r w:rsidR="00D15479">
        <w:rPr>
          <w:rFonts w:ascii="Times New Roman" w:hAnsi="Times New Roman" w:cs="Times New Roman"/>
        </w:rPr>
        <w:t>ите по мерките от ЕЗФРСР. За вся</w:t>
      </w:r>
      <w:r w:rsidRPr="00C876CF">
        <w:rPr>
          <w:rFonts w:ascii="Times New Roman" w:hAnsi="Times New Roman" w:cs="Times New Roman"/>
        </w:rPr>
        <w:t>к</w:t>
      </w:r>
      <w:r w:rsidR="00D15479">
        <w:rPr>
          <w:rFonts w:ascii="Times New Roman" w:hAnsi="Times New Roman" w:cs="Times New Roman"/>
        </w:rPr>
        <w:t>а</w:t>
      </w:r>
      <w:r w:rsidRPr="00C876CF">
        <w:rPr>
          <w:rFonts w:ascii="Times New Roman" w:hAnsi="Times New Roman" w:cs="Times New Roman"/>
        </w:rPr>
        <w:t xml:space="preserve"> МИГ, сумата за която може да </w:t>
      </w:r>
      <w:r w:rsidR="00D15479">
        <w:rPr>
          <w:rFonts w:ascii="Times New Roman" w:hAnsi="Times New Roman" w:cs="Times New Roman"/>
        </w:rPr>
        <w:t xml:space="preserve">се </w:t>
      </w:r>
      <w:r w:rsidRPr="00C876CF">
        <w:rPr>
          <w:rFonts w:ascii="Times New Roman" w:hAnsi="Times New Roman" w:cs="Times New Roman"/>
        </w:rPr>
        <w:t>кандидатства е до 799 х.лв. за проекти към Стр</w:t>
      </w:r>
      <w:r w:rsidR="004B64C4">
        <w:rPr>
          <w:rFonts w:ascii="Times New Roman" w:hAnsi="Times New Roman" w:cs="Times New Roman"/>
        </w:rPr>
        <w:t>атегията /</w:t>
      </w:r>
      <w:proofErr w:type="spellStart"/>
      <w:r w:rsidR="004B64C4">
        <w:rPr>
          <w:rFonts w:ascii="Times New Roman" w:hAnsi="Times New Roman" w:cs="Times New Roman"/>
        </w:rPr>
        <w:t>подмярка</w:t>
      </w:r>
      <w:proofErr w:type="spellEnd"/>
      <w:r w:rsidR="004B64C4">
        <w:rPr>
          <w:rFonts w:ascii="Times New Roman" w:hAnsi="Times New Roman" w:cs="Times New Roman"/>
        </w:rPr>
        <w:t xml:space="preserve"> 19.2/ и до 11</w:t>
      </w:r>
      <w:bookmarkStart w:id="0" w:name="_GoBack"/>
      <w:bookmarkEnd w:id="0"/>
      <w:r w:rsidRPr="00C876CF">
        <w:rPr>
          <w:rFonts w:ascii="Times New Roman" w:hAnsi="Times New Roman" w:cs="Times New Roman"/>
        </w:rPr>
        <w:t xml:space="preserve">4 х.лв. по </w:t>
      </w:r>
      <w:proofErr w:type="spellStart"/>
      <w:r w:rsidRPr="00C876CF">
        <w:rPr>
          <w:rFonts w:ascii="Times New Roman" w:hAnsi="Times New Roman" w:cs="Times New Roman"/>
        </w:rPr>
        <w:t>подмярка</w:t>
      </w:r>
      <w:proofErr w:type="spellEnd"/>
      <w:r w:rsidRPr="00C876CF">
        <w:rPr>
          <w:rFonts w:ascii="Times New Roman" w:hAnsi="Times New Roman" w:cs="Times New Roman"/>
        </w:rPr>
        <w:t xml:space="preserve"> 19.4. Допълнителните средства могат да бъдат използвани само за съществуващи в Стратегията мерки от ЕЗФРСР. За целта е необходимо да бъде направена промяна на Стратегията, след провеждане на обществено обсъждане и Решение на Общото събрание на МИГ, касаещи разпределението на средствата по мерки и свързаните с това промени.</w:t>
      </w:r>
    </w:p>
    <w:p w14:paraId="0D48989F" w14:textId="77777777" w:rsidR="00901C5F" w:rsidRDefault="00901C5F" w:rsidP="00901C5F">
      <w:pPr>
        <w:pStyle w:val="a3"/>
        <w:jc w:val="both"/>
        <w:rPr>
          <w:rFonts w:ascii="Times New Roman" w:hAnsi="Times New Roman" w:cs="Times New Roman"/>
        </w:rPr>
      </w:pPr>
    </w:p>
    <w:p w14:paraId="275A3274" w14:textId="1FA50CD4" w:rsidR="00901C5F" w:rsidRPr="00C876CF" w:rsidRDefault="00901C5F" w:rsidP="00901C5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Предложените </w:t>
      </w:r>
      <w:r w:rsidR="001A3A08">
        <w:rPr>
          <w:rFonts w:ascii="Times New Roman" w:hAnsi="Times New Roman" w:cs="Times New Roman"/>
        </w:rPr>
        <w:t xml:space="preserve">от МИГ Свиленград ареал </w:t>
      </w:r>
      <w:r>
        <w:rPr>
          <w:rFonts w:ascii="Times New Roman" w:hAnsi="Times New Roman" w:cs="Times New Roman"/>
        </w:rPr>
        <w:t>промени предвиждат осигуряване на финансиране на резервни проекти по мярка 6.4 на стойност 159 086,17лв</w:t>
      </w:r>
      <w:r w:rsidR="001A3A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проектни предложения</w:t>
      </w:r>
      <w:r w:rsidR="00FB1494">
        <w:rPr>
          <w:rFonts w:ascii="Times New Roman" w:hAnsi="Times New Roman" w:cs="Times New Roman"/>
        </w:rPr>
        <w:t xml:space="preserve"> в процес на оценка</w:t>
      </w:r>
      <w:r>
        <w:rPr>
          <w:rFonts w:ascii="Times New Roman" w:hAnsi="Times New Roman" w:cs="Times New Roman"/>
        </w:rPr>
        <w:t xml:space="preserve"> по мярка 4.1 от втори прием на стойност 166 291,68лв. От допълнителните средства осигурени от ПРСР - 799 000лв. остава наличен ресурс в размер на 473 622,15 лв., за който могат да бъдат направени предложения за проекти на електронната поща на МИГ или на място при провеждането на публичното обсъждане</w:t>
      </w:r>
      <w:r w:rsidR="002F565F" w:rsidRPr="002F565F">
        <w:t xml:space="preserve"> </w:t>
      </w:r>
      <w:r w:rsidR="002F565F">
        <w:t>н</w:t>
      </w:r>
      <w:r w:rsidR="002F565F" w:rsidRPr="002F565F">
        <w:rPr>
          <w:rFonts w:ascii="Times New Roman" w:hAnsi="Times New Roman" w:cs="Times New Roman"/>
        </w:rPr>
        <w:t>а 13.05.2021 г. от 13.30 ч. в голямата заседателна зала на общинска администрация Свиленград</w:t>
      </w:r>
      <w:r>
        <w:rPr>
          <w:rFonts w:ascii="Times New Roman" w:hAnsi="Times New Roman" w:cs="Times New Roman"/>
        </w:rPr>
        <w:t xml:space="preserve">.  </w:t>
      </w:r>
    </w:p>
    <w:p w14:paraId="72AC5659" w14:textId="5D17D3E1" w:rsidR="00C876CF" w:rsidRDefault="00C876CF" w:rsidP="00C876CF">
      <w:pPr>
        <w:jc w:val="both"/>
        <w:rPr>
          <w:rFonts w:ascii="Times New Roman" w:hAnsi="Times New Roman" w:cs="Times New Roman"/>
          <w:u w:val="single"/>
        </w:rPr>
      </w:pPr>
      <w:r w:rsidRPr="00C876CF">
        <w:rPr>
          <w:rFonts w:ascii="Times New Roman" w:hAnsi="Times New Roman" w:cs="Times New Roman"/>
          <w:u w:val="single"/>
        </w:rPr>
        <w:t>Проект на промени:</w:t>
      </w:r>
    </w:p>
    <w:tbl>
      <w:tblPr>
        <w:tblW w:w="5806" w:type="pct"/>
        <w:tblInd w:w="-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4697"/>
        <w:gridCol w:w="1758"/>
        <w:gridCol w:w="826"/>
        <w:gridCol w:w="1375"/>
        <w:gridCol w:w="25"/>
        <w:gridCol w:w="6"/>
        <w:gridCol w:w="905"/>
      </w:tblGrid>
      <w:tr w:rsidR="007705C9" w:rsidRPr="00941724" w14:paraId="06A588DC" w14:textId="77777777" w:rsidTr="003C3227">
        <w:trPr>
          <w:trHeight w:val="475"/>
        </w:trPr>
        <w:tc>
          <w:tcPr>
            <w:tcW w:w="483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7611C4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Код на мярката</w:t>
            </w:r>
          </w:p>
        </w:tc>
        <w:tc>
          <w:tcPr>
            <w:tcW w:w="2221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9456E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Име на мярката</w:t>
            </w:r>
          </w:p>
        </w:tc>
        <w:tc>
          <w:tcPr>
            <w:tcW w:w="123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D6DFCB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Общо за периода на стратегията</w:t>
            </w:r>
          </w:p>
        </w:tc>
        <w:tc>
          <w:tcPr>
            <w:tcW w:w="1061" w:type="pct"/>
            <w:gridSpan w:val="4"/>
          </w:tcPr>
          <w:p w14:paraId="3C543C9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Искана промяна</w:t>
            </w:r>
          </w:p>
        </w:tc>
      </w:tr>
      <w:tr w:rsidR="007705C9" w:rsidRPr="00941724" w14:paraId="28615B1C" w14:textId="77777777" w:rsidTr="003C3227">
        <w:trPr>
          <w:trHeight w:val="145"/>
        </w:trPr>
        <w:tc>
          <w:tcPr>
            <w:tcW w:w="483" w:type="pct"/>
            <w:vMerge/>
            <w:vAlign w:val="center"/>
            <w:hideMark/>
          </w:tcPr>
          <w:p w14:paraId="17801A25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21" w:type="pct"/>
            <w:vMerge/>
            <w:vAlign w:val="center"/>
            <w:hideMark/>
          </w:tcPr>
          <w:p w14:paraId="2877B617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91501F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лева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BB7ED7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14:paraId="5BFDE62E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лева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</w:tcBorders>
            <w:vAlign w:val="center"/>
          </w:tcPr>
          <w:p w14:paraId="36745804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%</w:t>
            </w:r>
          </w:p>
        </w:tc>
      </w:tr>
      <w:tr w:rsidR="007705C9" w:rsidRPr="00941724" w14:paraId="5987A243" w14:textId="77777777" w:rsidTr="003C3227">
        <w:trPr>
          <w:trHeight w:val="60"/>
        </w:trPr>
        <w:tc>
          <w:tcPr>
            <w:tcW w:w="27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F109D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МЕРКИ, ФИНАНСИРАНИ ОТ ПРОГРАМА ЗА РАЗВИТИЕ НА СЕЛСКИТЕ РАЙОНИ 2014 – 2020 Г. (ЕЗФРСР)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13D160" w14:textId="77777777" w:rsidR="00D15479" w:rsidRDefault="00D15479" w:rsidP="003C32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544044" w14:textId="77777777" w:rsidR="00D15479" w:rsidRPr="00941724" w:rsidRDefault="00D15479" w:rsidP="003C32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2 933 700,00</w:t>
            </w:r>
          </w:p>
          <w:p w14:paraId="49325C3A" w14:textId="77777777" w:rsidR="00D15479" w:rsidRPr="00941724" w:rsidRDefault="00D15479" w:rsidP="003C32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08E9A6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24,73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14:paraId="6CF85134" w14:textId="3D4E0447" w:rsidR="00D15479" w:rsidRPr="00941724" w:rsidRDefault="00A54BFE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10F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3 259 077,85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</w:tcBorders>
          </w:tcPr>
          <w:p w14:paraId="0D50382C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7705C9" w:rsidRPr="00941724" w14:paraId="61E3DC4C" w14:textId="77777777" w:rsidTr="003C3227">
        <w:trPr>
          <w:trHeight w:val="60"/>
        </w:trPr>
        <w:tc>
          <w:tcPr>
            <w:tcW w:w="27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8B99C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4 „ИНВЕСТИЦИИ В МАТЕРИАЛНИ АКТИВИ“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56446" w14:textId="20F1E90C" w:rsidR="00D15479" w:rsidRPr="00941724" w:rsidRDefault="007705C9" w:rsidP="00770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460,73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499A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7,16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14:paraId="1A87C622" w14:textId="1E2517CA" w:rsidR="00D15479" w:rsidRPr="007705C9" w:rsidRDefault="007705C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705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762 752,41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</w:tcBorders>
            <w:vAlign w:val="center"/>
          </w:tcPr>
          <w:p w14:paraId="65C8C2BE" w14:textId="502FC035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7705C9" w:rsidRPr="00941724" w14:paraId="6E962C0F" w14:textId="77777777" w:rsidTr="003C3227">
        <w:trPr>
          <w:trHeight w:val="60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73150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BC4DF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24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 в земеделски стопанства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C6DC4" w14:textId="0AF301B2" w:rsidR="00D15479" w:rsidRPr="00941724" w:rsidRDefault="007705C9" w:rsidP="003C3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474 317,23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BA802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4,63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14:paraId="53792A38" w14:textId="5EE325C0" w:rsidR="00D15479" w:rsidRPr="00941724" w:rsidRDefault="007705C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705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640 608,91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</w:tcBorders>
            <w:vAlign w:val="center"/>
          </w:tcPr>
          <w:p w14:paraId="6A5589D9" w14:textId="52EDA34B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05C9" w:rsidRPr="00941724" w14:paraId="0AEB5BB8" w14:textId="77777777" w:rsidTr="003C3227">
        <w:trPr>
          <w:trHeight w:val="60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540AD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EDED3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Инвестиции в преработка/маркетинг на селскостопански продукти 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72469" w14:textId="47F273A8" w:rsidR="00D15479" w:rsidRPr="00941724" w:rsidRDefault="00710F3C" w:rsidP="003C3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122 143,50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CAF3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2,53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14:paraId="1ECB312B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122 143,50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</w:tcBorders>
            <w:vAlign w:val="center"/>
          </w:tcPr>
          <w:p w14:paraId="742A0414" w14:textId="019E5F9F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05C9" w:rsidRPr="00941724" w14:paraId="0E866041" w14:textId="77777777" w:rsidTr="003C3227">
        <w:trPr>
          <w:trHeight w:val="60"/>
        </w:trPr>
        <w:tc>
          <w:tcPr>
            <w:tcW w:w="27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A5D6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6 „</w:t>
            </w: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РАЗВИТИЕ НА СТОПАНСТВА И ПРЕДПРИЯТИЯ“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E6E7F" w14:textId="04B81347" w:rsidR="00D15479" w:rsidRPr="007705C9" w:rsidRDefault="007705C9" w:rsidP="003C32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1 303 539,27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1C074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8,86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14:paraId="0270E31C" w14:textId="286F08B5" w:rsidR="00D15479" w:rsidRPr="003462DC" w:rsidRDefault="00D15479" w:rsidP="007705C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7705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bg-BG"/>
              </w:rPr>
              <w:t>1</w:t>
            </w:r>
            <w:r w:rsidR="007705C9" w:rsidRPr="007705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bg-BG"/>
              </w:rPr>
              <w:t> </w:t>
            </w:r>
            <w:r w:rsidR="007705C9" w:rsidRPr="007705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462 625,44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</w:tcBorders>
            <w:vAlign w:val="center"/>
          </w:tcPr>
          <w:p w14:paraId="3FC548CB" w14:textId="33C7156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705C9" w:rsidRPr="00941724" w14:paraId="40C787B0" w14:textId="77777777" w:rsidTr="003C3227">
        <w:trPr>
          <w:trHeight w:val="60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75330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6.4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F2D6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Инвестиционна подкрепа за неземеделски дейности 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6DC7DE" w14:textId="31D2CF88" w:rsidR="00D15479" w:rsidRPr="00941724" w:rsidRDefault="007705C9" w:rsidP="003C3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1 303 539,27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98EB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8,86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14:paraId="7506FC7E" w14:textId="77777777" w:rsidR="00A54BFE" w:rsidRDefault="00A54BFE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14:paraId="05DB7134" w14:textId="39B1047B" w:rsidR="007705C9" w:rsidRPr="007705C9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77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1</w:t>
            </w:r>
            <w:r w:rsidR="007705C9" w:rsidRPr="0077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462 625,44</w:t>
            </w:r>
          </w:p>
          <w:p w14:paraId="360551CF" w14:textId="7230BB90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9" w:type="pct"/>
            <w:gridSpan w:val="3"/>
            <w:tcBorders>
              <w:left w:val="single" w:sz="4" w:space="0" w:color="auto"/>
            </w:tcBorders>
            <w:vAlign w:val="center"/>
          </w:tcPr>
          <w:p w14:paraId="05203CC2" w14:textId="778CE490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05C9" w:rsidRPr="00941724" w14:paraId="0B9573A8" w14:textId="77777777" w:rsidTr="003C3227">
        <w:trPr>
          <w:trHeight w:val="60"/>
        </w:trPr>
        <w:tc>
          <w:tcPr>
            <w:tcW w:w="27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D4108" w14:textId="4E927E41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7 „</w:t>
            </w: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ОСНОВНИ УСЛУГИ И ОБНОВЯВАНЕ НА СЕЛАТА В СЕЛСКИТЕ РАЙОНИ“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A49E6F" w14:textId="77777777" w:rsidR="00D15479" w:rsidRPr="00941724" w:rsidRDefault="00D15479" w:rsidP="003C32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00,00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EC995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7,87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2BE53EDD" w14:textId="77777777" w:rsidR="002F565F" w:rsidRDefault="002F565F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686159" w14:textId="0EEDC83E" w:rsidR="00D15479" w:rsidRPr="00941724" w:rsidRDefault="002F565F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00,00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</w:tcBorders>
          </w:tcPr>
          <w:p w14:paraId="4E6B75DD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7705C9" w:rsidRPr="00941724" w14:paraId="361BADA5" w14:textId="77777777" w:rsidTr="003C3227">
        <w:trPr>
          <w:trHeight w:val="60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2BBBC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7.2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914FB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Инвестиции в създаването, подобряването или разширяването на всички видове малка по мащаби инфраструктура 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6BA6C" w14:textId="77777777" w:rsidR="00D15479" w:rsidRPr="00941724" w:rsidRDefault="00D15479" w:rsidP="003C3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1724">
              <w:rPr>
                <w:rFonts w:ascii="Times New Roman" w:eastAsia="Calibri" w:hAnsi="Times New Roman" w:cs="Times New Roman"/>
                <w:sz w:val="24"/>
                <w:szCs w:val="24"/>
              </w:rPr>
              <w:t>510 000,00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AA7E4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4,30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14A97F2D" w14:textId="77777777" w:rsidR="002F565F" w:rsidRDefault="002F565F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478376" w14:textId="789D8A6F" w:rsidR="00D15479" w:rsidRPr="00941724" w:rsidRDefault="002F565F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  <w:sz w:val="24"/>
                <w:szCs w:val="24"/>
              </w:rPr>
              <w:t>510 000,00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</w:tcBorders>
          </w:tcPr>
          <w:p w14:paraId="148B111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05C9" w:rsidRPr="00941724" w14:paraId="1E7462AF" w14:textId="77777777" w:rsidTr="002F565F">
        <w:trPr>
          <w:trHeight w:val="60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16A4E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7.5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2A99" w14:textId="77777777" w:rsidR="00D15479" w:rsidRPr="00941724" w:rsidRDefault="00D15479" w:rsidP="003C3227">
            <w:pPr>
              <w:tabs>
                <w:tab w:val="left" w:pos="130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Инвестиции свързани с изграждане, реконструкция, ремонт, закупуване на оборудване и/или обзавеждане на </w:t>
            </w:r>
            <w:proofErr w:type="spellStart"/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посетителски</w:t>
            </w:r>
            <w:proofErr w:type="spellEnd"/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6F784" w14:textId="77777777" w:rsidR="00D15479" w:rsidRPr="00941724" w:rsidRDefault="00D15479" w:rsidP="003C3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24">
              <w:rPr>
                <w:rFonts w:ascii="Times New Roman" w:eastAsia="Calibri" w:hAnsi="Times New Roman" w:cs="Times New Roman"/>
                <w:sz w:val="24"/>
                <w:szCs w:val="24"/>
              </w:rPr>
              <w:t>423 700,00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244D0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3,57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14:paraId="2B66D2CE" w14:textId="6C91AEA1" w:rsidR="00D15479" w:rsidRPr="00941724" w:rsidRDefault="002F565F" w:rsidP="002F565F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  <w:sz w:val="24"/>
                <w:szCs w:val="24"/>
              </w:rPr>
              <w:t>423 700,00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</w:tcBorders>
            <w:vAlign w:val="center"/>
          </w:tcPr>
          <w:p w14:paraId="22B1EA40" w14:textId="77777777" w:rsidR="00D15479" w:rsidRPr="00941724" w:rsidRDefault="00D15479" w:rsidP="002F565F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05C9" w:rsidRPr="00941724" w14:paraId="5A5A77DF" w14:textId="77777777" w:rsidTr="002F565F">
        <w:trPr>
          <w:trHeight w:val="60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FA875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74EE1" w14:textId="77777777" w:rsidR="00D15479" w:rsidRPr="00941724" w:rsidRDefault="00D15479" w:rsidP="003C3227">
            <w:pPr>
              <w:tabs>
                <w:tab w:val="left" w:pos="130"/>
              </w:tabs>
              <w:spacing w:after="0"/>
              <w:ind w:left="130"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Мерки, които не са част от ПРСР 2014 – 2020 г., но са включени в Регламент (EC) № 1305/2013 (финансирани от ЕЗФРСР)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09D6CC" w14:textId="77777777" w:rsidR="00D15479" w:rsidRPr="00941724" w:rsidRDefault="00D15479" w:rsidP="003C3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820768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14:paraId="1162FC92" w14:textId="77777777" w:rsidR="00D15479" w:rsidRPr="00941724" w:rsidRDefault="00D15479" w:rsidP="002F565F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9" w:type="pct"/>
            <w:gridSpan w:val="3"/>
            <w:tcBorders>
              <w:left w:val="single" w:sz="4" w:space="0" w:color="auto"/>
            </w:tcBorders>
            <w:vAlign w:val="center"/>
          </w:tcPr>
          <w:p w14:paraId="1D803413" w14:textId="77777777" w:rsidR="00D15479" w:rsidRPr="00941724" w:rsidRDefault="00D15479" w:rsidP="002F565F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05C9" w:rsidRPr="00941724" w14:paraId="37A8E0AD" w14:textId="77777777" w:rsidTr="002F565F">
        <w:trPr>
          <w:trHeight w:val="918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B57DF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EC31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left="130" w:right="1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7F89C6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0 000,00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535C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0,84</w:t>
            </w:r>
          </w:p>
        </w:tc>
        <w:tc>
          <w:tcPr>
            <w:tcW w:w="618" w:type="pct"/>
            <w:gridSpan w:val="3"/>
            <w:tcBorders>
              <w:right w:val="single" w:sz="4" w:space="0" w:color="auto"/>
            </w:tcBorders>
            <w:vAlign w:val="center"/>
          </w:tcPr>
          <w:p w14:paraId="387D5D73" w14:textId="0A845676" w:rsidR="00D15479" w:rsidRPr="00941724" w:rsidRDefault="002F565F" w:rsidP="002F565F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0 000,00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3C76E12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705C9" w:rsidRPr="00941724" w14:paraId="03E69AEC" w14:textId="77777777" w:rsidTr="002F565F">
        <w:trPr>
          <w:trHeight w:val="60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C00D36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7.11.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C7AB95" w14:textId="77777777" w:rsidR="00D15479" w:rsidRPr="007D50A7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Съхраняване, развитие и валоризиране на специфичните местни идентичности и местната култура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спорт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0E3A3D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0 000,00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CF81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0,84</w:t>
            </w:r>
          </w:p>
        </w:tc>
        <w:tc>
          <w:tcPr>
            <w:tcW w:w="618" w:type="pct"/>
            <w:gridSpan w:val="3"/>
            <w:tcBorders>
              <w:right w:val="single" w:sz="4" w:space="0" w:color="auto"/>
            </w:tcBorders>
            <w:vAlign w:val="center"/>
          </w:tcPr>
          <w:p w14:paraId="1126AAEE" w14:textId="2BC94B3E" w:rsidR="00D15479" w:rsidRPr="00941724" w:rsidRDefault="002F565F" w:rsidP="002F565F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0 000,00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137829C1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05C9" w:rsidRPr="00941724" w14:paraId="55AB5905" w14:textId="77777777" w:rsidTr="002F565F">
        <w:trPr>
          <w:trHeight w:val="60"/>
        </w:trPr>
        <w:tc>
          <w:tcPr>
            <w:tcW w:w="27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1FFFD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МЕРКИ, ФИНАНСИРАНИ ОТ ОПЕРАТИВНА ПРОГРАМА НАУКА И ОБРАЗОВАНИЕ ЗА ИНТЕЛИГЕНТЕН РАСТЕЖ (ЕСФ)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665D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704 098,80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E26F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5,93</w:t>
            </w:r>
          </w:p>
        </w:tc>
        <w:tc>
          <w:tcPr>
            <w:tcW w:w="618" w:type="pct"/>
            <w:gridSpan w:val="3"/>
            <w:tcBorders>
              <w:right w:val="single" w:sz="4" w:space="0" w:color="auto"/>
            </w:tcBorders>
            <w:vAlign w:val="center"/>
          </w:tcPr>
          <w:p w14:paraId="4C7A02EF" w14:textId="42EE8970" w:rsidR="00D15479" w:rsidRPr="00941724" w:rsidRDefault="002F565F" w:rsidP="002F565F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704 098,80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7FCF7AE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705C9" w:rsidRPr="00941724" w14:paraId="205DDD73" w14:textId="77777777" w:rsidTr="003C3227">
        <w:trPr>
          <w:trHeight w:val="60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2F1F4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8EF04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Социално-икономическа интеграция на </w:t>
            </w:r>
            <w:proofErr w:type="spellStart"/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маргинализирани</w:t>
            </w:r>
            <w:proofErr w:type="spellEnd"/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общности като ромите. 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629F8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0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98,8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4EDCE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5,93</w:t>
            </w:r>
          </w:p>
        </w:tc>
        <w:tc>
          <w:tcPr>
            <w:tcW w:w="618" w:type="pct"/>
            <w:gridSpan w:val="3"/>
            <w:tcBorders>
              <w:right w:val="single" w:sz="4" w:space="0" w:color="auto"/>
            </w:tcBorders>
          </w:tcPr>
          <w:p w14:paraId="76781BFD" w14:textId="77777777" w:rsidR="002F565F" w:rsidRDefault="002F565F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EE3C217" w14:textId="5FC80203" w:rsidR="00D15479" w:rsidRPr="00941724" w:rsidRDefault="002F565F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0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98,8</w:t>
            </w: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4299C66B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05C9" w:rsidRPr="00941724" w14:paraId="44582E91" w14:textId="77777777" w:rsidTr="002F565F">
        <w:trPr>
          <w:trHeight w:val="60"/>
        </w:trPr>
        <w:tc>
          <w:tcPr>
            <w:tcW w:w="27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551CE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МЕРКИ, ФИНАНСИРАНИ ОТ ОПЕРАТИВНА ПРОГРАМА ОКОЛНА СРЕДА (ЕФРР)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01B30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4 785 157.54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FC1A1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40,33</w:t>
            </w:r>
          </w:p>
        </w:tc>
        <w:tc>
          <w:tcPr>
            <w:tcW w:w="618" w:type="pct"/>
            <w:gridSpan w:val="3"/>
            <w:tcBorders>
              <w:right w:val="single" w:sz="4" w:space="0" w:color="auto"/>
            </w:tcBorders>
            <w:vAlign w:val="center"/>
          </w:tcPr>
          <w:p w14:paraId="3473F204" w14:textId="67DF1C68" w:rsidR="00D15479" w:rsidRPr="00941724" w:rsidRDefault="002F565F" w:rsidP="002F565F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4 785 157.54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5F185A97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705C9" w:rsidRPr="00941724" w14:paraId="5A7EA915" w14:textId="77777777" w:rsidTr="002F565F">
        <w:trPr>
          <w:trHeight w:val="60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FF571B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D65E6" w14:textId="77777777" w:rsidR="00D15479" w:rsidRPr="007D50A7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„Подобряване на природозащитното състояние на видове и местообитания от мрежата Натура 2000 чрез подхода ВОМР“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B0026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4 785 157.54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1723F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40,33</w:t>
            </w:r>
          </w:p>
        </w:tc>
        <w:tc>
          <w:tcPr>
            <w:tcW w:w="618" w:type="pct"/>
            <w:gridSpan w:val="3"/>
            <w:tcBorders>
              <w:right w:val="single" w:sz="4" w:space="0" w:color="auto"/>
            </w:tcBorders>
            <w:vAlign w:val="center"/>
          </w:tcPr>
          <w:p w14:paraId="08C89675" w14:textId="2DD37999" w:rsidR="00D15479" w:rsidRPr="00941724" w:rsidRDefault="002F565F" w:rsidP="002F565F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4 785 157.54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1240C97E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05C9" w:rsidRPr="00941724" w14:paraId="115D8B03" w14:textId="77777777" w:rsidTr="00C369D0">
        <w:trPr>
          <w:trHeight w:val="60"/>
        </w:trPr>
        <w:tc>
          <w:tcPr>
            <w:tcW w:w="27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298151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 МЕРКИ, ФИНАНСИРАНИ ОТ ОПЕРАТИВНА ПРОГРАМА РАЗВИТИЕ НА ЧОВЕШКИТЕ РЕСУРСИ (ЕСФ)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2CF7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1 486 408,00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E4700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12,53</w:t>
            </w:r>
          </w:p>
        </w:tc>
        <w:tc>
          <w:tcPr>
            <w:tcW w:w="618" w:type="pct"/>
            <w:gridSpan w:val="3"/>
            <w:tcBorders>
              <w:right w:val="single" w:sz="4" w:space="0" w:color="auto"/>
            </w:tcBorders>
            <w:vAlign w:val="center"/>
          </w:tcPr>
          <w:p w14:paraId="7A269028" w14:textId="35B2AC2D" w:rsidR="00D15479" w:rsidRPr="00941724" w:rsidRDefault="002F565F" w:rsidP="00C369D0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1 486 408,00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3475417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705C9" w:rsidRPr="00941724" w14:paraId="6531779E" w14:textId="77777777" w:rsidTr="00C369D0">
        <w:trPr>
          <w:trHeight w:val="596"/>
        </w:trPr>
        <w:tc>
          <w:tcPr>
            <w:tcW w:w="27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AB394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ПРИОРИТЕТНА ОС № 1 „ПОДОБРЯВАНЕ ДОСТЪПА ДО ЗАЕТОСТ И КАЧЕСТВОТО НА РАБОТНИТЕ МЕСТА”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8052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840 994,00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AF246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7,09</w:t>
            </w:r>
          </w:p>
        </w:tc>
        <w:tc>
          <w:tcPr>
            <w:tcW w:w="618" w:type="pct"/>
            <w:gridSpan w:val="3"/>
            <w:tcBorders>
              <w:right w:val="single" w:sz="4" w:space="0" w:color="auto"/>
            </w:tcBorders>
            <w:vAlign w:val="center"/>
          </w:tcPr>
          <w:p w14:paraId="521D5559" w14:textId="7A19A107" w:rsidR="00D15479" w:rsidRPr="00941724" w:rsidRDefault="002F565F" w:rsidP="00C369D0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840 994,00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4A602327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705C9" w:rsidRPr="00941724" w14:paraId="66590072" w14:textId="77777777" w:rsidTr="00C369D0">
        <w:trPr>
          <w:trHeight w:val="596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6CA2E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72220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</w:rPr>
              <w:t>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4F02F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645 414,00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EE448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5,44</w:t>
            </w:r>
          </w:p>
        </w:tc>
        <w:tc>
          <w:tcPr>
            <w:tcW w:w="618" w:type="pct"/>
            <w:gridSpan w:val="3"/>
            <w:tcBorders>
              <w:right w:val="single" w:sz="4" w:space="0" w:color="auto"/>
            </w:tcBorders>
            <w:vAlign w:val="center"/>
          </w:tcPr>
          <w:p w14:paraId="5C789A9C" w14:textId="2EB34DE0" w:rsidR="00D15479" w:rsidRPr="00941724" w:rsidRDefault="002F565F" w:rsidP="00C369D0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645 414,00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19D047A3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05C9" w:rsidRPr="00941724" w14:paraId="299BAA20" w14:textId="77777777" w:rsidTr="00C369D0">
        <w:trPr>
          <w:trHeight w:val="596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2F325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1.2.3.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6DB8F" w14:textId="77777777" w:rsidR="00D15479" w:rsidRPr="007D50A7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Calibri" w:hAnsi="Times New Roman" w:cs="Times New Roman"/>
              </w:rPr>
            </w:pPr>
            <w:r w:rsidRPr="00941724">
              <w:rPr>
                <w:rFonts w:ascii="Times New Roman" w:eastAsia="Calibri" w:hAnsi="Times New Roman" w:cs="Times New Roman"/>
              </w:rPr>
              <w:t xml:space="preserve">„Устойчиво интегриране на пазара на труда на младите хора, в частност тези, които не са ангажирани с трудова дейност, </w:t>
            </w:r>
          </w:p>
          <w:p w14:paraId="6E81E65F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Calibri" w:hAnsi="Times New Roman" w:cs="Times New Roman"/>
              </w:rPr>
            </w:pPr>
            <w:r w:rsidRPr="00941724">
              <w:rPr>
                <w:rFonts w:ascii="Times New Roman" w:eastAsia="Calibri" w:hAnsi="Times New Roman" w:cs="Times New Roman"/>
              </w:rPr>
              <w:t>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FBA3C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195 580,00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83CAE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1,65</w:t>
            </w:r>
          </w:p>
        </w:tc>
        <w:tc>
          <w:tcPr>
            <w:tcW w:w="618" w:type="pct"/>
            <w:gridSpan w:val="3"/>
            <w:tcBorders>
              <w:right w:val="single" w:sz="4" w:space="0" w:color="auto"/>
            </w:tcBorders>
            <w:vAlign w:val="center"/>
          </w:tcPr>
          <w:p w14:paraId="0B4CB17C" w14:textId="58B32FA8" w:rsidR="00D15479" w:rsidRPr="00941724" w:rsidRDefault="002F565F" w:rsidP="00C369D0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195 580,00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1841A676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05C9" w:rsidRPr="00941724" w14:paraId="7F92DDE8" w14:textId="77777777" w:rsidTr="00C369D0">
        <w:trPr>
          <w:trHeight w:val="596"/>
        </w:trPr>
        <w:tc>
          <w:tcPr>
            <w:tcW w:w="27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A5C60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ПРИОРИТЕТНА ОС № 2 „НАМАЛЯВАНЕ НА БЕДНОСТТА И НАСЪРЧАВАНЕ НА СОЦИАЛНОТО ВКЛЮЧВАНЕ”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6A50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645 414,00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66C7E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5,44</w:t>
            </w:r>
          </w:p>
        </w:tc>
        <w:tc>
          <w:tcPr>
            <w:tcW w:w="618" w:type="pct"/>
            <w:gridSpan w:val="3"/>
            <w:tcBorders>
              <w:right w:val="single" w:sz="4" w:space="0" w:color="auto"/>
            </w:tcBorders>
            <w:vAlign w:val="center"/>
          </w:tcPr>
          <w:p w14:paraId="0D3CDAFE" w14:textId="24497C87" w:rsidR="00D15479" w:rsidRPr="00941724" w:rsidRDefault="002F565F" w:rsidP="00C369D0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645 414,00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72AA051B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7705C9" w:rsidRPr="00941724" w14:paraId="562DC3AE" w14:textId="77777777" w:rsidTr="00C369D0">
        <w:trPr>
          <w:trHeight w:val="596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80C4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C21DE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right="186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</w:rPr>
              <w:t xml:space="preserve">„Социално-икономическа интеграция на </w:t>
            </w:r>
            <w:proofErr w:type="spellStart"/>
            <w:r w:rsidRPr="00941724">
              <w:rPr>
                <w:rFonts w:ascii="Times New Roman" w:eastAsia="Calibri" w:hAnsi="Times New Roman" w:cs="Times New Roman"/>
              </w:rPr>
              <w:t>маргинализирани</w:t>
            </w:r>
            <w:proofErr w:type="spellEnd"/>
            <w:r w:rsidRPr="00941724">
              <w:rPr>
                <w:rFonts w:ascii="Times New Roman" w:eastAsia="Calibri" w:hAnsi="Times New Roman" w:cs="Times New Roman"/>
              </w:rPr>
              <w:t xml:space="preserve"> общности като ромите”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BF0D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645 414,00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C5AC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5,44</w:t>
            </w:r>
          </w:p>
        </w:tc>
        <w:tc>
          <w:tcPr>
            <w:tcW w:w="614" w:type="pct"/>
            <w:gridSpan w:val="2"/>
            <w:tcBorders>
              <w:right w:val="single" w:sz="4" w:space="0" w:color="auto"/>
            </w:tcBorders>
            <w:vAlign w:val="center"/>
          </w:tcPr>
          <w:p w14:paraId="3C630F4E" w14:textId="7FEAB983" w:rsidR="00D15479" w:rsidRPr="00941724" w:rsidRDefault="002F565F" w:rsidP="00C369D0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645 414,00</w:t>
            </w:r>
          </w:p>
        </w:tc>
        <w:tc>
          <w:tcPr>
            <w:tcW w:w="448" w:type="pct"/>
            <w:gridSpan w:val="2"/>
            <w:tcBorders>
              <w:left w:val="single" w:sz="4" w:space="0" w:color="auto"/>
            </w:tcBorders>
          </w:tcPr>
          <w:p w14:paraId="3F4F098A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05C9" w:rsidRPr="00941724" w14:paraId="18264969" w14:textId="77777777" w:rsidTr="00C369D0">
        <w:trPr>
          <w:trHeight w:val="60"/>
        </w:trPr>
        <w:tc>
          <w:tcPr>
            <w:tcW w:w="27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B8CE2B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МЕРКИ, ФИНАНСИРАНИ ОТ ОПЕРАТИВНА ПРОГРАМА ИНОВАЦИИ И КОНКУРЕНТОСПОСОБНОСТ (ЕФРР)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A06F0" w14:textId="77777777" w:rsidR="00D15479" w:rsidRPr="00941724" w:rsidRDefault="00D15479" w:rsidP="003C32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1 955 8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8EB52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16,48</w:t>
            </w:r>
          </w:p>
        </w:tc>
        <w:tc>
          <w:tcPr>
            <w:tcW w:w="614" w:type="pct"/>
            <w:gridSpan w:val="2"/>
            <w:tcBorders>
              <w:right w:val="single" w:sz="4" w:space="0" w:color="auto"/>
            </w:tcBorders>
            <w:vAlign w:val="center"/>
          </w:tcPr>
          <w:p w14:paraId="26E8833B" w14:textId="3657EA2F" w:rsidR="00D15479" w:rsidRPr="00941724" w:rsidRDefault="002F565F" w:rsidP="00C369D0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1 955 8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417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0.00</w:t>
            </w:r>
          </w:p>
        </w:tc>
        <w:tc>
          <w:tcPr>
            <w:tcW w:w="448" w:type="pct"/>
            <w:gridSpan w:val="2"/>
            <w:tcBorders>
              <w:left w:val="single" w:sz="4" w:space="0" w:color="auto"/>
            </w:tcBorders>
          </w:tcPr>
          <w:p w14:paraId="40FF2B20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7705C9" w:rsidRPr="00941724" w14:paraId="48BF1918" w14:textId="77777777" w:rsidTr="00C369D0">
        <w:trPr>
          <w:trHeight w:val="60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DB125F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2.2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7617" w14:textId="77777777" w:rsidR="00D15479" w:rsidRPr="007D50A7" w:rsidRDefault="00D15479" w:rsidP="003C3227">
            <w:pPr>
              <w:tabs>
                <w:tab w:val="left" w:pos="142"/>
              </w:tabs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Повишаване на производителността на МСП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B374F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1 955 8</w:t>
            </w: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0.00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59B34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16,48</w:t>
            </w:r>
          </w:p>
        </w:tc>
        <w:tc>
          <w:tcPr>
            <w:tcW w:w="614" w:type="pct"/>
            <w:gridSpan w:val="2"/>
            <w:tcBorders>
              <w:right w:val="single" w:sz="4" w:space="0" w:color="auto"/>
            </w:tcBorders>
            <w:vAlign w:val="center"/>
          </w:tcPr>
          <w:p w14:paraId="3D4FFB00" w14:textId="0507843C" w:rsidR="00D15479" w:rsidRPr="00941724" w:rsidRDefault="002F565F" w:rsidP="00C369D0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1 955 8</w:t>
            </w: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0.00</w:t>
            </w:r>
          </w:p>
        </w:tc>
        <w:tc>
          <w:tcPr>
            <w:tcW w:w="448" w:type="pct"/>
            <w:gridSpan w:val="2"/>
            <w:tcBorders>
              <w:left w:val="single" w:sz="4" w:space="0" w:color="auto"/>
            </w:tcBorders>
          </w:tcPr>
          <w:p w14:paraId="405CF210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05C9" w:rsidRPr="00941724" w14:paraId="1570D91A" w14:textId="77777777" w:rsidTr="00C369D0">
        <w:trPr>
          <w:trHeight w:val="60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3279EB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7C222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bg-BG"/>
              </w:rPr>
              <w:t>ОБЩО ЗА ПРОЕКТИ КЪМ СТРАТЕГИЯТА ЗА ВОМР:</w:t>
            </w:r>
          </w:p>
        </w:tc>
        <w:tc>
          <w:tcPr>
            <w:tcW w:w="8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7470C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11 865 164,34</w:t>
            </w:r>
          </w:p>
        </w:tc>
        <w:tc>
          <w:tcPr>
            <w:tcW w:w="39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D947D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614" w:type="pct"/>
            <w:gridSpan w:val="2"/>
            <w:tcBorders>
              <w:right w:val="single" w:sz="4" w:space="0" w:color="auto"/>
            </w:tcBorders>
            <w:vAlign w:val="center"/>
          </w:tcPr>
          <w:p w14:paraId="4F266649" w14:textId="3E6D2806" w:rsidR="00D15479" w:rsidRPr="00941724" w:rsidRDefault="00901C5F" w:rsidP="00C369D0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12 190 542,19</w:t>
            </w:r>
          </w:p>
        </w:tc>
        <w:tc>
          <w:tcPr>
            <w:tcW w:w="448" w:type="pct"/>
            <w:gridSpan w:val="2"/>
            <w:tcBorders>
              <w:left w:val="single" w:sz="4" w:space="0" w:color="auto"/>
            </w:tcBorders>
          </w:tcPr>
          <w:p w14:paraId="0F2EE76C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7705C9" w:rsidRPr="00941724" w14:paraId="15705A60" w14:textId="77777777" w:rsidTr="003C3227">
        <w:trPr>
          <w:trHeight w:val="238"/>
        </w:trPr>
        <w:tc>
          <w:tcPr>
            <w:tcW w:w="3939" w:type="pct"/>
            <w:gridSpan w:val="4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57D22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5DE4E26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C690EF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01C5F" w:rsidRPr="00941724" w14:paraId="1660B90A" w14:textId="77777777" w:rsidTr="003C3227">
        <w:trPr>
          <w:trHeight w:val="143"/>
        </w:trPr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47C85B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DDF65D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bg-BG"/>
              </w:rPr>
              <w:t xml:space="preserve">Текущи разходи и популяризиране на стратегия за водено от общностите местно развитие (25 на сто от общите публични разходи от ЕЗФРСР, включващи разходите по </w:t>
            </w:r>
            <w:proofErr w:type="spellStart"/>
            <w:r w:rsidRPr="009417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bg-BG"/>
              </w:rPr>
              <w:t>подмярка</w:t>
            </w:r>
            <w:proofErr w:type="spellEnd"/>
            <w:r w:rsidRPr="009417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bg-BG"/>
              </w:rPr>
              <w:t xml:space="preserve"> 19.2 и </w:t>
            </w:r>
            <w:proofErr w:type="spellStart"/>
            <w:r w:rsidRPr="009417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bg-BG"/>
              </w:rPr>
              <w:t>подмярка</w:t>
            </w:r>
            <w:proofErr w:type="spellEnd"/>
            <w:r w:rsidRPr="009417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  <w:lang w:eastAsia="bg-BG"/>
              </w:rPr>
              <w:t xml:space="preserve"> 19.4)</w:t>
            </w:r>
          </w:p>
        </w:tc>
        <w:tc>
          <w:tcPr>
            <w:tcW w:w="123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14D89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4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977 900, 000лв.</w:t>
            </w:r>
          </w:p>
          <w:p w14:paraId="2048755C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14" w:type="pct"/>
            <w:gridSpan w:val="2"/>
            <w:tcBorders>
              <w:right w:val="single" w:sz="4" w:space="0" w:color="auto"/>
            </w:tcBorders>
          </w:tcPr>
          <w:p w14:paraId="16CB162D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48" w:type="pct"/>
            <w:gridSpan w:val="2"/>
            <w:tcBorders>
              <w:left w:val="single" w:sz="4" w:space="0" w:color="auto"/>
            </w:tcBorders>
          </w:tcPr>
          <w:p w14:paraId="081E8854" w14:textId="77777777" w:rsidR="00D15479" w:rsidRPr="00941724" w:rsidRDefault="00D15479" w:rsidP="003C3227">
            <w:pPr>
              <w:tabs>
                <w:tab w:val="left" w:pos="142"/>
              </w:tabs>
              <w:spacing w:after="0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57D91B0E" w14:textId="77777777" w:rsidR="00D15479" w:rsidRDefault="00D15479" w:rsidP="00C876CF">
      <w:pPr>
        <w:jc w:val="both"/>
        <w:rPr>
          <w:rFonts w:ascii="Times New Roman" w:hAnsi="Times New Roman" w:cs="Times New Roman"/>
          <w:u w:val="single"/>
        </w:rPr>
      </w:pPr>
    </w:p>
    <w:p w14:paraId="083EA29C" w14:textId="0E658AC6" w:rsidR="00176E4F" w:rsidRDefault="00176E4F" w:rsidP="00176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97A83" w14:textId="7D2DD059" w:rsidR="00F019A5" w:rsidRDefault="00F019A5" w:rsidP="00176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A61"/>
    <w:multiLevelType w:val="hybridMultilevel"/>
    <w:tmpl w:val="B358D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25"/>
    <w:rsid w:val="000C1C83"/>
    <w:rsid w:val="000E68CD"/>
    <w:rsid w:val="00176E4F"/>
    <w:rsid w:val="001A3A08"/>
    <w:rsid w:val="002F565F"/>
    <w:rsid w:val="00432B15"/>
    <w:rsid w:val="004B64C4"/>
    <w:rsid w:val="00551A92"/>
    <w:rsid w:val="00710F3C"/>
    <w:rsid w:val="007705C9"/>
    <w:rsid w:val="00901C5F"/>
    <w:rsid w:val="009F0963"/>
    <w:rsid w:val="00A0150C"/>
    <w:rsid w:val="00A54BFE"/>
    <w:rsid w:val="00B02E7D"/>
    <w:rsid w:val="00C369D0"/>
    <w:rsid w:val="00C876CF"/>
    <w:rsid w:val="00D15479"/>
    <w:rsid w:val="00E858E6"/>
    <w:rsid w:val="00EF603F"/>
    <w:rsid w:val="00F019A5"/>
    <w:rsid w:val="00FB1494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7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E4F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176E4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1,List1,Colorful List - Accent 11,List Paragraph11,List Paragraph111,List Paragraph1111"/>
    <w:basedOn w:val="a"/>
    <w:link w:val="a4"/>
    <w:qFormat/>
    <w:rsid w:val="00C876CF"/>
    <w:pPr>
      <w:ind w:left="720"/>
      <w:contextualSpacing/>
    </w:pPr>
  </w:style>
  <w:style w:type="character" w:customStyle="1" w:styleId="a4">
    <w:name w:val="Списък на абзаци Знак"/>
    <w:aliases w:val="ПАРАГРАФ Знак,List Paragraph1 Знак,List1 Знак,Colorful List - Accent 11 Знак,List Paragraph11 Знак,List Paragraph111 Знак,List Paragraph1111 Знак"/>
    <w:link w:val="a3"/>
    <w:qFormat/>
    <w:rsid w:val="00176E4F"/>
  </w:style>
  <w:style w:type="character" w:customStyle="1" w:styleId="10">
    <w:name w:val="Заглавие 1 Знак"/>
    <w:basedOn w:val="a0"/>
    <w:link w:val="1"/>
    <w:uiPriority w:val="9"/>
    <w:rsid w:val="00176E4F"/>
    <w:rPr>
      <w:rFonts w:ascii="Cambria" w:eastAsia="Times New Roman" w:hAnsi="Cambria" w:cs="Times New Roman"/>
      <w:color w:val="365F91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76E4F"/>
    <w:rPr>
      <w:rFonts w:ascii="Cambria" w:eastAsia="Times New Roman" w:hAnsi="Cambria" w:cs="Times New Roman"/>
      <w:b/>
      <w:bCs/>
      <w:color w:val="4F81BD"/>
      <w:sz w:val="26"/>
      <w:szCs w:val="26"/>
      <w:lang w:eastAsia="bg-BG"/>
    </w:rPr>
  </w:style>
  <w:style w:type="character" w:customStyle="1" w:styleId="a5">
    <w:name w:val="Изнесен текст Знак"/>
    <w:basedOn w:val="a0"/>
    <w:link w:val="a6"/>
    <w:uiPriority w:val="99"/>
    <w:semiHidden/>
    <w:rsid w:val="00176E4F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Balloon Text"/>
    <w:basedOn w:val="a"/>
    <w:link w:val="a5"/>
    <w:uiPriority w:val="99"/>
    <w:semiHidden/>
    <w:unhideWhenUsed/>
    <w:rsid w:val="00176E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7">
    <w:name w:val="Основен текст Знак"/>
    <w:basedOn w:val="a0"/>
    <w:link w:val="a8"/>
    <w:rsid w:val="00176E4F"/>
    <w:rPr>
      <w:rFonts w:ascii="Times New Roman" w:eastAsia="Courier New" w:hAnsi="Times New Roman" w:cs="Times New Roman"/>
      <w:shd w:val="clear" w:color="auto" w:fill="FFFFFF"/>
      <w:lang w:eastAsia="bg-BG"/>
    </w:rPr>
  </w:style>
  <w:style w:type="paragraph" w:styleId="a8">
    <w:name w:val="Body Text"/>
    <w:basedOn w:val="a"/>
    <w:link w:val="a7"/>
    <w:unhideWhenUsed/>
    <w:rsid w:val="00176E4F"/>
    <w:pPr>
      <w:widowControl w:val="0"/>
      <w:shd w:val="clear" w:color="auto" w:fill="FFFFFF"/>
      <w:spacing w:before="60" w:after="240" w:line="274" w:lineRule="exact"/>
      <w:ind w:hanging="400"/>
      <w:jc w:val="both"/>
    </w:pPr>
    <w:rPr>
      <w:rFonts w:ascii="Times New Roman" w:eastAsia="Courier New" w:hAnsi="Times New Roman" w:cs="Times New Roman"/>
      <w:lang w:eastAsia="bg-BG"/>
    </w:rPr>
  </w:style>
  <w:style w:type="character" w:customStyle="1" w:styleId="a9">
    <w:name w:val="Долен колонтитул Знак"/>
    <w:basedOn w:val="a0"/>
    <w:link w:val="aa"/>
    <w:uiPriority w:val="99"/>
    <w:rsid w:val="00176E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footer"/>
    <w:basedOn w:val="a"/>
    <w:link w:val="a9"/>
    <w:uiPriority w:val="99"/>
    <w:rsid w:val="00176E4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ab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,stil Знак"/>
    <w:basedOn w:val="a0"/>
    <w:link w:val="ac"/>
    <w:uiPriority w:val="99"/>
    <w:rsid w:val="00176E4F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styleId="ac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a"/>
    <w:link w:val="ab"/>
    <w:uiPriority w:val="99"/>
    <w:unhideWhenUsed/>
    <w:rsid w:val="00176E4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  <w:style w:type="paragraph" w:styleId="ad">
    <w:name w:val="No Spacing"/>
    <w:link w:val="ae"/>
    <w:uiPriority w:val="1"/>
    <w:qFormat/>
    <w:rsid w:val="0017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e">
    <w:name w:val="Без разредка Знак"/>
    <w:link w:val="ad"/>
    <w:uiPriority w:val="1"/>
    <w:rsid w:val="00176E4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">
    <w:name w:val="Заглавие Знак"/>
    <w:basedOn w:val="a0"/>
    <w:link w:val="af0"/>
    <w:uiPriority w:val="10"/>
    <w:rsid w:val="00176E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bg-BG"/>
    </w:rPr>
  </w:style>
  <w:style w:type="paragraph" w:styleId="af0">
    <w:name w:val="Title"/>
    <w:basedOn w:val="a"/>
    <w:next w:val="a"/>
    <w:link w:val="af"/>
    <w:uiPriority w:val="10"/>
    <w:qFormat/>
    <w:rsid w:val="00176E4F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bg-BG"/>
    </w:rPr>
  </w:style>
  <w:style w:type="character" w:customStyle="1" w:styleId="af1">
    <w:name w:val="Цитат Знак"/>
    <w:basedOn w:val="a0"/>
    <w:link w:val="af2"/>
    <w:uiPriority w:val="29"/>
    <w:rsid w:val="00176E4F"/>
    <w:rPr>
      <w:rFonts w:ascii="Times New Roman" w:eastAsia="Times New Roman" w:hAnsi="Times New Roman" w:cs="Times New Roman"/>
      <w:i/>
      <w:iCs/>
      <w:color w:val="000000"/>
      <w:sz w:val="20"/>
      <w:szCs w:val="20"/>
      <w:lang w:eastAsia="bg-BG"/>
    </w:rPr>
  </w:style>
  <w:style w:type="paragraph" w:styleId="af2">
    <w:name w:val="Quote"/>
    <w:basedOn w:val="a"/>
    <w:next w:val="a"/>
    <w:link w:val="af1"/>
    <w:uiPriority w:val="29"/>
    <w:qFormat/>
    <w:rsid w:val="0017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bg-BG"/>
    </w:rPr>
  </w:style>
  <w:style w:type="character" w:customStyle="1" w:styleId="af3">
    <w:name w:val="Горен колонтитул Знак"/>
    <w:basedOn w:val="a0"/>
    <w:link w:val="af4"/>
    <w:uiPriority w:val="99"/>
    <w:rsid w:val="00176E4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4">
    <w:name w:val="header"/>
    <w:basedOn w:val="a"/>
    <w:link w:val="af3"/>
    <w:uiPriority w:val="99"/>
    <w:unhideWhenUsed/>
    <w:rsid w:val="00176E4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E4F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176E4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1,List1,Colorful List - Accent 11,List Paragraph11,List Paragraph111,List Paragraph1111"/>
    <w:basedOn w:val="a"/>
    <w:link w:val="a4"/>
    <w:qFormat/>
    <w:rsid w:val="00C876CF"/>
    <w:pPr>
      <w:ind w:left="720"/>
      <w:contextualSpacing/>
    </w:pPr>
  </w:style>
  <w:style w:type="character" w:customStyle="1" w:styleId="a4">
    <w:name w:val="Списък на абзаци Знак"/>
    <w:aliases w:val="ПАРАГРАФ Знак,List Paragraph1 Знак,List1 Знак,Colorful List - Accent 11 Знак,List Paragraph11 Знак,List Paragraph111 Знак,List Paragraph1111 Знак"/>
    <w:link w:val="a3"/>
    <w:qFormat/>
    <w:rsid w:val="00176E4F"/>
  </w:style>
  <w:style w:type="character" w:customStyle="1" w:styleId="10">
    <w:name w:val="Заглавие 1 Знак"/>
    <w:basedOn w:val="a0"/>
    <w:link w:val="1"/>
    <w:uiPriority w:val="9"/>
    <w:rsid w:val="00176E4F"/>
    <w:rPr>
      <w:rFonts w:ascii="Cambria" w:eastAsia="Times New Roman" w:hAnsi="Cambria" w:cs="Times New Roman"/>
      <w:color w:val="365F91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76E4F"/>
    <w:rPr>
      <w:rFonts w:ascii="Cambria" w:eastAsia="Times New Roman" w:hAnsi="Cambria" w:cs="Times New Roman"/>
      <w:b/>
      <w:bCs/>
      <w:color w:val="4F81BD"/>
      <w:sz w:val="26"/>
      <w:szCs w:val="26"/>
      <w:lang w:eastAsia="bg-BG"/>
    </w:rPr>
  </w:style>
  <w:style w:type="character" w:customStyle="1" w:styleId="a5">
    <w:name w:val="Изнесен текст Знак"/>
    <w:basedOn w:val="a0"/>
    <w:link w:val="a6"/>
    <w:uiPriority w:val="99"/>
    <w:semiHidden/>
    <w:rsid w:val="00176E4F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Balloon Text"/>
    <w:basedOn w:val="a"/>
    <w:link w:val="a5"/>
    <w:uiPriority w:val="99"/>
    <w:semiHidden/>
    <w:unhideWhenUsed/>
    <w:rsid w:val="00176E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7">
    <w:name w:val="Основен текст Знак"/>
    <w:basedOn w:val="a0"/>
    <w:link w:val="a8"/>
    <w:rsid w:val="00176E4F"/>
    <w:rPr>
      <w:rFonts w:ascii="Times New Roman" w:eastAsia="Courier New" w:hAnsi="Times New Roman" w:cs="Times New Roman"/>
      <w:shd w:val="clear" w:color="auto" w:fill="FFFFFF"/>
      <w:lang w:eastAsia="bg-BG"/>
    </w:rPr>
  </w:style>
  <w:style w:type="paragraph" w:styleId="a8">
    <w:name w:val="Body Text"/>
    <w:basedOn w:val="a"/>
    <w:link w:val="a7"/>
    <w:unhideWhenUsed/>
    <w:rsid w:val="00176E4F"/>
    <w:pPr>
      <w:widowControl w:val="0"/>
      <w:shd w:val="clear" w:color="auto" w:fill="FFFFFF"/>
      <w:spacing w:before="60" w:after="240" w:line="274" w:lineRule="exact"/>
      <w:ind w:hanging="400"/>
      <w:jc w:val="both"/>
    </w:pPr>
    <w:rPr>
      <w:rFonts w:ascii="Times New Roman" w:eastAsia="Courier New" w:hAnsi="Times New Roman" w:cs="Times New Roman"/>
      <w:lang w:eastAsia="bg-BG"/>
    </w:rPr>
  </w:style>
  <w:style w:type="character" w:customStyle="1" w:styleId="a9">
    <w:name w:val="Долен колонтитул Знак"/>
    <w:basedOn w:val="a0"/>
    <w:link w:val="aa"/>
    <w:uiPriority w:val="99"/>
    <w:rsid w:val="00176E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footer"/>
    <w:basedOn w:val="a"/>
    <w:link w:val="a9"/>
    <w:uiPriority w:val="99"/>
    <w:rsid w:val="00176E4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ab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,stil Знак"/>
    <w:basedOn w:val="a0"/>
    <w:link w:val="ac"/>
    <w:uiPriority w:val="99"/>
    <w:rsid w:val="00176E4F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styleId="ac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a"/>
    <w:link w:val="ab"/>
    <w:uiPriority w:val="99"/>
    <w:unhideWhenUsed/>
    <w:rsid w:val="00176E4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  <w:style w:type="paragraph" w:styleId="ad">
    <w:name w:val="No Spacing"/>
    <w:link w:val="ae"/>
    <w:uiPriority w:val="1"/>
    <w:qFormat/>
    <w:rsid w:val="0017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e">
    <w:name w:val="Без разредка Знак"/>
    <w:link w:val="ad"/>
    <w:uiPriority w:val="1"/>
    <w:rsid w:val="00176E4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">
    <w:name w:val="Заглавие Знак"/>
    <w:basedOn w:val="a0"/>
    <w:link w:val="af0"/>
    <w:uiPriority w:val="10"/>
    <w:rsid w:val="00176E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bg-BG"/>
    </w:rPr>
  </w:style>
  <w:style w:type="paragraph" w:styleId="af0">
    <w:name w:val="Title"/>
    <w:basedOn w:val="a"/>
    <w:next w:val="a"/>
    <w:link w:val="af"/>
    <w:uiPriority w:val="10"/>
    <w:qFormat/>
    <w:rsid w:val="00176E4F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bg-BG"/>
    </w:rPr>
  </w:style>
  <w:style w:type="character" w:customStyle="1" w:styleId="af1">
    <w:name w:val="Цитат Знак"/>
    <w:basedOn w:val="a0"/>
    <w:link w:val="af2"/>
    <w:uiPriority w:val="29"/>
    <w:rsid w:val="00176E4F"/>
    <w:rPr>
      <w:rFonts w:ascii="Times New Roman" w:eastAsia="Times New Roman" w:hAnsi="Times New Roman" w:cs="Times New Roman"/>
      <w:i/>
      <w:iCs/>
      <w:color w:val="000000"/>
      <w:sz w:val="20"/>
      <w:szCs w:val="20"/>
      <w:lang w:eastAsia="bg-BG"/>
    </w:rPr>
  </w:style>
  <w:style w:type="paragraph" w:styleId="af2">
    <w:name w:val="Quote"/>
    <w:basedOn w:val="a"/>
    <w:next w:val="a"/>
    <w:link w:val="af1"/>
    <w:uiPriority w:val="29"/>
    <w:qFormat/>
    <w:rsid w:val="00176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bg-BG"/>
    </w:rPr>
  </w:style>
  <w:style w:type="character" w:customStyle="1" w:styleId="af3">
    <w:name w:val="Горен колонтитул Знак"/>
    <w:basedOn w:val="a0"/>
    <w:link w:val="af4"/>
    <w:uiPriority w:val="99"/>
    <w:rsid w:val="00176E4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4">
    <w:name w:val="header"/>
    <w:basedOn w:val="a"/>
    <w:link w:val="af3"/>
    <w:uiPriority w:val="99"/>
    <w:unhideWhenUsed/>
    <w:rsid w:val="00176E4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9019-6A60-4A2F-86E7-686CCA16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Popova</dc:creator>
  <cp:keywords/>
  <dc:description/>
  <cp:lastModifiedBy>User</cp:lastModifiedBy>
  <cp:revision>16</cp:revision>
  <dcterms:created xsi:type="dcterms:W3CDTF">2021-04-20T12:37:00Z</dcterms:created>
  <dcterms:modified xsi:type="dcterms:W3CDTF">2021-05-05T13:19:00Z</dcterms:modified>
</cp:coreProperties>
</file>