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E199" w14:textId="7C2A2893" w:rsidR="00992382" w:rsidRDefault="00992382" w:rsidP="00992382">
      <w:pPr>
        <w:spacing w:after="0" w:line="276" w:lineRule="auto"/>
        <w:rPr>
          <w:rFonts w:ascii="Times New Roman" w:hAnsi="Times New Roman" w:cs="Times New Roman"/>
          <w:b/>
          <w:color w:val="000000" w:themeColor="text1"/>
          <w:sz w:val="24"/>
          <w:szCs w:val="24"/>
        </w:rPr>
      </w:pPr>
    </w:p>
    <w:p w14:paraId="786377D9" w14:textId="77777777" w:rsidR="005B4F08" w:rsidRDefault="005B4F08" w:rsidP="00992382">
      <w:pPr>
        <w:spacing w:after="0" w:line="276" w:lineRule="auto"/>
        <w:rPr>
          <w:rFonts w:ascii="Times New Roman" w:hAnsi="Times New Roman" w:cs="Times New Roman"/>
          <w:b/>
          <w:color w:val="000000" w:themeColor="text1"/>
          <w:sz w:val="24"/>
          <w:szCs w:val="24"/>
        </w:rPr>
      </w:pPr>
    </w:p>
    <w:p w14:paraId="16EB45D1" w14:textId="77777777" w:rsidR="00785111" w:rsidRDefault="007F042A" w:rsidP="007F042A">
      <w:pPr>
        <w:tabs>
          <w:tab w:val="left" w:pos="2355"/>
          <w:tab w:val="center" w:pos="4678"/>
        </w:tabs>
        <w:spacing w:after="0" w:line="276" w:lineRule="auto"/>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ab/>
      </w:r>
    </w:p>
    <w:p w14:paraId="5AE21820" w14:textId="77777777" w:rsidR="00785111" w:rsidRDefault="00785111" w:rsidP="00785111">
      <w:pPr>
        <w:spacing w:after="0" w:line="240" w:lineRule="auto"/>
        <w:jc w:val="center"/>
        <w:rPr>
          <w:rFonts w:ascii="Calibri" w:eastAsia="Calibri" w:hAnsi="Calibri" w:cs="Times New Roman"/>
          <w:b/>
          <w:sz w:val="28"/>
          <w:szCs w:val="28"/>
        </w:rPr>
      </w:pPr>
    </w:p>
    <w:p w14:paraId="2EC45C1E" w14:textId="77777777" w:rsidR="00785111" w:rsidRDefault="00785111" w:rsidP="00785111">
      <w:pPr>
        <w:spacing w:after="0" w:line="240" w:lineRule="auto"/>
        <w:jc w:val="center"/>
        <w:rPr>
          <w:rFonts w:ascii="Calibri" w:eastAsia="Calibri" w:hAnsi="Calibri" w:cs="Times New Roman"/>
          <w:b/>
          <w:sz w:val="28"/>
          <w:szCs w:val="28"/>
        </w:rPr>
      </w:pPr>
    </w:p>
    <w:p w14:paraId="3E0EB23B" w14:textId="77777777" w:rsidR="00785111" w:rsidRPr="00CB4772" w:rsidRDefault="00785111" w:rsidP="00785111">
      <w:pPr>
        <w:spacing w:after="0" w:line="240" w:lineRule="auto"/>
        <w:jc w:val="center"/>
        <w:rPr>
          <w:rFonts w:ascii="Times New Roman" w:eastAsia="Calibri" w:hAnsi="Times New Roman" w:cs="Times New Roman"/>
          <w:b/>
          <w:sz w:val="36"/>
          <w:szCs w:val="28"/>
        </w:rPr>
      </w:pPr>
      <w:r w:rsidRPr="00CB4772">
        <w:rPr>
          <w:rFonts w:ascii="Times New Roman" w:eastAsia="Calibri" w:hAnsi="Times New Roman" w:cs="Times New Roman"/>
          <w:b/>
          <w:sz w:val="36"/>
          <w:szCs w:val="28"/>
        </w:rPr>
        <w:t xml:space="preserve">УСЛОВИЯ ЗА </w:t>
      </w:r>
      <w:r w:rsidRPr="00CB4772">
        <w:rPr>
          <w:rFonts w:ascii="Times New Roman" w:eastAsia="Calibri" w:hAnsi="Times New Roman" w:cs="Times New Roman"/>
          <w:b/>
          <w:sz w:val="40"/>
          <w:szCs w:val="28"/>
        </w:rPr>
        <w:t>КАНДИДАТСТВАНЕ</w:t>
      </w:r>
    </w:p>
    <w:p w14:paraId="4430BA23" w14:textId="77777777" w:rsidR="00C12E77" w:rsidRDefault="00C12E77" w:rsidP="00C12E77">
      <w:pPr>
        <w:spacing w:before="100" w:beforeAutospacing="1" w:after="0"/>
        <w:jc w:val="center"/>
        <w:rPr>
          <w:rFonts w:ascii="Times New Roman" w:eastAsia="Calibri" w:hAnsi="Times New Roman" w:cs="Times New Roman"/>
          <w:b/>
          <w:sz w:val="28"/>
          <w:szCs w:val="28"/>
        </w:rPr>
      </w:pPr>
    </w:p>
    <w:p w14:paraId="6B264C41" w14:textId="516909D2" w:rsidR="00C12E77" w:rsidRPr="00CB4772" w:rsidRDefault="00785111"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с проектни предложения за предост</w:t>
      </w:r>
      <w:r w:rsidR="00C12E77" w:rsidRPr="00CB4772">
        <w:rPr>
          <w:rFonts w:ascii="Times New Roman" w:eastAsia="Calibri" w:hAnsi="Times New Roman" w:cs="Times New Roman"/>
          <w:b/>
          <w:sz w:val="32"/>
          <w:szCs w:val="28"/>
        </w:rPr>
        <w:t xml:space="preserve">авяне на безвъзмездна </w:t>
      </w:r>
    </w:p>
    <w:p w14:paraId="0ABF6347" w14:textId="515ED9A3" w:rsidR="00785111" w:rsidRPr="00CB4772" w:rsidRDefault="00E97862"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финансова</w:t>
      </w:r>
      <w:r w:rsidR="00C12E77" w:rsidRPr="00CB4772">
        <w:rPr>
          <w:rFonts w:ascii="Times New Roman" w:eastAsia="Calibri" w:hAnsi="Times New Roman" w:cs="Times New Roman"/>
          <w:b/>
          <w:sz w:val="32"/>
          <w:szCs w:val="28"/>
        </w:rPr>
        <w:t xml:space="preserve"> </w:t>
      </w:r>
      <w:r w:rsidR="00D15A62" w:rsidRPr="00CB4772">
        <w:rPr>
          <w:rFonts w:ascii="Times New Roman" w:eastAsia="Calibri" w:hAnsi="Times New Roman" w:cs="Times New Roman"/>
          <w:b/>
          <w:sz w:val="32"/>
          <w:szCs w:val="28"/>
        </w:rPr>
        <w:t>п</w:t>
      </w:r>
      <w:r w:rsidR="00785111" w:rsidRPr="00CB4772">
        <w:rPr>
          <w:rFonts w:ascii="Times New Roman" w:eastAsia="Calibri" w:hAnsi="Times New Roman" w:cs="Times New Roman"/>
          <w:b/>
          <w:sz w:val="32"/>
          <w:szCs w:val="28"/>
        </w:rPr>
        <w:t>омощ по</w:t>
      </w:r>
      <w:r w:rsidR="00785111" w:rsidRPr="00CB4772" w:rsidDel="00352D2A">
        <w:rPr>
          <w:rFonts w:ascii="Times New Roman" w:eastAsia="Calibri" w:hAnsi="Times New Roman" w:cs="Times New Roman"/>
          <w:b/>
          <w:sz w:val="32"/>
          <w:szCs w:val="28"/>
        </w:rPr>
        <w:t xml:space="preserve"> </w:t>
      </w:r>
    </w:p>
    <w:p w14:paraId="22684DF6" w14:textId="77777777" w:rsidR="00C12E77"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 xml:space="preserve">Оперативна програма „Иновации и конкурентоспособност“ 2014-2020, </w:t>
      </w:r>
    </w:p>
    <w:p w14:paraId="4C49688D" w14:textId="65C59B18" w:rsidR="00992382"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чрез</w:t>
      </w:r>
      <w:r w:rsidR="00992382" w:rsidRPr="00CB4772">
        <w:rPr>
          <w:rFonts w:ascii="Times New Roman" w:eastAsia="Times New Roman" w:hAnsi="Times New Roman" w:cs="Times New Roman"/>
          <w:b/>
          <w:snapToGrid w:val="0"/>
          <w:sz w:val="32"/>
          <w:szCs w:val="24"/>
        </w:rPr>
        <w:t xml:space="preserve"> подхода</w:t>
      </w:r>
      <w:r w:rsidRPr="00CB4772">
        <w:rPr>
          <w:rFonts w:ascii="Times New Roman" w:eastAsia="Times New Roman" w:hAnsi="Times New Roman" w:cs="Times New Roman"/>
          <w:b/>
          <w:snapToGrid w:val="0"/>
          <w:sz w:val="32"/>
          <w:szCs w:val="24"/>
        </w:rPr>
        <w:t xml:space="preserve"> Водено от</w:t>
      </w:r>
      <w:r w:rsidR="00C12E77" w:rsidRPr="00CB4772">
        <w:rPr>
          <w:rFonts w:ascii="Times New Roman" w:eastAsia="Times New Roman" w:hAnsi="Times New Roman" w:cs="Times New Roman"/>
          <w:b/>
          <w:snapToGrid w:val="0"/>
          <w:sz w:val="32"/>
          <w:szCs w:val="24"/>
        </w:rPr>
        <w:t xml:space="preserve"> общностите местно развитие</w:t>
      </w:r>
    </w:p>
    <w:p w14:paraId="4299BB05" w14:textId="77777777" w:rsidR="00CB4772" w:rsidRDefault="00CB4772" w:rsidP="00C12E77">
      <w:pPr>
        <w:spacing w:before="100" w:beforeAutospacing="1" w:after="100" w:afterAutospacing="1"/>
        <w:jc w:val="center"/>
        <w:rPr>
          <w:rFonts w:ascii="Times New Roman" w:eastAsia="Times New Roman" w:hAnsi="Times New Roman" w:cs="Times New Roman"/>
          <w:b/>
          <w:snapToGrid w:val="0"/>
          <w:sz w:val="28"/>
          <w:szCs w:val="24"/>
        </w:rPr>
      </w:pPr>
    </w:p>
    <w:tbl>
      <w:tblPr>
        <w:tblStyle w:val="af"/>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655593" w:rsidRPr="00641DE1" w14:paraId="4B128E85" w14:textId="77777777" w:rsidTr="00655593">
        <w:trPr>
          <w:trHeight w:val="470"/>
        </w:trPr>
        <w:tc>
          <w:tcPr>
            <w:tcW w:w="9496" w:type="dxa"/>
            <w:shd w:val="clear" w:color="auto" w:fill="CCECFF"/>
          </w:tcPr>
          <w:p w14:paraId="01665683" w14:textId="603DC954" w:rsidR="00655593" w:rsidRPr="00641DE1" w:rsidRDefault="00655593" w:rsidP="00655593">
            <w:pPr>
              <w:spacing w:before="240" w:after="240"/>
              <w:jc w:val="center"/>
              <w:rPr>
                <w:b/>
                <w:sz w:val="28"/>
                <w:szCs w:val="28"/>
              </w:rPr>
            </w:pPr>
            <w:r w:rsidRPr="00641DE1">
              <w:rPr>
                <w:b/>
                <w:sz w:val="28"/>
                <w:szCs w:val="28"/>
              </w:rPr>
              <w:t xml:space="preserve">Процедура чрез подбор на проектни предложения </w:t>
            </w:r>
            <w:r w:rsidRPr="00CB4772">
              <w:rPr>
                <w:b/>
                <w:sz w:val="28"/>
                <w:szCs w:val="28"/>
              </w:rPr>
              <w:t>с един краен срок</w:t>
            </w:r>
            <w:r w:rsidRPr="00641DE1">
              <w:rPr>
                <w:b/>
                <w:sz w:val="28"/>
                <w:szCs w:val="28"/>
              </w:rPr>
              <w:t xml:space="preserve"> за кандидатстване</w:t>
            </w:r>
          </w:p>
          <w:p w14:paraId="03772B02" w14:textId="26B4790B" w:rsidR="00192A92" w:rsidRPr="00192A92" w:rsidRDefault="00655593" w:rsidP="00192A92">
            <w:pPr>
              <w:pStyle w:val="afc"/>
              <w:spacing w:line="23" w:lineRule="atLeast"/>
              <w:ind w:left="108" w:right="109"/>
              <w:jc w:val="center"/>
              <w:rPr>
                <w:rFonts w:ascii="Times New Roman" w:hAnsi="Times New Roman"/>
                <w:b/>
                <w:sz w:val="28"/>
                <w:szCs w:val="28"/>
                <w:lang w:val="bg-BG"/>
              </w:rPr>
            </w:pPr>
            <w:r w:rsidRPr="00192A92">
              <w:rPr>
                <w:rFonts w:ascii="Times New Roman" w:hAnsi="Times New Roman"/>
                <w:b/>
                <w:sz w:val="28"/>
                <w:szCs w:val="28"/>
              </w:rPr>
              <w:t>BG</w:t>
            </w:r>
            <w:r w:rsidRPr="00A55D5B">
              <w:rPr>
                <w:rFonts w:ascii="Times New Roman" w:hAnsi="Times New Roman"/>
                <w:b/>
                <w:sz w:val="28"/>
                <w:szCs w:val="28"/>
                <w:lang w:val="bg-BG"/>
              </w:rPr>
              <w:t>16</w:t>
            </w:r>
            <w:r w:rsidRPr="00192A92">
              <w:rPr>
                <w:rFonts w:ascii="Times New Roman" w:hAnsi="Times New Roman"/>
                <w:b/>
                <w:sz w:val="28"/>
                <w:szCs w:val="28"/>
              </w:rPr>
              <w:t>RFOP</w:t>
            </w:r>
            <w:r w:rsidRPr="00A55D5B">
              <w:rPr>
                <w:rFonts w:ascii="Times New Roman" w:hAnsi="Times New Roman"/>
                <w:b/>
                <w:sz w:val="28"/>
                <w:szCs w:val="28"/>
                <w:lang w:val="bg-BG"/>
              </w:rPr>
              <w:t>002-2.</w:t>
            </w:r>
            <w:r w:rsidR="006F001C">
              <w:rPr>
                <w:rFonts w:ascii="Times New Roman" w:hAnsi="Times New Roman"/>
                <w:b/>
                <w:sz w:val="28"/>
                <w:szCs w:val="28"/>
                <w:lang w:val="bg-BG"/>
              </w:rPr>
              <w:t>110</w:t>
            </w:r>
            <w:r w:rsidRPr="00A55D5B">
              <w:rPr>
                <w:rFonts w:ascii="Times New Roman" w:hAnsi="Times New Roman"/>
                <w:b/>
                <w:sz w:val="28"/>
                <w:szCs w:val="28"/>
                <w:lang w:val="bg-BG"/>
              </w:rPr>
              <w:t xml:space="preserve"> – МИГ "</w:t>
            </w:r>
            <w:r w:rsidR="00192A92" w:rsidRPr="00A55D5B">
              <w:rPr>
                <w:rFonts w:ascii="Times New Roman" w:hAnsi="Times New Roman"/>
                <w:b/>
                <w:sz w:val="28"/>
                <w:szCs w:val="28"/>
                <w:lang w:val="bg-BG"/>
              </w:rPr>
              <w:t>Свиленград ареал</w:t>
            </w:r>
            <w:r w:rsidR="00C04D22">
              <w:rPr>
                <w:rFonts w:ascii="Times New Roman" w:hAnsi="Times New Roman"/>
                <w:b/>
                <w:sz w:val="28"/>
                <w:szCs w:val="28"/>
                <w:lang w:val="bg-BG"/>
              </w:rPr>
              <w:t xml:space="preserve"> </w:t>
            </w:r>
            <w:r w:rsidR="00192A92" w:rsidRPr="00A55D5B">
              <w:rPr>
                <w:rFonts w:ascii="Times New Roman" w:hAnsi="Times New Roman"/>
                <w:b/>
                <w:sz w:val="28"/>
                <w:szCs w:val="28"/>
                <w:lang w:val="bg-BG"/>
              </w:rPr>
              <w:t xml:space="preserve">„Капацитет </w:t>
            </w:r>
            <w:r w:rsidR="00192A92" w:rsidRPr="00192A92">
              <w:rPr>
                <w:rFonts w:ascii="Times New Roman" w:hAnsi="Times New Roman"/>
                <w:b/>
                <w:sz w:val="28"/>
                <w:szCs w:val="28"/>
                <w:lang w:val="bg-BG"/>
              </w:rPr>
              <w:t>за</w:t>
            </w:r>
            <w:r w:rsidR="00192A92" w:rsidRPr="00A55D5B">
              <w:rPr>
                <w:rFonts w:ascii="Times New Roman" w:hAnsi="Times New Roman"/>
                <w:b/>
                <w:sz w:val="28"/>
                <w:szCs w:val="28"/>
                <w:lang w:val="bg-BG"/>
              </w:rPr>
              <w:t xml:space="preserve"> растеж на МСП</w:t>
            </w:r>
            <w:r w:rsidR="00192A92" w:rsidRPr="00192A92">
              <w:rPr>
                <w:rFonts w:ascii="Times New Roman" w:hAnsi="Times New Roman"/>
                <w:b/>
                <w:sz w:val="28"/>
                <w:szCs w:val="28"/>
                <w:lang w:val="bg-BG"/>
              </w:rPr>
              <w:t xml:space="preserve"> на територията на МИГ Свиленград </w:t>
            </w:r>
            <w:r w:rsidR="00C22163" w:rsidRPr="00192A92">
              <w:rPr>
                <w:rFonts w:ascii="Times New Roman" w:hAnsi="Times New Roman"/>
                <w:b/>
                <w:sz w:val="28"/>
                <w:szCs w:val="28"/>
                <w:lang w:val="bg-BG"/>
              </w:rPr>
              <w:t>Ареал “</w:t>
            </w:r>
          </w:p>
          <w:p w14:paraId="1507108C" w14:textId="298C3919" w:rsidR="00655593" w:rsidRPr="00B62FDD" w:rsidRDefault="00655593" w:rsidP="00655593">
            <w:pPr>
              <w:spacing w:before="240" w:after="240"/>
              <w:jc w:val="center"/>
              <w:rPr>
                <w:i/>
              </w:rPr>
            </w:pPr>
          </w:p>
        </w:tc>
      </w:tr>
    </w:tbl>
    <w:p w14:paraId="3363D30F" w14:textId="77777777" w:rsidR="00655593" w:rsidRDefault="00655593" w:rsidP="00C12E77">
      <w:pPr>
        <w:spacing w:before="100" w:beforeAutospacing="1" w:after="100" w:afterAutospacing="1"/>
        <w:jc w:val="center"/>
        <w:rPr>
          <w:rFonts w:ascii="Times New Roman" w:eastAsia="Times New Roman" w:hAnsi="Times New Roman" w:cs="Times New Roman"/>
          <w:b/>
          <w:snapToGrid w:val="0"/>
          <w:sz w:val="28"/>
          <w:szCs w:val="24"/>
        </w:rPr>
      </w:pPr>
    </w:p>
    <w:p w14:paraId="51DA08A4" w14:textId="3446F0D1" w:rsidR="003B41D1" w:rsidRDefault="00785111" w:rsidP="003B41D1">
      <w:pPr>
        <w:spacing w:after="240"/>
        <w:rPr>
          <w:rFonts w:ascii="Calibri" w:eastAsia="Calibri" w:hAnsi="Calibri" w:cs="Times New Roman"/>
          <w:b/>
          <w:sz w:val="32"/>
          <w:szCs w:val="32"/>
        </w:rPr>
      </w:pPr>
      <w:r w:rsidRPr="00785111">
        <w:rPr>
          <w:rFonts w:ascii="Calibri" w:eastAsia="Calibri" w:hAnsi="Calibri" w:cs="Times New Roman"/>
          <w:b/>
          <w:sz w:val="32"/>
          <w:szCs w:val="32"/>
        </w:rPr>
        <w:br w:type="page"/>
      </w:r>
    </w:p>
    <w:sdt>
      <w:sdtPr>
        <w:rPr>
          <w:rFonts w:ascii="Times New Roman" w:eastAsiaTheme="minorHAnsi" w:hAnsi="Times New Roman" w:cs="Times New Roman"/>
          <w:b w:val="0"/>
          <w:bCs w:val="0"/>
          <w:color w:val="000000" w:themeColor="text1"/>
          <w:sz w:val="24"/>
          <w:szCs w:val="24"/>
          <w:lang w:eastAsia="en-US"/>
        </w:rPr>
        <w:id w:val="-1067806302"/>
        <w:docPartObj>
          <w:docPartGallery w:val="Table of Contents"/>
          <w:docPartUnique/>
        </w:docPartObj>
      </w:sdtPr>
      <w:sdtEndPr/>
      <w:sdtContent>
        <w:p w14:paraId="6E1E82D6" w14:textId="3C4F8625" w:rsidR="005C1072" w:rsidRPr="00785111" w:rsidRDefault="00785111" w:rsidP="003B41D1">
          <w:pPr>
            <w:pStyle w:val="afb"/>
            <w:spacing w:before="0" w:line="360" w:lineRule="auto"/>
            <w:rPr>
              <w:rFonts w:ascii="Times New Roman" w:hAnsi="Times New Roman" w:cs="Times New Roman"/>
              <w:color w:val="0070C0"/>
              <w:sz w:val="24"/>
              <w:szCs w:val="24"/>
            </w:rPr>
          </w:pPr>
          <w:r w:rsidRPr="00785111">
            <w:rPr>
              <w:rFonts w:ascii="Times New Roman" w:hAnsi="Times New Roman" w:cs="Times New Roman"/>
              <w:color w:val="0070C0"/>
              <w:sz w:val="24"/>
              <w:szCs w:val="24"/>
            </w:rPr>
            <w:t>СЪДЪРЖАНИЕ:</w:t>
          </w:r>
        </w:p>
        <w:p w14:paraId="238E444E" w14:textId="391A2EF3" w:rsidR="008C4409" w:rsidRPr="00321B51" w:rsidRDefault="005C1072">
          <w:pPr>
            <w:pStyle w:val="21"/>
            <w:rPr>
              <w:rFonts w:eastAsiaTheme="minorEastAsia"/>
              <w:color w:val="auto"/>
              <w:lang w:eastAsia="bg-BG"/>
            </w:rPr>
          </w:pPr>
          <w:r w:rsidRPr="000A3DFA">
            <w:fldChar w:fldCharType="begin"/>
          </w:r>
          <w:r w:rsidRPr="000A3DFA">
            <w:instrText xml:space="preserve"> TOC \o "1-3" \h \z \u </w:instrText>
          </w:r>
          <w:r w:rsidRPr="000A3DFA">
            <w:fldChar w:fldCharType="separate"/>
          </w:r>
          <w:hyperlink w:anchor="_Toc494709500" w:history="1">
            <w:r w:rsidR="008C4409" w:rsidRPr="00321B51">
              <w:rPr>
                <w:rStyle w:val="af3"/>
              </w:rPr>
              <w:t>1. Наименование на програмата:</w:t>
            </w:r>
            <w:r w:rsidR="008C4409" w:rsidRPr="00321B51">
              <w:rPr>
                <w:webHidden/>
              </w:rPr>
              <w:tab/>
            </w:r>
            <w:r w:rsidR="008C4409" w:rsidRPr="00321B51">
              <w:rPr>
                <w:webHidden/>
              </w:rPr>
              <w:fldChar w:fldCharType="begin"/>
            </w:r>
            <w:r w:rsidR="008C4409" w:rsidRPr="00321B51">
              <w:rPr>
                <w:webHidden/>
              </w:rPr>
              <w:instrText xml:space="preserve"> PAGEREF _Toc494709500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23DF21DB" w14:textId="66DB64B9" w:rsidR="008C4409" w:rsidRPr="00321B51" w:rsidRDefault="00BD6255">
          <w:pPr>
            <w:pStyle w:val="21"/>
            <w:rPr>
              <w:rFonts w:eastAsiaTheme="minorEastAsia"/>
              <w:color w:val="auto"/>
              <w:lang w:eastAsia="bg-BG"/>
            </w:rPr>
          </w:pPr>
          <w:hyperlink w:anchor="_Toc494709501" w:history="1">
            <w:r w:rsidR="008C4409" w:rsidRPr="00321B51">
              <w:rPr>
                <w:rStyle w:val="af3"/>
              </w:rPr>
              <w:t>2. Наименование на приоритетната ос:</w:t>
            </w:r>
            <w:r w:rsidR="008C4409" w:rsidRPr="00321B51">
              <w:rPr>
                <w:webHidden/>
              </w:rPr>
              <w:tab/>
            </w:r>
            <w:r w:rsidR="008C4409" w:rsidRPr="00321B51">
              <w:rPr>
                <w:webHidden/>
              </w:rPr>
              <w:fldChar w:fldCharType="begin"/>
            </w:r>
            <w:r w:rsidR="008C4409" w:rsidRPr="00321B51">
              <w:rPr>
                <w:webHidden/>
              </w:rPr>
              <w:instrText xml:space="preserve"> PAGEREF _Toc494709501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22286E8" w14:textId="70ED0DBD" w:rsidR="008C4409" w:rsidRPr="00321B51" w:rsidRDefault="00BD6255">
          <w:pPr>
            <w:pStyle w:val="21"/>
            <w:rPr>
              <w:rFonts w:eastAsiaTheme="minorEastAsia"/>
              <w:color w:val="auto"/>
              <w:lang w:eastAsia="bg-BG"/>
            </w:rPr>
          </w:pPr>
          <w:hyperlink w:anchor="_Toc494709502" w:history="1">
            <w:r w:rsidR="008C4409" w:rsidRPr="00321B51">
              <w:rPr>
                <w:rStyle w:val="af3"/>
              </w:rPr>
              <w:t>3. Наименование на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_Toc494709502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19E3C89" w14:textId="51678789" w:rsidR="008C4409" w:rsidRPr="00321B51" w:rsidRDefault="00BD6255">
          <w:pPr>
            <w:pStyle w:val="21"/>
            <w:rPr>
              <w:rFonts w:eastAsiaTheme="minorEastAsia"/>
              <w:color w:val="auto"/>
              <w:lang w:eastAsia="bg-BG"/>
            </w:rPr>
          </w:pPr>
          <w:hyperlink w:anchor="_Toc494709503" w:history="1">
            <w:r w:rsidR="008C4409" w:rsidRPr="00321B51">
              <w:rPr>
                <w:rStyle w:val="af3"/>
              </w:rPr>
              <w:t>4. Измерения по кодове:</w:t>
            </w:r>
            <w:r w:rsidR="008C4409" w:rsidRPr="00321B51">
              <w:rPr>
                <w:webHidden/>
              </w:rPr>
              <w:tab/>
            </w:r>
            <w:r w:rsidR="008C4409" w:rsidRPr="00321B51">
              <w:rPr>
                <w:webHidden/>
              </w:rPr>
              <w:fldChar w:fldCharType="begin"/>
            </w:r>
            <w:r w:rsidR="008C4409" w:rsidRPr="00321B51">
              <w:rPr>
                <w:webHidden/>
              </w:rPr>
              <w:instrText xml:space="preserve"> PAGEREF _Toc494709503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6E852DD5" w14:textId="724C3BCD" w:rsidR="008C4409" w:rsidRPr="00321B51" w:rsidRDefault="00BD6255">
          <w:pPr>
            <w:pStyle w:val="21"/>
            <w:rPr>
              <w:rFonts w:eastAsiaTheme="minorEastAsia"/>
              <w:color w:val="auto"/>
              <w:lang w:eastAsia="bg-BG"/>
            </w:rPr>
          </w:pPr>
          <w:hyperlink w:anchor="_Toc494709504" w:history="1">
            <w:r w:rsidR="008C4409" w:rsidRPr="00321B51">
              <w:rPr>
                <w:rStyle w:val="af3"/>
              </w:rPr>
              <w:t>5. Териториален обхват:</w:t>
            </w:r>
            <w:r w:rsidR="008C4409" w:rsidRPr="00321B51">
              <w:rPr>
                <w:webHidden/>
              </w:rPr>
              <w:tab/>
            </w:r>
            <w:r w:rsidR="008C4409" w:rsidRPr="00321B51">
              <w:rPr>
                <w:webHidden/>
              </w:rPr>
              <w:fldChar w:fldCharType="begin"/>
            </w:r>
            <w:r w:rsidR="008C4409" w:rsidRPr="00321B51">
              <w:rPr>
                <w:webHidden/>
              </w:rPr>
              <w:instrText xml:space="preserve"> PAGEREF _Toc494709504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063C2AF6" w14:textId="59B937AF" w:rsidR="008C4409" w:rsidRPr="00321B51" w:rsidRDefault="00BD6255">
          <w:pPr>
            <w:pStyle w:val="21"/>
            <w:rPr>
              <w:rFonts w:eastAsiaTheme="minorEastAsia"/>
              <w:color w:val="auto"/>
              <w:lang w:eastAsia="bg-BG"/>
            </w:rPr>
          </w:pPr>
          <w:hyperlink w:anchor="_Toc494709505" w:history="1">
            <w:r w:rsidR="008C4409" w:rsidRPr="00321B51">
              <w:rPr>
                <w:rStyle w:val="af3"/>
              </w:rPr>
              <w:t xml:space="preserve">6. Цели на предоставяната </w:t>
            </w:r>
            <w:r w:rsidR="008C4409" w:rsidRPr="00321B51">
              <w:rPr>
                <w:rStyle w:val="af3"/>
                <w:rFonts w:eastAsia="Calibri"/>
              </w:rPr>
              <w:t>безвъзмездна финансова помощ</w:t>
            </w:r>
            <w:r w:rsidR="008C4409" w:rsidRPr="00321B51">
              <w:rPr>
                <w:rStyle w:val="af3"/>
              </w:rPr>
              <w:t xml:space="preserve"> по процедурата и очаквани резултати:</w:t>
            </w:r>
            <w:r w:rsidR="008C4409" w:rsidRPr="00321B51">
              <w:rPr>
                <w:webHidden/>
              </w:rPr>
              <w:tab/>
            </w:r>
            <w:r w:rsidR="008C4409" w:rsidRPr="00321B51">
              <w:rPr>
                <w:webHidden/>
              </w:rPr>
              <w:fldChar w:fldCharType="begin"/>
            </w:r>
            <w:r w:rsidR="008C4409" w:rsidRPr="00321B51">
              <w:rPr>
                <w:webHidden/>
              </w:rPr>
              <w:instrText xml:space="preserve"> PAGEREF _Toc494709505 \h </w:instrText>
            </w:r>
            <w:r w:rsidR="008C4409" w:rsidRPr="00321B51">
              <w:rPr>
                <w:webHidden/>
              </w:rPr>
            </w:r>
            <w:r w:rsidR="008C4409" w:rsidRPr="00321B51">
              <w:rPr>
                <w:webHidden/>
              </w:rPr>
              <w:fldChar w:fldCharType="separate"/>
            </w:r>
            <w:r w:rsidR="00E60DFF">
              <w:rPr>
                <w:webHidden/>
              </w:rPr>
              <w:t>5</w:t>
            </w:r>
            <w:r w:rsidR="008C4409" w:rsidRPr="00321B51">
              <w:rPr>
                <w:webHidden/>
              </w:rPr>
              <w:fldChar w:fldCharType="end"/>
            </w:r>
          </w:hyperlink>
        </w:p>
        <w:p w14:paraId="4D48C61B" w14:textId="118DCA5D" w:rsidR="008C4409" w:rsidRPr="00321B51" w:rsidRDefault="00BD6255">
          <w:pPr>
            <w:pStyle w:val="21"/>
            <w:rPr>
              <w:rFonts w:eastAsiaTheme="minorEastAsia"/>
              <w:color w:val="auto"/>
              <w:lang w:eastAsia="bg-BG"/>
            </w:rPr>
          </w:pPr>
          <w:hyperlink w:anchor="_Toc494709506" w:history="1">
            <w:r w:rsidR="008C4409" w:rsidRPr="00321B51">
              <w:rPr>
                <w:rStyle w:val="af3"/>
                <w:rFonts w:eastAsia="Times New Roman"/>
                <w:bCs/>
              </w:rPr>
              <w:t>7. Индикатори:</w:t>
            </w:r>
            <w:r w:rsidR="008C4409" w:rsidRPr="00321B51">
              <w:rPr>
                <w:webHidden/>
              </w:rPr>
              <w:tab/>
            </w:r>
            <w:r w:rsidR="008C4409" w:rsidRPr="00321B51">
              <w:rPr>
                <w:webHidden/>
              </w:rPr>
              <w:fldChar w:fldCharType="begin"/>
            </w:r>
            <w:r w:rsidR="008C4409" w:rsidRPr="00321B51">
              <w:rPr>
                <w:webHidden/>
              </w:rPr>
              <w:instrText xml:space="preserve"> PAGEREF _Toc494709506 \h </w:instrText>
            </w:r>
            <w:r w:rsidR="008C4409" w:rsidRPr="00321B51">
              <w:rPr>
                <w:webHidden/>
              </w:rPr>
            </w:r>
            <w:r w:rsidR="008C4409" w:rsidRPr="00321B51">
              <w:rPr>
                <w:webHidden/>
              </w:rPr>
              <w:fldChar w:fldCharType="separate"/>
            </w:r>
            <w:r w:rsidR="00E60DFF">
              <w:rPr>
                <w:webHidden/>
              </w:rPr>
              <w:t>7</w:t>
            </w:r>
            <w:r w:rsidR="008C4409" w:rsidRPr="00321B51">
              <w:rPr>
                <w:webHidden/>
              </w:rPr>
              <w:fldChar w:fldCharType="end"/>
            </w:r>
          </w:hyperlink>
        </w:p>
        <w:p w14:paraId="7BE4D01F" w14:textId="61A2E34E" w:rsidR="008C4409" w:rsidRPr="00321B51" w:rsidRDefault="00BD6255">
          <w:pPr>
            <w:pStyle w:val="21"/>
            <w:rPr>
              <w:rFonts w:eastAsiaTheme="minorEastAsia"/>
              <w:color w:val="auto"/>
              <w:lang w:eastAsia="bg-BG"/>
            </w:rPr>
          </w:pPr>
          <w:hyperlink w:anchor="_Toc494709507" w:history="1">
            <w:r w:rsidR="008C4409" w:rsidRPr="00321B51">
              <w:rPr>
                <w:rStyle w:val="af3"/>
              </w:rPr>
              <w:t>8. Общ размер на безвъзмездната финансова помощ по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_Toc494709507 \h </w:instrText>
            </w:r>
            <w:r w:rsidR="008C4409" w:rsidRPr="00321B51">
              <w:rPr>
                <w:webHidden/>
              </w:rPr>
            </w:r>
            <w:r w:rsidR="008C4409" w:rsidRPr="00321B51">
              <w:rPr>
                <w:webHidden/>
              </w:rPr>
              <w:fldChar w:fldCharType="separate"/>
            </w:r>
            <w:r w:rsidR="00E60DFF">
              <w:rPr>
                <w:webHidden/>
              </w:rPr>
              <w:t>9</w:t>
            </w:r>
            <w:r w:rsidR="008C4409" w:rsidRPr="00321B51">
              <w:rPr>
                <w:webHidden/>
              </w:rPr>
              <w:fldChar w:fldCharType="end"/>
            </w:r>
          </w:hyperlink>
        </w:p>
        <w:p w14:paraId="14113F0F" w14:textId="621B8339" w:rsidR="008C4409" w:rsidRPr="00321B51" w:rsidRDefault="00BD6255">
          <w:pPr>
            <w:pStyle w:val="21"/>
            <w:rPr>
              <w:rFonts w:eastAsiaTheme="minorEastAsia"/>
              <w:color w:val="auto"/>
              <w:lang w:eastAsia="bg-BG"/>
            </w:rPr>
          </w:pPr>
          <w:hyperlink w:anchor="_Toc494709508" w:history="1">
            <w:r w:rsidR="008C4409" w:rsidRPr="00321B51">
              <w:rPr>
                <w:rStyle w:val="af3"/>
              </w:rPr>
              <w:t>9. Минимален и максимален размер на безвъзмездната финансова помощ за конкретен проект:</w:t>
            </w:r>
            <w:r w:rsidR="008C4409" w:rsidRPr="00321B51">
              <w:rPr>
                <w:webHidden/>
              </w:rPr>
              <w:tab/>
            </w:r>
            <w:r w:rsidR="008C4409" w:rsidRPr="00321B51">
              <w:rPr>
                <w:webHidden/>
              </w:rPr>
              <w:fldChar w:fldCharType="begin"/>
            </w:r>
            <w:r w:rsidR="008C4409" w:rsidRPr="00321B51">
              <w:rPr>
                <w:webHidden/>
              </w:rPr>
              <w:instrText xml:space="preserve"> PAGEREF _Toc494709508 \h </w:instrText>
            </w:r>
            <w:r w:rsidR="008C4409" w:rsidRPr="00321B51">
              <w:rPr>
                <w:webHidden/>
              </w:rPr>
            </w:r>
            <w:r w:rsidR="008C4409" w:rsidRPr="00321B51">
              <w:rPr>
                <w:webHidden/>
              </w:rPr>
              <w:fldChar w:fldCharType="separate"/>
            </w:r>
            <w:r w:rsidR="00E60DFF">
              <w:rPr>
                <w:webHidden/>
              </w:rPr>
              <w:t>10</w:t>
            </w:r>
            <w:r w:rsidR="008C4409" w:rsidRPr="00321B51">
              <w:rPr>
                <w:webHidden/>
              </w:rPr>
              <w:fldChar w:fldCharType="end"/>
            </w:r>
          </w:hyperlink>
        </w:p>
        <w:p w14:paraId="74ACD76C" w14:textId="40F70632" w:rsidR="008C4409" w:rsidRPr="00321B51" w:rsidRDefault="00BD6255">
          <w:pPr>
            <w:pStyle w:val="21"/>
            <w:rPr>
              <w:rFonts w:eastAsiaTheme="minorEastAsia"/>
              <w:color w:val="auto"/>
              <w:lang w:eastAsia="bg-BG"/>
            </w:rPr>
          </w:pPr>
          <w:hyperlink w:anchor="_Toc494709509" w:history="1">
            <w:r w:rsidR="008C4409" w:rsidRPr="00321B51">
              <w:rPr>
                <w:rStyle w:val="af3"/>
              </w:rPr>
              <w:t>10. Процент на съфинансиране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_Toc494709509 \h </w:instrText>
            </w:r>
            <w:r w:rsidR="008C4409" w:rsidRPr="00321B51">
              <w:rPr>
                <w:webHidden/>
              </w:rPr>
            </w:r>
            <w:r w:rsidR="008C4409" w:rsidRPr="00321B51">
              <w:rPr>
                <w:webHidden/>
              </w:rPr>
              <w:fldChar w:fldCharType="separate"/>
            </w:r>
            <w:r w:rsidR="00E60DFF">
              <w:rPr>
                <w:webHidden/>
              </w:rPr>
              <w:t>11</w:t>
            </w:r>
            <w:r w:rsidR="008C4409" w:rsidRPr="00321B51">
              <w:rPr>
                <w:webHidden/>
              </w:rPr>
              <w:fldChar w:fldCharType="end"/>
            </w:r>
          </w:hyperlink>
        </w:p>
        <w:p w14:paraId="25D1342F" w14:textId="7F04ED48" w:rsidR="008C4409" w:rsidRPr="00321B51" w:rsidRDefault="00BD6255">
          <w:pPr>
            <w:pStyle w:val="21"/>
            <w:rPr>
              <w:rFonts w:eastAsiaTheme="minorEastAsia"/>
              <w:color w:val="auto"/>
              <w:lang w:eastAsia="bg-BG"/>
            </w:rPr>
          </w:pPr>
          <w:hyperlink w:anchor="_Toc494709510" w:history="1">
            <w:r w:rsidR="008C4409" w:rsidRPr="00321B51">
              <w:rPr>
                <w:rStyle w:val="af3"/>
              </w:rPr>
              <w:t>11. Допустими кандидати:</w:t>
            </w:r>
            <w:r w:rsidR="008C4409" w:rsidRPr="00321B51">
              <w:rPr>
                <w:webHidden/>
              </w:rPr>
              <w:tab/>
            </w:r>
            <w:r w:rsidR="008C4409" w:rsidRPr="00321B51">
              <w:rPr>
                <w:webHidden/>
              </w:rPr>
              <w:fldChar w:fldCharType="begin"/>
            </w:r>
            <w:r w:rsidR="008C4409" w:rsidRPr="00321B51">
              <w:rPr>
                <w:webHidden/>
              </w:rPr>
              <w:instrText xml:space="preserve"> PAGEREF _Toc494709510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65CBC2EB" w14:textId="0AA8F671" w:rsidR="008C4409" w:rsidRPr="00321B51" w:rsidRDefault="00BD6255" w:rsidP="00E60DFF">
          <w:pPr>
            <w:pStyle w:val="31"/>
            <w:rPr>
              <w:rFonts w:eastAsiaTheme="minorEastAsia"/>
              <w:lang w:eastAsia="bg-BG"/>
            </w:rPr>
          </w:pPr>
          <w:hyperlink w:anchor="_Toc494709511" w:history="1">
            <w:r w:rsidR="008C4409" w:rsidRPr="00321B51">
              <w:rPr>
                <w:rStyle w:val="af3"/>
                <w:rFonts w:ascii="Times New Roman" w:hAnsi="Times New Roman" w:cs="Times New Roman"/>
                <w:sz w:val="24"/>
                <w:szCs w:val="24"/>
              </w:rPr>
              <w:t>11.1 Критерии за 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_Toc494709511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55019506" w14:textId="5FB5845A" w:rsidR="008C4409" w:rsidRPr="00321B51" w:rsidRDefault="00BD6255" w:rsidP="00E60DFF">
          <w:pPr>
            <w:pStyle w:val="31"/>
            <w:rPr>
              <w:rFonts w:eastAsiaTheme="minorEastAsia"/>
              <w:lang w:eastAsia="bg-BG"/>
            </w:rPr>
          </w:pPr>
          <w:hyperlink w:anchor="_Toc494709512" w:history="1">
            <w:r w:rsidR="008C4409" w:rsidRPr="00321B51">
              <w:rPr>
                <w:rStyle w:val="af3"/>
                <w:rFonts w:ascii="Times New Roman" w:hAnsi="Times New Roman" w:cs="Times New Roman"/>
                <w:sz w:val="24"/>
                <w:szCs w:val="24"/>
              </w:rPr>
              <w:t>11.2 Критерии за недопустимост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_Toc494709512 \h </w:instrText>
            </w:r>
            <w:r w:rsidR="008C4409" w:rsidRPr="00321B51">
              <w:rPr>
                <w:webHidden/>
              </w:rPr>
            </w:r>
            <w:r w:rsidR="008C4409" w:rsidRPr="00321B51">
              <w:rPr>
                <w:webHidden/>
              </w:rPr>
              <w:fldChar w:fldCharType="separate"/>
            </w:r>
            <w:r w:rsidR="00E60DFF">
              <w:rPr>
                <w:webHidden/>
              </w:rPr>
              <w:t>14</w:t>
            </w:r>
            <w:r w:rsidR="008C4409" w:rsidRPr="00321B51">
              <w:rPr>
                <w:webHidden/>
              </w:rPr>
              <w:fldChar w:fldCharType="end"/>
            </w:r>
          </w:hyperlink>
        </w:p>
        <w:p w14:paraId="38BEF759" w14:textId="51A368E1" w:rsidR="008C4409" w:rsidRPr="00321B51" w:rsidRDefault="00BD6255">
          <w:pPr>
            <w:pStyle w:val="21"/>
            <w:rPr>
              <w:rFonts w:eastAsiaTheme="minorEastAsia"/>
              <w:color w:val="auto"/>
              <w:lang w:eastAsia="bg-BG"/>
            </w:rPr>
          </w:pPr>
          <w:hyperlink w:anchor="_Toc494709513" w:history="1">
            <w:r w:rsidR="008C4409" w:rsidRPr="00321B51">
              <w:rPr>
                <w:rStyle w:val="af3"/>
              </w:rPr>
              <w:t>12. Допустими партньори:</w:t>
            </w:r>
            <w:r w:rsidR="008C4409" w:rsidRPr="00321B51">
              <w:rPr>
                <w:webHidden/>
              </w:rPr>
              <w:tab/>
            </w:r>
            <w:r w:rsidR="008C4409" w:rsidRPr="00321B51">
              <w:rPr>
                <w:webHidden/>
              </w:rPr>
              <w:fldChar w:fldCharType="begin"/>
            </w:r>
            <w:r w:rsidR="008C4409" w:rsidRPr="00321B51">
              <w:rPr>
                <w:webHidden/>
              </w:rPr>
              <w:instrText xml:space="preserve"> PAGEREF _Toc494709513 \h </w:instrText>
            </w:r>
            <w:r w:rsidR="008C4409" w:rsidRPr="00321B51">
              <w:rPr>
                <w:webHidden/>
              </w:rPr>
            </w:r>
            <w:r w:rsidR="008C4409" w:rsidRPr="00321B51">
              <w:rPr>
                <w:webHidden/>
              </w:rPr>
              <w:fldChar w:fldCharType="separate"/>
            </w:r>
            <w:r w:rsidR="00E60DFF">
              <w:rPr>
                <w:webHidden/>
              </w:rPr>
              <w:t>18</w:t>
            </w:r>
            <w:r w:rsidR="008C4409" w:rsidRPr="00321B51">
              <w:rPr>
                <w:webHidden/>
              </w:rPr>
              <w:fldChar w:fldCharType="end"/>
            </w:r>
          </w:hyperlink>
        </w:p>
        <w:p w14:paraId="1123E7F4" w14:textId="04FB6711" w:rsidR="008C4409" w:rsidRPr="00321B51" w:rsidRDefault="00BD6255">
          <w:pPr>
            <w:pStyle w:val="21"/>
            <w:rPr>
              <w:rFonts w:eastAsiaTheme="minorEastAsia"/>
              <w:color w:val="auto"/>
              <w:lang w:eastAsia="bg-BG"/>
            </w:rPr>
          </w:pPr>
          <w:hyperlink w:anchor="_Toc494709514" w:history="1">
            <w:r w:rsidR="008C4409" w:rsidRPr="00321B51">
              <w:rPr>
                <w:rStyle w:val="af3"/>
              </w:rPr>
              <w:t>13. Дейности,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_Toc494709514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29862E38" w14:textId="3BADBD29" w:rsidR="008C4409" w:rsidRPr="00321B51" w:rsidRDefault="00BD6255" w:rsidP="00E60DFF">
          <w:pPr>
            <w:pStyle w:val="31"/>
            <w:rPr>
              <w:rFonts w:eastAsiaTheme="minorEastAsia"/>
              <w:lang w:eastAsia="bg-BG"/>
            </w:rPr>
          </w:pPr>
          <w:hyperlink w:anchor="_Toc494709515" w:history="1">
            <w:r w:rsidR="008C4409" w:rsidRPr="00321B51">
              <w:rPr>
                <w:rStyle w:val="af3"/>
                <w:rFonts w:ascii="Times New Roman" w:hAnsi="Times New Roman" w:cs="Times New Roman"/>
                <w:sz w:val="24"/>
                <w:szCs w:val="24"/>
              </w:rPr>
              <w:t>13.1. 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_Toc494709515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1BA7E520" w14:textId="133E9A66" w:rsidR="008C4409" w:rsidRPr="00321B51" w:rsidRDefault="00BD6255" w:rsidP="00E60DFF">
          <w:pPr>
            <w:pStyle w:val="31"/>
            <w:rPr>
              <w:rFonts w:eastAsiaTheme="minorEastAsia"/>
              <w:lang w:eastAsia="bg-BG"/>
            </w:rPr>
          </w:pPr>
          <w:hyperlink w:anchor="_Toc494709516" w:history="1">
            <w:r w:rsidR="008C4409" w:rsidRPr="00321B51">
              <w:rPr>
                <w:rStyle w:val="af3"/>
                <w:rFonts w:ascii="Times New Roman" w:hAnsi="Times New Roman" w:cs="Times New Roman"/>
                <w:sz w:val="24"/>
                <w:szCs w:val="24"/>
              </w:rPr>
              <w:t>13.2. Недопустими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_Toc494709516 \h </w:instrText>
            </w:r>
            <w:r w:rsidR="008C4409" w:rsidRPr="00321B51">
              <w:rPr>
                <w:webHidden/>
              </w:rPr>
            </w:r>
            <w:r w:rsidR="008C4409" w:rsidRPr="00321B51">
              <w:rPr>
                <w:webHidden/>
              </w:rPr>
              <w:fldChar w:fldCharType="separate"/>
            </w:r>
            <w:r w:rsidR="00E60DFF">
              <w:rPr>
                <w:webHidden/>
              </w:rPr>
              <w:t>22</w:t>
            </w:r>
            <w:r w:rsidR="008C4409" w:rsidRPr="00321B51">
              <w:rPr>
                <w:webHidden/>
              </w:rPr>
              <w:fldChar w:fldCharType="end"/>
            </w:r>
          </w:hyperlink>
        </w:p>
        <w:p w14:paraId="130DBABE" w14:textId="63B5FFFD" w:rsidR="008C4409" w:rsidRPr="00321B51" w:rsidRDefault="00BD6255">
          <w:pPr>
            <w:pStyle w:val="21"/>
            <w:rPr>
              <w:rFonts w:eastAsiaTheme="minorEastAsia"/>
              <w:color w:val="auto"/>
              <w:lang w:eastAsia="bg-BG"/>
            </w:rPr>
          </w:pPr>
          <w:hyperlink w:anchor="_Toc494709517" w:history="1">
            <w:r w:rsidR="008C4409" w:rsidRPr="00321B51">
              <w:rPr>
                <w:rStyle w:val="af3"/>
              </w:rPr>
              <w:t>14. Категории разходи,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_Toc494709517 \h </w:instrText>
            </w:r>
            <w:r w:rsidR="008C4409" w:rsidRPr="00321B51">
              <w:rPr>
                <w:webHidden/>
              </w:rPr>
            </w:r>
            <w:r w:rsidR="008C4409" w:rsidRPr="00321B51">
              <w:rPr>
                <w:webHidden/>
              </w:rPr>
              <w:fldChar w:fldCharType="separate"/>
            </w:r>
            <w:r w:rsidR="00E60DFF">
              <w:rPr>
                <w:webHidden/>
              </w:rPr>
              <w:t>24</w:t>
            </w:r>
            <w:r w:rsidR="008C4409" w:rsidRPr="00321B51">
              <w:rPr>
                <w:webHidden/>
              </w:rPr>
              <w:fldChar w:fldCharType="end"/>
            </w:r>
          </w:hyperlink>
        </w:p>
        <w:p w14:paraId="10C1D4C2" w14:textId="582A6AF2" w:rsidR="008C4409" w:rsidRPr="00321B51" w:rsidRDefault="00BD6255" w:rsidP="00E60DFF">
          <w:pPr>
            <w:pStyle w:val="31"/>
            <w:rPr>
              <w:rFonts w:eastAsiaTheme="minorEastAsia"/>
              <w:lang w:eastAsia="bg-BG"/>
            </w:rPr>
          </w:pPr>
          <w:hyperlink w:anchor="_Toc494709518" w:history="1">
            <w:r w:rsidR="008C4409" w:rsidRPr="00321B51">
              <w:rPr>
                <w:rStyle w:val="af3"/>
                <w:rFonts w:ascii="Times New Roman" w:hAnsi="Times New Roman" w:cs="Times New Roman"/>
                <w:sz w:val="24"/>
                <w:szCs w:val="24"/>
              </w:rPr>
              <w:t>14.1. Условия за допустимост на разходите</w:t>
            </w:r>
            <w:r w:rsidR="008C4409" w:rsidRPr="00321B51">
              <w:rPr>
                <w:webHidden/>
              </w:rPr>
              <w:tab/>
            </w:r>
            <w:r w:rsidR="008C4409" w:rsidRPr="00321B51">
              <w:rPr>
                <w:webHidden/>
              </w:rPr>
              <w:fldChar w:fldCharType="begin"/>
            </w:r>
            <w:r w:rsidR="008C4409" w:rsidRPr="00321B51">
              <w:rPr>
                <w:webHidden/>
              </w:rPr>
              <w:instrText xml:space="preserve"> PAGEREF _Toc494709518 \h </w:instrText>
            </w:r>
            <w:r w:rsidR="008C4409" w:rsidRPr="00321B51">
              <w:rPr>
                <w:webHidden/>
              </w:rPr>
            </w:r>
            <w:r w:rsidR="008C4409" w:rsidRPr="00321B51">
              <w:rPr>
                <w:webHidden/>
              </w:rPr>
              <w:fldChar w:fldCharType="separate"/>
            </w:r>
            <w:r w:rsidR="00E60DFF">
              <w:rPr>
                <w:webHidden/>
              </w:rPr>
              <w:t>25</w:t>
            </w:r>
            <w:r w:rsidR="008C4409" w:rsidRPr="00321B51">
              <w:rPr>
                <w:webHidden/>
              </w:rPr>
              <w:fldChar w:fldCharType="end"/>
            </w:r>
          </w:hyperlink>
        </w:p>
        <w:p w14:paraId="770BBFC2" w14:textId="6E559E2D" w:rsidR="008C4409" w:rsidRPr="00321B51" w:rsidRDefault="00BD6255" w:rsidP="00E60DFF">
          <w:pPr>
            <w:pStyle w:val="31"/>
            <w:rPr>
              <w:rFonts w:eastAsiaTheme="minorEastAsia"/>
              <w:lang w:eastAsia="bg-BG"/>
            </w:rPr>
          </w:pPr>
          <w:hyperlink w:anchor="_Toc494709519" w:history="1">
            <w:r w:rsidR="008C4409" w:rsidRPr="00321B51">
              <w:rPr>
                <w:rStyle w:val="af3"/>
                <w:rFonts w:ascii="Times New Roman" w:hAnsi="Times New Roman" w:cs="Times New Roman"/>
                <w:sz w:val="24"/>
                <w:szCs w:val="24"/>
              </w:rPr>
              <w:t>14.2. 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_Toc494709519 \h </w:instrText>
            </w:r>
            <w:r w:rsidR="008C4409" w:rsidRPr="00321B51">
              <w:rPr>
                <w:webHidden/>
              </w:rPr>
            </w:r>
            <w:r w:rsidR="008C4409" w:rsidRPr="00321B51">
              <w:rPr>
                <w:webHidden/>
              </w:rPr>
              <w:fldChar w:fldCharType="separate"/>
            </w:r>
            <w:r w:rsidR="00E60DFF">
              <w:rPr>
                <w:webHidden/>
              </w:rPr>
              <w:t>28</w:t>
            </w:r>
            <w:r w:rsidR="008C4409" w:rsidRPr="00321B51">
              <w:rPr>
                <w:webHidden/>
              </w:rPr>
              <w:fldChar w:fldCharType="end"/>
            </w:r>
          </w:hyperlink>
        </w:p>
        <w:p w14:paraId="18C878E7" w14:textId="65A22380" w:rsidR="008C4409" w:rsidRPr="00321B51" w:rsidRDefault="00BD6255" w:rsidP="00E60DFF">
          <w:pPr>
            <w:pStyle w:val="31"/>
            <w:rPr>
              <w:rFonts w:eastAsiaTheme="minorEastAsia"/>
              <w:lang w:eastAsia="bg-BG"/>
            </w:rPr>
          </w:pPr>
          <w:hyperlink w:anchor="_Toc494709520" w:history="1">
            <w:r w:rsidR="008C4409" w:rsidRPr="00321B51">
              <w:rPr>
                <w:rStyle w:val="af3"/>
                <w:rFonts w:ascii="Times New Roman" w:hAnsi="Times New Roman" w:cs="Times New Roman"/>
                <w:sz w:val="24"/>
                <w:szCs w:val="24"/>
              </w:rPr>
              <w:t>14.3. Недопустими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_Toc494709520 \h </w:instrText>
            </w:r>
            <w:r w:rsidR="008C4409" w:rsidRPr="00321B51">
              <w:rPr>
                <w:webHidden/>
              </w:rPr>
            </w:r>
            <w:r w:rsidR="008C4409" w:rsidRPr="00321B51">
              <w:rPr>
                <w:webHidden/>
              </w:rPr>
              <w:fldChar w:fldCharType="separate"/>
            </w:r>
            <w:r w:rsidR="00E60DFF">
              <w:rPr>
                <w:webHidden/>
              </w:rPr>
              <w:t>32</w:t>
            </w:r>
            <w:r w:rsidR="008C4409" w:rsidRPr="00321B51">
              <w:rPr>
                <w:webHidden/>
              </w:rPr>
              <w:fldChar w:fldCharType="end"/>
            </w:r>
          </w:hyperlink>
        </w:p>
        <w:p w14:paraId="5DD30078" w14:textId="1838C8C8" w:rsidR="008C4409" w:rsidRPr="00321B51" w:rsidRDefault="00BD6255">
          <w:pPr>
            <w:pStyle w:val="21"/>
            <w:rPr>
              <w:rFonts w:eastAsiaTheme="minorEastAsia"/>
              <w:color w:val="auto"/>
              <w:lang w:eastAsia="bg-BG"/>
            </w:rPr>
          </w:pPr>
          <w:hyperlink w:anchor="_Toc494709521" w:history="1">
            <w:r w:rsidR="008C4409" w:rsidRPr="00321B51">
              <w:rPr>
                <w:rStyle w:val="af3"/>
              </w:rPr>
              <w:t>15. Допустими целеви групи:</w:t>
            </w:r>
            <w:r w:rsidR="008C4409" w:rsidRPr="00321B51">
              <w:rPr>
                <w:webHidden/>
              </w:rPr>
              <w:tab/>
            </w:r>
            <w:r w:rsidR="008C4409" w:rsidRPr="00321B51">
              <w:rPr>
                <w:webHidden/>
              </w:rPr>
              <w:fldChar w:fldCharType="begin"/>
            </w:r>
            <w:r w:rsidR="008C4409" w:rsidRPr="00321B51">
              <w:rPr>
                <w:webHidden/>
              </w:rPr>
              <w:instrText xml:space="preserve"> PAGEREF _Toc494709521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02C5F189" w14:textId="557B6DFB" w:rsidR="008C4409" w:rsidRPr="00321B51" w:rsidRDefault="00BD6255">
          <w:pPr>
            <w:pStyle w:val="21"/>
            <w:rPr>
              <w:rFonts w:eastAsiaTheme="minorEastAsia"/>
              <w:color w:val="auto"/>
              <w:lang w:eastAsia="bg-BG"/>
            </w:rPr>
          </w:pPr>
          <w:hyperlink w:anchor="_Toc494709522" w:history="1">
            <w:r w:rsidR="008C4409" w:rsidRPr="00321B51">
              <w:rPr>
                <w:rStyle w:val="af3"/>
              </w:rPr>
              <w:t>16. Приложим режим на минимални/държавни помощи:</w:t>
            </w:r>
            <w:r w:rsidR="008C4409" w:rsidRPr="00321B51">
              <w:rPr>
                <w:webHidden/>
              </w:rPr>
              <w:tab/>
            </w:r>
            <w:r w:rsidR="008C4409" w:rsidRPr="00321B51">
              <w:rPr>
                <w:webHidden/>
              </w:rPr>
              <w:fldChar w:fldCharType="begin"/>
            </w:r>
            <w:r w:rsidR="008C4409" w:rsidRPr="00321B51">
              <w:rPr>
                <w:webHidden/>
              </w:rPr>
              <w:instrText xml:space="preserve"> PAGEREF _Toc494709522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7ECFC47F" w14:textId="7B372167" w:rsidR="008C4409" w:rsidRPr="00321B51" w:rsidRDefault="00BD6255">
          <w:pPr>
            <w:pStyle w:val="21"/>
            <w:rPr>
              <w:rFonts w:eastAsiaTheme="minorEastAsia"/>
              <w:color w:val="auto"/>
              <w:lang w:eastAsia="bg-BG"/>
            </w:rPr>
          </w:pPr>
          <w:hyperlink w:anchor="_Toc494709523" w:history="1">
            <w:r w:rsidR="008C4409" w:rsidRPr="00321B51">
              <w:rPr>
                <w:rStyle w:val="af3"/>
              </w:rPr>
              <w:t>17. Хоризонтални политики:</w:t>
            </w:r>
            <w:r w:rsidR="008C4409" w:rsidRPr="00321B51">
              <w:rPr>
                <w:webHidden/>
              </w:rPr>
              <w:tab/>
            </w:r>
            <w:r w:rsidR="008C4409" w:rsidRPr="00321B51">
              <w:rPr>
                <w:webHidden/>
              </w:rPr>
              <w:fldChar w:fldCharType="begin"/>
            </w:r>
            <w:r w:rsidR="008C4409" w:rsidRPr="00321B51">
              <w:rPr>
                <w:webHidden/>
              </w:rPr>
              <w:instrText xml:space="preserve"> PAGEREF _Toc494709523 \h </w:instrText>
            </w:r>
            <w:r w:rsidR="008C4409" w:rsidRPr="00321B51">
              <w:rPr>
                <w:webHidden/>
              </w:rPr>
            </w:r>
            <w:r w:rsidR="008C4409" w:rsidRPr="00321B51">
              <w:rPr>
                <w:webHidden/>
              </w:rPr>
              <w:fldChar w:fldCharType="separate"/>
            </w:r>
            <w:r w:rsidR="00E60DFF">
              <w:rPr>
                <w:webHidden/>
              </w:rPr>
              <w:t>40</w:t>
            </w:r>
            <w:r w:rsidR="008C4409" w:rsidRPr="00321B51">
              <w:rPr>
                <w:webHidden/>
              </w:rPr>
              <w:fldChar w:fldCharType="end"/>
            </w:r>
          </w:hyperlink>
        </w:p>
        <w:p w14:paraId="03B23108" w14:textId="0D0969DA" w:rsidR="008C4409" w:rsidRPr="00321B51" w:rsidRDefault="00BD6255">
          <w:pPr>
            <w:pStyle w:val="21"/>
            <w:rPr>
              <w:rFonts w:eastAsiaTheme="minorEastAsia"/>
              <w:color w:val="auto"/>
              <w:lang w:eastAsia="bg-BG"/>
            </w:rPr>
          </w:pPr>
          <w:hyperlink w:anchor="_Toc494709524" w:history="1">
            <w:r w:rsidR="008C4409" w:rsidRPr="00321B51">
              <w:rPr>
                <w:rStyle w:val="af3"/>
              </w:rPr>
              <w:t>18. Минимален и максимален срок за изпълнение на проекта:</w:t>
            </w:r>
            <w:r w:rsidR="008C4409" w:rsidRPr="00321B51">
              <w:rPr>
                <w:webHidden/>
              </w:rPr>
              <w:tab/>
            </w:r>
            <w:r w:rsidR="008C4409" w:rsidRPr="00321B51">
              <w:rPr>
                <w:webHidden/>
              </w:rPr>
              <w:fldChar w:fldCharType="begin"/>
            </w:r>
            <w:r w:rsidR="008C4409" w:rsidRPr="00321B51">
              <w:rPr>
                <w:webHidden/>
              </w:rPr>
              <w:instrText xml:space="preserve"> PAGEREF _Toc494709524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660FB1E2" w14:textId="3D2E865E" w:rsidR="008C4409" w:rsidRPr="00321B51" w:rsidRDefault="00BD6255">
          <w:pPr>
            <w:pStyle w:val="21"/>
            <w:rPr>
              <w:rFonts w:eastAsiaTheme="minorEastAsia"/>
              <w:color w:val="auto"/>
              <w:lang w:eastAsia="bg-BG"/>
            </w:rPr>
          </w:pPr>
          <w:hyperlink w:anchor="_Toc494709525" w:history="1">
            <w:r w:rsidR="008C4409" w:rsidRPr="00321B51">
              <w:rPr>
                <w:rStyle w:val="af3"/>
              </w:rPr>
              <w:t>19. Ред за оценяване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_Toc494709525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03280ADD" w14:textId="3CE5AA80" w:rsidR="008C4409" w:rsidRPr="00321B51" w:rsidRDefault="00BD6255">
          <w:pPr>
            <w:pStyle w:val="21"/>
            <w:rPr>
              <w:rFonts w:eastAsiaTheme="minorEastAsia"/>
              <w:color w:val="auto"/>
              <w:lang w:eastAsia="bg-BG"/>
            </w:rPr>
          </w:pPr>
          <w:hyperlink w:anchor="_Toc494709526" w:history="1">
            <w:r w:rsidR="008C4409" w:rsidRPr="00321B51">
              <w:rPr>
                <w:rStyle w:val="af3"/>
              </w:rPr>
              <w:t>20. Критерии и методика за оценка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_Toc494709526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32357902" w14:textId="51CACEFC" w:rsidR="008C4409" w:rsidRPr="00321B51" w:rsidRDefault="00BD6255">
          <w:pPr>
            <w:pStyle w:val="21"/>
            <w:rPr>
              <w:rFonts w:eastAsiaTheme="minorEastAsia"/>
              <w:color w:val="auto"/>
              <w:lang w:eastAsia="bg-BG"/>
            </w:rPr>
          </w:pPr>
          <w:hyperlink w:anchor="_Toc494709527" w:history="1">
            <w:r w:rsidR="008C4409" w:rsidRPr="00321B51">
              <w:rPr>
                <w:rStyle w:val="af3"/>
              </w:rPr>
              <w:t>21. Ред за оценяване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_Toc494709527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48700876" w14:textId="6C737542" w:rsidR="008C4409" w:rsidRPr="00321B51" w:rsidRDefault="00BD6255" w:rsidP="00E60DFF">
          <w:pPr>
            <w:pStyle w:val="31"/>
            <w:rPr>
              <w:rFonts w:eastAsiaTheme="minorEastAsia"/>
              <w:lang w:eastAsia="bg-BG"/>
            </w:rPr>
          </w:pPr>
          <w:hyperlink w:anchor="_Toc494709528" w:history="1">
            <w:r w:rsidR="008C4409" w:rsidRPr="00321B51">
              <w:rPr>
                <w:rStyle w:val="af3"/>
                <w:rFonts w:ascii="Times New Roman" w:hAnsi="Times New Roman" w:cs="Times New Roman"/>
                <w:sz w:val="24"/>
                <w:szCs w:val="24"/>
              </w:rPr>
              <w:t>21.1. Оценка на  административното съответствие и допустимостта</w:t>
            </w:r>
            <w:r w:rsidR="008C4409" w:rsidRPr="00321B51">
              <w:rPr>
                <w:webHidden/>
              </w:rPr>
              <w:tab/>
            </w:r>
            <w:r w:rsidR="008C4409" w:rsidRPr="00321B51">
              <w:rPr>
                <w:webHidden/>
              </w:rPr>
              <w:fldChar w:fldCharType="begin"/>
            </w:r>
            <w:r w:rsidR="008C4409" w:rsidRPr="00321B51">
              <w:rPr>
                <w:webHidden/>
              </w:rPr>
              <w:instrText xml:space="preserve"> PAGEREF _Toc494709528 \h </w:instrText>
            </w:r>
            <w:r w:rsidR="008C4409" w:rsidRPr="00321B51">
              <w:rPr>
                <w:webHidden/>
              </w:rPr>
            </w:r>
            <w:r w:rsidR="008C4409" w:rsidRPr="00321B51">
              <w:rPr>
                <w:webHidden/>
              </w:rPr>
              <w:fldChar w:fldCharType="separate"/>
            </w:r>
            <w:r w:rsidR="00E60DFF">
              <w:rPr>
                <w:webHidden/>
              </w:rPr>
              <w:t>43</w:t>
            </w:r>
            <w:r w:rsidR="008C4409" w:rsidRPr="00321B51">
              <w:rPr>
                <w:webHidden/>
              </w:rPr>
              <w:fldChar w:fldCharType="end"/>
            </w:r>
          </w:hyperlink>
        </w:p>
        <w:p w14:paraId="0D017355" w14:textId="24664B68" w:rsidR="008C4409" w:rsidRPr="00321B51" w:rsidRDefault="00BD6255" w:rsidP="00E60DFF">
          <w:pPr>
            <w:pStyle w:val="31"/>
            <w:rPr>
              <w:rFonts w:eastAsiaTheme="minorEastAsia"/>
              <w:lang w:eastAsia="bg-BG"/>
            </w:rPr>
          </w:pPr>
          <w:hyperlink w:anchor="_Toc494709529" w:history="1">
            <w:r w:rsidR="008C4409" w:rsidRPr="00321B51">
              <w:rPr>
                <w:rStyle w:val="af3"/>
                <w:rFonts w:ascii="Times New Roman" w:hAnsi="Times New Roman" w:cs="Times New Roman"/>
                <w:sz w:val="24"/>
                <w:szCs w:val="24"/>
              </w:rPr>
              <w:t>21.2. Техническа и финансова оценка</w:t>
            </w:r>
            <w:r w:rsidR="008C4409" w:rsidRPr="00321B51">
              <w:rPr>
                <w:webHidden/>
              </w:rPr>
              <w:tab/>
            </w:r>
            <w:r w:rsidR="008C4409" w:rsidRPr="00321B51">
              <w:rPr>
                <w:webHidden/>
              </w:rPr>
              <w:fldChar w:fldCharType="begin"/>
            </w:r>
            <w:r w:rsidR="008C4409" w:rsidRPr="00321B51">
              <w:rPr>
                <w:webHidden/>
              </w:rPr>
              <w:instrText xml:space="preserve"> PAGEREF _Toc494709529 \h </w:instrText>
            </w:r>
            <w:r w:rsidR="008C4409" w:rsidRPr="00321B51">
              <w:rPr>
                <w:webHidden/>
              </w:rPr>
            </w:r>
            <w:r w:rsidR="008C4409" w:rsidRPr="00321B51">
              <w:rPr>
                <w:webHidden/>
              </w:rPr>
              <w:fldChar w:fldCharType="separate"/>
            </w:r>
            <w:r w:rsidR="00E60DFF">
              <w:rPr>
                <w:webHidden/>
              </w:rPr>
              <w:t>44</w:t>
            </w:r>
            <w:r w:rsidR="008C4409" w:rsidRPr="00321B51">
              <w:rPr>
                <w:webHidden/>
              </w:rPr>
              <w:fldChar w:fldCharType="end"/>
            </w:r>
          </w:hyperlink>
        </w:p>
        <w:p w14:paraId="0BB23CE7" w14:textId="036793F3" w:rsidR="008C4409" w:rsidRPr="00321B51" w:rsidRDefault="00BD6255" w:rsidP="00E60DFF">
          <w:pPr>
            <w:pStyle w:val="31"/>
            <w:rPr>
              <w:rFonts w:eastAsiaTheme="minorEastAsia"/>
              <w:lang w:eastAsia="bg-BG"/>
            </w:rPr>
          </w:pPr>
          <w:hyperlink w:anchor="_Toc494709530" w:history="1">
            <w:r w:rsidR="005B224F" w:rsidRPr="00321B51">
              <w:rPr>
                <w:rStyle w:val="af3"/>
                <w:rFonts w:ascii="Times New Roman" w:hAnsi="Times New Roman" w:cs="Times New Roman"/>
                <w:sz w:val="24"/>
                <w:szCs w:val="24"/>
              </w:rPr>
              <w:t>22</w:t>
            </w:r>
            <w:r w:rsidR="008C4409" w:rsidRPr="00321B51">
              <w:rPr>
                <w:rStyle w:val="af3"/>
                <w:rFonts w:ascii="Times New Roman" w:hAnsi="Times New Roman" w:cs="Times New Roman"/>
                <w:sz w:val="24"/>
                <w:szCs w:val="24"/>
              </w:rPr>
              <w:t>. Критерии и методика за оценка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_Toc494709530 \h </w:instrText>
            </w:r>
            <w:r w:rsidR="008C4409" w:rsidRPr="00321B51">
              <w:rPr>
                <w:webHidden/>
              </w:rPr>
            </w:r>
            <w:r w:rsidR="008C4409" w:rsidRPr="00321B51">
              <w:rPr>
                <w:webHidden/>
              </w:rPr>
              <w:fldChar w:fldCharType="separate"/>
            </w:r>
            <w:r w:rsidR="00E60DFF">
              <w:rPr>
                <w:webHidden/>
              </w:rPr>
              <w:t>48</w:t>
            </w:r>
            <w:r w:rsidR="008C4409" w:rsidRPr="00321B51">
              <w:rPr>
                <w:webHidden/>
              </w:rPr>
              <w:fldChar w:fldCharType="end"/>
            </w:r>
          </w:hyperlink>
        </w:p>
        <w:p w14:paraId="4FD72629" w14:textId="37A38979" w:rsidR="008C4409" w:rsidRPr="00321B51" w:rsidRDefault="00BD6255">
          <w:pPr>
            <w:pStyle w:val="21"/>
            <w:rPr>
              <w:rFonts w:eastAsiaTheme="minorEastAsia"/>
              <w:color w:val="auto"/>
              <w:lang w:eastAsia="bg-BG"/>
            </w:rPr>
          </w:pPr>
          <w:hyperlink w:anchor="_Toc494709531" w:history="1">
            <w:r w:rsidR="008C4409" w:rsidRPr="00321B51">
              <w:rPr>
                <w:rStyle w:val="af3"/>
              </w:rPr>
              <w:t>23. Начин на подаване на проектните предложения/концепциите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_Toc494709531 \h </w:instrText>
            </w:r>
            <w:r w:rsidR="008C4409" w:rsidRPr="00321B51">
              <w:rPr>
                <w:webHidden/>
              </w:rPr>
            </w:r>
            <w:r w:rsidR="008C4409" w:rsidRPr="00321B51">
              <w:rPr>
                <w:webHidden/>
              </w:rPr>
              <w:fldChar w:fldCharType="separate"/>
            </w:r>
            <w:r w:rsidR="00E60DFF">
              <w:rPr>
                <w:webHidden/>
              </w:rPr>
              <w:t>50</w:t>
            </w:r>
            <w:r w:rsidR="008C4409" w:rsidRPr="00321B51">
              <w:rPr>
                <w:webHidden/>
              </w:rPr>
              <w:fldChar w:fldCharType="end"/>
            </w:r>
          </w:hyperlink>
        </w:p>
        <w:p w14:paraId="0BDFCE3C" w14:textId="17DDC9A4" w:rsidR="008C4409" w:rsidRPr="00321B51" w:rsidRDefault="00BD6255">
          <w:pPr>
            <w:pStyle w:val="21"/>
            <w:rPr>
              <w:rFonts w:eastAsiaTheme="minorEastAsia"/>
              <w:color w:val="auto"/>
              <w:lang w:eastAsia="bg-BG"/>
            </w:rPr>
          </w:pPr>
          <w:hyperlink w:anchor="_Toc494709532" w:history="1">
            <w:r w:rsidR="008C4409" w:rsidRPr="00321B51">
              <w:rPr>
                <w:rStyle w:val="af3"/>
              </w:rPr>
              <w:t>24. Списък на документите, които се подават на етап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_Toc494709532 \h </w:instrText>
            </w:r>
            <w:r w:rsidR="008C4409" w:rsidRPr="00321B51">
              <w:rPr>
                <w:webHidden/>
              </w:rPr>
            </w:r>
            <w:r w:rsidR="008C4409" w:rsidRPr="00321B51">
              <w:rPr>
                <w:webHidden/>
              </w:rPr>
              <w:fldChar w:fldCharType="separate"/>
            </w:r>
            <w:r w:rsidR="00E60DFF">
              <w:rPr>
                <w:webHidden/>
              </w:rPr>
              <w:t>52</w:t>
            </w:r>
            <w:r w:rsidR="008C4409" w:rsidRPr="00321B51">
              <w:rPr>
                <w:webHidden/>
              </w:rPr>
              <w:fldChar w:fldCharType="end"/>
            </w:r>
          </w:hyperlink>
        </w:p>
        <w:p w14:paraId="23F79762" w14:textId="328D5486" w:rsidR="008C4409" w:rsidRPr="00321B51" w:rsidRDefault="00BD6255">
          <w:pPr>
            <w:pStyle w:val="21"/>
            <w:rPr>
              <w:rFonts w:eastAsiaTheme="minorEastAsia"/>
              <w:color w:val="auto"/>
              <w:lang w:eastAsia="bg-BG"/>
            </w:rPr>
          </w:pPr>
          <w:hyperlink w:anchor="_Toc494709533" w:history="1">
            <w:r w:rsidR="008C4409" w:rsidRPr="00321B51">
              <w:rPr>
                <w:rStyle w:val="af3"/>
              </w:rPr>
              <w:t>25. Краен срок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_Toc494709533 \h </w:instrText>
            </w:r>
            <w:r w:rsidR="008C4409" w:rsidRPr="00321B51">
              <w:rPr>
                <w:webHidden/>
              </w:rPr>
            </w:r>
            <w:r w:rsidR="008C4409" w:rsidRPr="00321B51">
              <w:rPr>
                <w:webHidden/>
              </w:rPr>
              <w:fldChar w:fldCharType="separate"/>
            </w:r>
            <w:r w:rsidR="00E60DFF">
              <w:rPr>
                <w:webHidden/>
              </w:rPr>
              <w:t>60</w:t>
            </w:r>
            <w:r w:rsidR="008C4409" w:rsidRPr="00321B51">
              <w:rPr>
                <w:webHidden/>
              </w:rPr>
              <w:fldChar w:fldCharType="end"/>
            </w:r>
          </w:hyperlink>
        </w:p>
        <w:p w14:paraId="6C775E4B" w14:textId="72F05824" w:rsidR="008C4409" w:rsidRPr="00321B51" w:rsidRDefault="00BD6255">
          <w:pPr>
            <w:pStyle w:val="21"/>
            <w:rPr>
              <w:rFonts w:eastAsiaTheme="minorEastAsia"/>
              <w:color w:val="auto"/>
              <w:lang w:eastAsia="bg-BG"/>
            </w:rPr>
          </w:pPr>
          <w:hyperlink w:anchor="_Toc494709534" w:history="1">
            <w:r w:rsidR="008C4409" w:rsidRPr="00321B51">
              <w:rPr>
                <w:rStyle w:val="af3"/>
              </w:rPr>
              <w:t>26. Адрес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_Toc494709534 \h </w:instrText>
            </w:r>
            <w:r w:rsidR="008C4409" w:rsidRPr="00321B51">
              <w:rPr>
                <w:webHidden/>
              </w:rPr>
            </w:r>
            <w:r w:rsidR="008C4409" w:rsidRPr="00321B51">
              <w:rPr>
                <w:webHidden/>
              </w:rPr>
              <w:fldChar w:fldCharType="separate"/>
            </w:r>
            <w:r w:rsidR="00E60DFF">
              <w:rPr>
                <w:webHidden/>
              </w:rPr>
              <w:t>61</w:t>
            </w:r>
            <w:r w:rsidR="008C4409" w:rsidRPr="00321B51">
              <w:rPr>
                <w:webHidden/>
              </w:rPr>
              <w:fldChar w:fldCharType="end"/>
            </w:r>
          </w:hyperlink>
        </w:p>
        <w:p w14:paraId="3A695F54" w14:textId="09725784" w:rsidR="008C4409" w:rsidRPr="00321B51" w:rsidRDefault="00BD6255" w:rsidP="00E60DFF">
          <w:pPr>
            <w:pStyle w:val="31"/>
            <w:rPr>
              <w:rFonts w:eastAsiaTheme="minorEastAsia"/>
              <w:lang w:eastAsia="bg-BG"/>
            </w:rPr>
          </w:pPr>
          <w:hyperlink w:anchor="_Toc494709535" w:history="1">
            <w:r w:rsidR="008C4409" w:rsidRPr="00321B51">
              <w:rPr>
                <w:rStyle w:val="af3"/>
                <w:rFonts w:ascii="Times New Roman" w:hAnsi="Times New Roman" w:cs="Times New Roman"/>
                <w:sz w:val="24"/>
                <w:szCs w:val="24"/>
              </w:rPr>
              <w:t>27. Допълнителна информация</w:t>
            </w:r>
            <w:r w:rsidR="008C4409" w:rsidRPr="00321B51">
              <w:rPr>
                <w:webHidden/>
              </w:rPr>
              <w:tab/>
            </w:r>
            <w:r w:rsidR="008C4409" w:rsidRPr="00321B51">
              <w:rPr>
                <w:webHidden/>
              </w:rPr>
              <w:fldChar w:fldCharType="begin"/>
            </w:r>
            <w:r w:rsidR="008C4409" w:rsidRPr="00321B51">
              <w:rPr>
                <w:webHidden/>
              </w:rPr>
              <w:instrText xml:space="preserve"> PAGEREF _Toc494709535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777AEB8F" w14:textId="02940EF1" w:rsidR="008C4409" w:rsidRPr="00321B51" w:rsidRDefault="00BD6255">
          <w:pPr>
            <w:pStyle w:val="21"/>
            <w:rPr>
              <w:rFonts w:eastAsiaTheme="minorEastAsia"/>
              <w:color w:val="auto"/>
              <w:lang w:eastAsia="bg-BG"/>
            </w:rPr>
          </w:pPr>
          <w:hyperlink w:anchor="_Toc494709536" w:history="1">
            <w:r w:rsidR="008C4409" w:rsidRPr="00321B51">
              <w:rPr>
                <w:rStyle w:val="af3"/>
              </w:rPr>
              <w:t>27. 1 Процедура за уведомяване на не успелите и одобрените кандидати и сключване на договори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_Toc494709536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41ABC92E" w14:textId="050DD892" w:rsidR="008C4409" w:rsidRPr="00321B51" w:rsidRDefault="00BD6255">
          <w:pPr>
            <w:pStyle w:val="21"/>
            <w:rPr>
              <w:rFonts w:eastAsiaTheme="minorEastAsia"/>
              <w:color w:val="auto"/>
              <w:lang w:eastAsia="bg-BG"/>
            </w:rPr>
          </w:pPr>
          <w:hyperlink w:anchor="_Toc494709537" w:history="1">
            <w:r w:rsidR="008C4409" w:rsidRPr="00321B51">
              <w:rPr>
                <w:rStyle w:val="af3"/>
              </w:rPr>
              <w:t>27.2 Процедура за сключване на Административен договор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_Toc494709537 \h </w:instrText>
            </w:r>
            <w:r w:rsidR="008C4409" w:rsidRPr="00321B51">
              <w:rPr>
                <w:webHidden/>
              </w:rPr>
            </w:r>
            <w:r w:rsidR="008C4409" w:rsidRPr="00321B51">
              <w:rPr>
                <w:webHidden/>
              </w:rPr>
              <w:fldChar w:fldCharType="separate"/>
            </w:r>
            <w:r w:rsidR="00E60DFF">
              <w:rPr>
                <w:webHidden/>
              </w:rPr>
              <w:t>67</w:t>
            </w:r>
            <w:r w:rsidR="008C4409" w:rsidRPr="00321B51">
              <w:rPr>
                <w:webHidden/>
              </w:rPr>
              <w:fldChar w:fldCharType="end"/>
            </w:r>
          </w:hyperlink>
        </w:p>
        <w:p w14:paraId="7651C9D7" w14:textId="7F3A022C" w:rsidR="008C4409" w:rsidRDefault="00BD6255" w:rsidP="00E60DFF">
          <w:pPr>
            <w:pStyle w:val="31"/>
            <w:rPr>
              <w:rFonts w:eastAsiaTheme="minorEastAsia"/>
              <w:lang w:eastAsia="bg-BG"/>
            </w:rPr>
          </w:pPr>
          <w:hyperlink w:anchor="_Toc494709538" w:history="1">
            <w:r w:rsidR="008C4409" w:rsidRPr="00321B51">
              <w:rPr>
                <w:rStyle w:val="af3"/>
                <w:rFonts w:ascii="Times New Roman" w:hAnsi="Times New Roman" w:cs="Times New Roman"/>
                <w:sz w:val="24"/>
                <w:szCs w:val="24"/>
              </w:rPr>
              <w:t>28. Приложения към Условията за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_Toc494709538 \h </w:instrText>
            </w:r>
            <w:r w:rsidR="008C4409" w:rsidRPr="00321B51">
              <w:rPr>
                <w:webHidden/>
              </w:rPr>
            </w:r>
            <w:r w:rsidR="008C4409" w:rsidRPr="00321B51">
              <w:rPr>
                <w:webHidden/>
              </w:rPr>
              <w:fldChar w:fldCharType="separate"/>
            </w:r>
            <w:r w:rsidR="00E60DFF">
              <w:rPr>
                <w:webHidden/>
              </w:rPr>
              <w:t>70</w:t>
            </w:r>
            <w:r w:rsidR="008C4409" w:rsidRPr="00321B51">
              <w:rPr>
                <w:webHidden/>
              </w:rPr>
              <w:fldChar w:fldCharType="end"/>
            </w:r>
          </w:hyperlink>
        </w:p>
        <w:p w14:paraId="3AB93F08" w14:textId="77777777" w:rsidR="005C1072" w:rsidRPr="000A3DFA" w:rsidRDefault="005C1072" w:rsidP="007F042A">
          <w:pPr>
            <w:spacing w:after="0" w:line="360" w:lineRule="auto"/>
            <w:rPr>
              <w:rFonts w:ascii="Times New Roman" w:hAnsi="Times New Roman" w:cs="Times New Roman"/>
              <w:color w:val="000000" w:themeColor="text1"/>
              <w:sz w:val="24"/>
              <w:szCs w:val="24"/>
            </w:rPr>
          </w:pPr>
          <w:r w:rsidRPr="000A3DFA">
            <w:rPr>
              <w:rFonts w:ascii="Times New Roman" w:hAnsi="Times New Roman" w:cs="Times New Roman"/>
              <w:b/>
              <w:bCs/>
              <w:color w:val="000000" w:themeColor="text1"/>
              <w:sz w:val="24"/>
              <w:szCs w:val="24"/>
            </w:rPr>
            <w:fldChar w:fldCharType="end"/>
          </w:r>
        </w:p>
      </w:sdtContent>
    </w:sdt>
    <w:p w14:paraId="6FB3EE8B" w14:textId="77777777" w:rsidR="006C4D1A" w:rsidRPr="000A3DFA" w:rsidRDefault="006C4D1A" w:rsidP="00F26FF5">
      <w:pPr>
        <w:spacing w:after="0" w:line="276" w:lineRule="auto"/>
        <w:jc w:val="center"/>
        <w:rPr>
          <w:rFonts w:ascii="Times New Roman" w:hAnsi="Times New Roman" w:cs="Times New Roman"/>
          <w:b/>
          <w:color w:val="000000" w:themeColor="text1"/>
          <w:sz w:val="24"/>
          <w:szCs w:val="24"/>
        </w:rPr>
      </w:pPr>
    </w:p>
    <w:p w14:paraId="64D34620" w14:textId="77777777" w:rsidR="005C1072" w:rsidRPr="000A3DFA" w:rsidRDefault="005C1072" w:rsidP="00F26FF5">
      <w:pPr>
        <w:spacing w:after="0" w:line="276" w:lineRule="auto"/>
        <w:rPr>
          <w:rFonts w:ascii="Times New Roman" w:eastAsiaTheme="majorEastAsia" w:hAnsi="Times New Roman" w:cs="Times New Roman"/>
          <w:b/>
          <w:bCs/>
          <w:color w:val="000000" w:themeColor="text1"/>
          <w:sz w:val="24"/>
          <w:szCs w:val="24"/>
        </w:rPr>
      </w:pPr>
      <w:r w:rsidRPr="000A3DFA">
        <w:rPr>
          <w:rFonts w:ascii="Times New Roman" w:hAnsi="Times New Roman" w:cs="Times New Roman"/>
          <w:color w:val="000000" w:themeColor="text1"/>
          <w:sz w:val="24"/>
          <w:szCs w:val="24"/>
        </w:rPr>
        <w:br w:type="page"/>
      </w:r>
    </w:p>
    <w:p w14:paraId="18362EBE" w14:textId="77777777" w:rsidR="007057A9" w:rsidRPr="004770DA" w:rsidRDefault="002325A3" w:rsidP="004524A5">
      <w:pPr>
        <w:pStyle w:val="1"/>
      </w:pPr>
      <w:bookmarkStart w:id="0" w:name="_Toc494709500"/>
      <w:r w:rsidRPr="004770DA">
        <w:lastRenderedPageBreak/>
        <w:t xml:space="preserve">1. </w:t>
      </w:r>
      <w:r w:rsidR="007057A9" w:rsidRPr="004770DA">
        <w:t>Наименование на програмата:</w:t>
      </w:r>
      <w:bookmarkEnd w:id="0"/>
    </w:p>
    <w:p w14:paraId="71ABDED3" w14:textId="1F4375C2" w:rsidR="007F042A" w:rsidRPr="000A3DFA" w:rsidRDefault="0061539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Оперативна програма „Иновации и конкурентоспособност“ 2014-2020</w:t>
      </w:r>
    </w:p>
    <w:p w14:paraId="69904082" w14:textId="77777777" w:rsidR="007057A9" w:rsidRPr="004770DA" w:rsidRDefault="002325A3" w:rsidP="004524A5">
      <w:pPr>
        <w:pStyle w:val="1"/>
      </w:pPr>
      <w:bookmarkStart w:id="1" w:name="_Toc494709501"/>
      <w:r w:rsidRPr="004770DA">
        <w:t>2. Н</w:t>
      </w:r>
      <w:r w:rsidR="007057A9" w:rsidRPr="004770DA">
        <w:t>аименование на приоритетната ос</w:t>
      </w:r>
      <w:r w:rsidRPr="004770DA">
        <w:t>:</w:t>
      </w:r>
      <w:bookmarkEnd w:id="1"/>
    </w:p>
    <w:p w14:paraId="26B81A13" w14:textId="77777777" w:rsidR="00C12E77" w:rsidRPr="00C12E77" w:rsidRDefault="00615394" w:rsidP="00C12E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bookmarkStart w:id="2" w:name="_Toc406150199"/>
      <w:r w:rsidRPr="00C12E77">
        <w:rPr>
          <w:rFonts w:ascii="Times New Roman" w:hAnsi="Times New Roman" w:cs="Times New Roman"/>
          <w:sz w:val="24"/>
          <w:szCs w:val="24"/>
        </w:rPr>
        <w:t xml:space="preserve">Приоритетна ос 2: </w:t>
      </w:r>
      <w:r w:rsidR="00814736" w:rsidRPr="00C12E77">
        <w:rPr>
          <w:rFonts w:ascii="Times New Roman" w:hAnsi="Times New Roman" w:cs="Times New Roman"/>
          <w:sz w:val="24"/>
          <w:szCs w:val="24"/>
        </w:rPr>
        <w:t>„</w:t>
      </w:r>
      <w:r w:rsidRPr="00C12E77">
        <w:rPr>
          <w:rFonts w:ascii="Times New Roman" w:hAnsi="Times New Roman" w:cs="Times New Roman"/>
          <w:sz w:val="24"/>
          <w:szCs w:val="24"/>
        </w:rPr>
        <w:t>Предприемачество и капацитет за растеж на МСП</w:t>
      </w:r>
      <w:bookmarkEnd w:id="2"/>
      <w:r w:rsidR="00814736" w:rsidRPr="00C12E77">
        <w:rPr>
          <w:rFonts w:ascii="Times New Roman" w:hAnsi="Times New Roman" w:cs="Times New Roman"/>
          <w:sz w:val="24"/>
          <w:szCs w:val="24"/>
        </w:rPr>
        <w:t>“</w:t>
      </w:r>
      <w:bookmarkStart w:id="3" w:name="_Toc494709502"/>
    </w:p>
    <w:p w14:paraId="4F46EA02" w14:textId="7FCD1FA5" w:rsidR="006A2DB8" w:rsidRPr="004770DA" w:rsidRDefault="002325A3" w:rsidP="004524A5">
      <w:pPr>
        <w:pStyle w:val="1"/>
      </w:pPr>
      <w:r w:rsidRPr="004770DA">
        <w:t xml:space="preserve">3. </w:t>
      </w:r>
      <w:r w:rsidR="007057A9" w:rsidRPr="004770DA">
        <w:t>Наименование на процедурата</w:t>
      </w:r>
      <w:r w:rsidRPr="004770DA">
        <w:t>:</w:t>
      </w:r>
      <w:bookmarkEnd w:id="3"/>
    </w:p>
    <w:p w14:paraId="6E8C274A" w14:textId="28AAA239" w:rsidR="007F042A" w:rsidRPr="00C04D22" w:rsidRDefault="00192A92"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04D22">
        <w:rPr>
          <w:rFonts w:ascii="Times New Roman" w:hAnsi="Times New Roman"/>
          <w:sz w:val="24"/>
          <w:szCs w:val="24"/>
        </w:rPr>
        <w:t>BG16RFOP002-2.</w:t>
      </w:r>
      <w:r w:rsidR="002F0DDB">
        <w:rPr>
          <w:rFonts w:ascii="Times New Roman" w:hAnsi="Times New Roman"/>
          <w:sz w:val="24"/>
          <w:szCs w:val="24"/>
        </w:rPr>
        <w:t>110</w:t>
      </w:r>
      <w:r w:rsidRPr="00C04D22">
        <w:rPr>
          <w:rFonts w:ascii="Times New Roman" w:hAnsi="Times New Roman"/>
          <w:sz w:val="24"/>
          <w:szCs w:val="24"/>
        </w:rPr>
        <w:t xml:space="preserve"> МИГ Свиленград Ареал „Капацитет за растеж на МСП на територията на МИГ Свиленград Ареал “</w:t>
      </w:r>
    </w:p>
    <w:p w14:paraId="11CC368D" w14:textId="77777777" w:rsidR="00CB14EE" w:rsidRPr="004770DA" w:rsidRDefault="00CB14EE" w:rsidP="004524A5">
      <w:pPr>
        <w:pStyle w:val="1"/>
      </w:pPr>
      <w:bookmarkStart w:id="4" w:name="_Toc494709503"/>
      <w:r w:rsidRPr="004770DA">
        <w:t>4. Измерения по кодове:</w:t>
      </w:r>
      <w:bookmarkEnd w:id="4"/>
    </w:p>
    <w:p w14:paraId="62556BA7" w14:textId="77777777" w:rsidR="00093585" w:rsidRPr="000A3DFA" w:rsidRDefault="0009358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1 – Област на интервенция:</w:t>
      </w:r>
    </w:p>
    <w:p w14:paraId="020FDADC" w14:textId="77777777" w:rsidR="004B32ED"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1061E">
        <w:rPr>
          <w:rFonts w:ascii="Times New Roman" w:hAnsi="Times New Roman" w:cs="Times New Roman"/>
          <w:color w:val="000000" w:themeColor="text1"/>
          <w:sz w:val="24"/>
          <w:szCs w:val="24"/>
        </w:rPr>
        <w:t>097</w:t>
      </w:r>
      <w:r w:rsidR="0096530F" w:rsidRPr="000A3DFA">
        <w:rPr>
          <w:rFonts w:ascii="Times New Roman" w:hAnsi="Times New Roman" w:cs="Times New Roman"/>
          <w:color w:val="000000" w:themeColor="text1"/>
          <w:sz w:val="24"/>
          <w:szCs w:val="24"/>
        </w:rPr>
        <w:t xml:space="preserve"> </w:t>
      </w:r>
      <w:r w:rsidRPr="00C1061E">
        <w:rPr>
          <w:rFonts w:ascii="Times New Roman" w:hAnsi="Times New Roman" w:cs="Times New Roman"/>
          <w:color w:val="000000" w:themeColor="text1"/>
          <w:sz w:val="24"/>
          <w:szCs w:val="24"/>
        </w:rPr>
        <w:t xml:space="preserve"> </w:t>
      </w:r>
      <w:r w:rsidRPr="00D078CC">
        <w:rPr>
          <w:rFonts w:ascii="Times New Roman" w:hAnsi="Times New Roman" w:cs="Times New Roman"/>
          <w:color w:val="000000" w:themeColor="text1"/>
          <w:sz w:val="24"/>
          <w:szCs w:val="24"/>
        </w:rPr>
        <w:t>Инициативи за водено от общностите местно развитие в градски и селски райони</w:t>
      </w:r>
    </w:p>
    <w:p w14:paraId="354BE0B2" w14:textId="77777777" w:rsidR="006A6C43" w:rsidRPr="00C1061E"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AF7DE0A"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2 – Форма на финансиране:</w:t>
      </w:r>
    </w:p>
    <w:p w14:paraId="520DFA27"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01 Безвъзмездни средства</w:t>
      </w:r>
      <w:r w:rsidR="004B32ED" w:rsidRPr="000A3DFA">
        <w:rPr>
          <w:rFonts w:ascii="Times New Roman" w:hAnsi="Times New Roman" w:cs="Times New Roman"/>
          <w:color w:val="000000" w:themeColor="text1"/>
          <w:sz w:val="24"/>
          <w:szCs w:val="24"/>
        </w:rPr>
        <w:t>.</w:t>
      </w:r>
    </w:p>
    <w:p w14:paraId="7D427FC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7B2E19A3" w14:textId="77777777" w:rsidR="004B32ED"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3 – Вид територия</w:t>
      </w:r>
      <w:r w:rsidR="004B32ED" w:rsidRPr="000A3DFA">
        <w:rPr>
          <w:rFonts w:ascii="Times New Roman" w:hAnsi="Times New Roman" w:cs="Times New Roman"/>
          <w:color w:val="000000" w:themeColor="text1"/>
          <w:sz w:val="24"/>
          <w:szCs w:val="24"/>
        </w:rPr>
        <w:t>:</w:t>
      </w:r>
      <w:r w:rsidR="00494CCD">
        <w:rPr>
          <w:rFonts w:ascii="Times New Roman" w:hAnsi="Times New Roman" w:cs="Times New Roman"/>
          <w:color w:val="000000" w:themeColor="text1"/>
          <w:sz w:val="24"/>
          <w:szCs w:val="24"/>
        </w:rPr>
        <w:t xml:space="preserve"> </w:t>
      </w:r>
      <w:r w:rsidR="004B32ED" w:rsidRPr="000A3DFA">
        <w:rPr>
          <w:rFonts w:ascii="Times New Roman" w:hAnsi="Times New Roman" w:cs="Times New Roman"/>
          <w:color w:val="000000" w:themeColor="text1"/>
          <w:sz w:val="24"/>
          <w:szCs w:val="24"/>
        </w:rPr>
        <w:t>07 Не се прилага.</w:t>
      </w:r>
    </w:p>
    <w:p w14:paraId="329A82B8"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C959419" w14:textId="77777777" w:rsidR="004B32ED" w:rsidRPr="000A3DFA" w:rsidRDefault="004B32E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4 – Териториални механизми за изпълнение:</w:t>
      </w:r>
    </w:p>
    <w:p w14:paraId="415F7952" w14:textId="77777777" w:rsidR="00CA3B0D" w:rsidRPr="000A3DFA"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A55D5B">
        <w:rPr>
          <w:rFonts w:ascii="Times New Roman" w:hAnsi="Times New Roman" w:cs="Times New Roman"/>
          <w:color w:val="000000" w:themeColor="text1"/>
          <w:sz w:val="24"/>
          <w:szCs w:val="24"/>
        </w:rPr>
        <w:t xml:space="preserve">06 </w:t>
      </w:r>
      <w:r w:rsidR="00CA3B0D" w:rsidRPr="000A3DFA">
        <w:rPr>
          <w:rFonts w:ascii="Times New Roman" w:hAnsi="Times New Roman" w:cs="Times New Roman"/>
          <w:color w:val="000000" w:themeColor="text1"/>
          <w:sz w:val="24"/>
          <w:szCs w:val="24"/>
        </w:rPr>
        <w:t>Водено от общностите местно развитие</w:t>
      </w:r>
    </w:p>
    <w:p w14:paraId="06BE0A8C"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3A74279"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5 – Тематична цел</w:t>
      </w:r>
    </w:p>
    <w:p w14:paraId="02ADFCD8" w14:textId="77777777" w:rsidR="00CA3B0D" w:rsidRPr="000A3DFA" w:rsidRDefault="00C0036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ТЦ3</w:t>
      </w:r>
      <w:r w:rsidR="00CA3B0D" w:rsidRPr="000A3DFA">
        <w:rPr>
          <w:rFonts w:ascii="Times New Roman" w:hAnsi="Times New Roman" w:cs="Times New Roman"/>
          <w:color w:val="000000" w:themeColor="text1"/>
          <w:sz w:val="24"/>
          <w:szCs w:val="24"/>
        </w:rPr>
        <w:t xml:space="preserve"> Повишаване на конкурентоспособността на малките и средните предприятия</w:t>
      </w:r>
    </w:p>
    <w:p w14:paraId="67C9989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BF107C5"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Измерение 6 </w:t>
      </w:r>
      <w:r w:rsidR="00FB4F0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Вторична тема по ЕСФ</w:t>
      </w:r>
      <w:r w:rsidR="00494C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08 Не се прилага</w:t>
      </w:r>
    </w:p>
    <w:p w14:paraId="28C3F2A6" w14:textId="77777777" w:rsidR="006A6C43" w:rsidRPr="00A55D5B" w:rsidRDefault="006A6C43"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409B3B" w14:textId="77777777" w:rsidR="004A58E5" w:rsidRPr="004524A5" w:rsidRDefault="00A939F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w:t>
      </w:r>
      <w:r w:rsidR="004524A5">
        <w:rPr>
          <w:rFonts w:ascii="Times New Roman" w:hAnsi="Times New Roman" w:cs="Times New Roman"/>
          <w:color w:val="000000" w:themeColor="text1"/>
          <w:sz w:val="24"/>
          <w:szCs w:val="24"/>
        </w:rPr>
        <w:t xml:space="preserve">змерение 7 </w:t>
      </w:r>
      <w:r w:rsidR="00FB4F0A">
        <w:rPr>
          <w:rFonts w:ascii="Times New Roman" w:hAnsi="Times New Roman" w:cs="Times New Roman"/>
          <w:color w:val="000000" w:themeColor="text1"/>
          <w:sz w:val="24"/>
          <w:szCs w:val="24"/>
        </w:rPr>
        <w:t xml:space="preserve">- </w:t>
      </w:r>
      <w:r w:rsidR="004524A5">
        <w:rPr>
          <w:rFonts w:ascii="Times New Roman" w:hAnsi="Times New Roman" w:cs="Times New Roman"/>
          <w:color w:val="000000" w:themeColor="text1"/>
          <w:sz w:val="24"/>
          <w:szCs w:val="24"/>
        </w:rPr>
        <w:t>Икономическа дейност</w:t>
      </w:r>
    </w:p>
    <w:p w14:paraId="498FE081" w14:textId="77777777" w:rsidR="00090F19" w:rsidRPr="004770DA" w:rsidRDefault="004A58E5" w:rsidP="004524A5">
      <w:pPr>
        <w:pStyle w:val="1"/>
      </w:pPr>
      <w:bookmarkStart w:id="5" w:name="_Toc494709504"/>
      <w:r w:rsidRPr="004770DA">
        <w:t>5. Териториален обхват:</w:t>
      </w:r>
      <w:bookmarkEnd w:id="5"/>
    </w:p>
    <w:p w14:paraId="2FA485F0" w14:textId="28E7A8B9" w:rsidR="007F042A" w:rsidRPr="00DC6AFD" w:rsidRDefault="00E03956" w:rsidP="00AF37A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Проектите по процедурата следва да бъдат изпълнени на територията на </w:t>
      </w:r>
      <w:r w:rsidR="00CA3B0D" w:rsidRPr="000A3DFA">
        <w:rPr>
          <w:rFonts w:ascii="Times New Roman" w:hAnsi="Times New Roman" w:cs="Times New Roman"/>
          <w:color w:val="000000" w:themeColor="text1"/>
          <w:sz w:val="24"/>
          <w:szCs w:val="24"/>
        </w:rPr>
        <w:t xml:space="preserve">МИГ </w:t>
      </w:r>
      <w:r w:rsidR="00DC6AFD">
        <w:rPr>
          <w:rFonts w:ascii="Times New Roman" w:hAnsi="Times New Roman" w:cs="Times New Roman"/>
          <w:color w:val="000000" w:themeColor="text1"/>
          <w:sz w:val="24"/>
          <w:szCs w:val="24"/>
        </w:rPr>
        <w:t>„</w:t>
      </w:r>
      <w:r w:rsidR="00C04D22">
        <w:rPr>
          <w:rFonts w:ascii="Times New Roman" w:hAnsi="Times New Roman" w:cs="Times New Roman"/>
          <w:color w:val="000000" w:themeColor="text1"/>
          <w:sz w:val="24"/>
          <w:szCs w:val="24"/>
        </w:rPr>
        <w:t>Свиленград ареал</w:t>
      </w:r>
      <w:r w:rsidR="00DC6AFD">
        <w:rPr>
          <w:rFonts w:ascii="Times New Roman" w:hAnsi="Times New Roman" w:cs="Times New Roman"/>
          <w:color w:val="000000" w:themeColor="text1"/>
          <w:sz w:val="24"/>
          <w:szCs w:val="24"/>
        </w:rPr>
        <w:t>“.</w:t>
      </w:r>
    </w:p>
    <w:p w14:paraId="55B31E94" w14:textId="77777777" w:rsidR="00901F98" w:rsidRDefault="004A58E5" w:rsidP="00AF37AA">
      <w:pPr>
        <w:pStyle w:val="1"/>
      </w:pPr>
      <w:bookmarkStart w:id="6" w:name="_Toc494709505"/>
      <w:r w:rsidRPr="004770DA">
        <w:lastRenderedPageBreak/>
        <w:t>6</w:t>
      </w:r>
      <w:r w:rsidR="002325A3" w:rsidRPr="004770DA">
        <w:t>. Цели</w:t>
      </w:r>
      <w:r w:rsidR="00901F98" w:rsidRPr="004770DA">
        <w:t xml:space="preserve"> </w:t>
      </w:r>
      <w:r w:rsidR="00FC0697" w:rsidRPr="004770DA">
        <w:t xml:space="preserve">на предоставяната </w:t>
      </w:r>
      <w:r w:rsidR="00BA2E00" w:rsidRPr="004770DA">
        <w:rPr>
          <w:rFonts w:eastAsia="Calibri"/>
        </w:rPr>
        <w:t>безвъзмездна финансова помощ</w:t>
      </w:r>
      <w:r w:rsidR="00FC0697" w:rsidRPr="004770DA">
        <w:t xml:space="preserve"> по </w:t>
      </w:r>
      <w:r w:rsidR="00901F98" w:rsidRPr="004770DA">
        <w:t>п</w:t>
      </w:r>
      <w:r w:rsidR="00FC0697" w:rsidRPr="004770DA">
        <w:t>роцедура</w:t>
      </w:r>
      <w:r w:rsidR="00916B5A" w:rsidRPr="004770DA">
        <w:t>та</w:t>
      </w:r>
      <w:r w:rsidR="00CB14EE" w:rsidRPr="004770DA">
        <w:t xml:space="preserve"> и очаквани резултати</w:t>
      </w:r>
      <w:r w:rsidR="00EC3AF3" w:rsidRPr="004770DA">
        <w:rPr>
          <w:rStyle w:val="a8"/>
          <w:rFonts w:ascii="Times New Roman" w:hAnsi="Times New Roman" w:cs="Times New Roman"/>
          <w:color w:val="0070C0"/>
          <w:sz w:val="24"/>
          <w:szCs w:val="24"/>
        </w:rPr>
        <w:footnoteReference w:id="1"/>
      </w:r>
      <w:r w:rsidR="00916B5A" w:rsidRPr="004770DA">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73B01" w:rsidRPr="00007F3D" w14:paraId="5CEFFA5A" w14:textId="77777777" w:rsidTr="002645B1">
        <w:tc>
          <w:tcPr>
            <w:tcW w:w="10031" w:type="dxa"/>
            <w:tcBorders>
              <w:top w:val="single" w:sz="4" w:space="0" w:color="auto"/>
              <w:left w:val="single" w:sz="4" w:space="0" w:color="auto"/>
              <w:bottom w:val="nil"/>
              <w:right w:val="single" w:sz="4" w:space="0" w:color="auto"/>
            </w:tcBorders>
            <w:shd w:val="clear" w:color="auto" w:fill="auto"/>
          </w:tcPr>
          <w:p w14:paraId="695F894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Прилагането на подхода ВОМР чрез многофондово финансиране през програмния период 2014–2020 цели постигането на ефект от концентриране на подкрепата върху интервенциите, които имат най-голяма добавена стойност по отношение на преодоляването на икономическите и социалните различия в развитието на териториите. Подходът ВОМР се прилага „отдолу-нагоре", местните общности формулират, избират и одобряват приоритети и стратегия за интегрирано развитие на територията и общностите и допринася за постигане на специфичните цели за всяка програма. Основните предизвикателства, свързани с прилагане на ВОМР в програмен период 2014-2020, засягат необходимостта от създаване на заетост (вкл. алтернативна) и използване на местния потенциал за растеж, като се цели подобряване качеството на живот и доходите на местното население. </w:t>
            </w:r>
          </w:p>
          <w:p w14:paraId="1123703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МСП са ключов източник за създаване на работни места, нови бизнес идеи, източник са на предприемачески умения и иновации. В този аспект усилията за създаване на конкурентоспособна и устойчива икономика са в пряка зависимост от подпомагане развитието на МСП на територията на МИГ Свиленград Ареал за преодоляване на идентифицираните от МИГ Свиленград Ареал изразени негативни процеси по отношение на възможностите за развитие. </w:t>
            </w:r>
          </w:p>
          <w:p w14:paraId="1794E9FD" w14:textId="1B690EEB" w:rsidR="00373B01" w:rsidRPr="00C146F5" w:rsidRDefault="00373B01" w:rsidP="002645B1">
            <w:pPr>
              <w:jc w:val="both"/>
              <w:rPr>
                <w:rFonts w:ascii="Times New Roman" w:hAnsi="Times New Roman" w:cs="Times New Roman"/>
                <w:sz w:val="24"/>
                <w:szCs w:val="24"/>
              </w:rPr>
            </w:pPr>
            <w:r w:rsidRPr="00C146F5">
              <w:rPr>
                <w:rFonts w:ascii="Times New Roman" w:hAnsi="Times New Roman" w:cs="Times New Roman"/>
                <w:b/>
                <w:sz w:val="24"/>
                <w:szCs w:val="24"/>
              </w:rPr>
              <w:t xml:space="preserve">Цел и мисия на СВОМР: </w:t>
            </w:r>
            <w:r w:rsidRPr="00C146F5">
              <w:rPr>
                <w:rFonts w:ascii="Times New Roman" w:hAnsi="Times New Roman" w:cs="Times New Roman"/>
                <w:sz w:val="24"/>
                <w:szCs w:val="24"/>
              </w:rPr>
              <w:t xml:space="preserve">Устойчив растеж на цялата територия на МИГ Свиленград Ареал чрез подобряване </w:t>
            </w:r>
            <w:r w:rsidR="004E3D4E" w:rsidRPr="00C146F5">
              <w:rPr>
                <w:rFonts w:ascii="Times New Roman" w:hAnsi="Times New Roman" w:cs="Times New Roman"/>
                <w:sz w:val="24"/>
                <w:szCs w:val="24"/>
              </w:rPr>
              <w:t>конкурентостта</w:t>
            </w:r>
            <w:r w:rsidRPr="00C146F5">
              <w:rPr>
                <w:rFonts w:ascii="Times New Roman" w:hAnsi="Times New Roman" w:cs="Times New Roman"/>
                <w:sz w:val="24"/>
                <w:szCs w:val="24"/>
              </w:rPr>
              <w:t xml:space="preserve">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p w14:paraId="46E159FD" w14:textId="7510438C" w:rsidR="00373B01" w:rsidRPr="00C146F5" w:rsidRDefault="00373B01" w:rsidP="002645B1">
            <w:pPr>
              <w:jc w:val="both"/>
              <w:rPr>
                <w:rFonts w:ascii="Times New Roman" w:eastAsia="Times New Roman" w:hAnsi="Times New Roman" w:cs="Times New Roman"/>
                <w:b/>
                <w:sz w:val="24"/>
                <w:szCs w:val="24"/>
              </w:rPr>
            </w:pPr>
            <w:r w:rsidRPr="00C146F5">
              <w:rPr>
                <w:rFonts w:ascii="Times New Roman" w:eastAsia="Times New Roman" w:hAnsi="Times New Roman" w:cs="Times New Roman"/>
                <w:b/>
                <w:sz w:val="24"/>
                <w:szCs w:val="24"/>
                <w:u w:val="single"/>
              </w:rPr>
              <w:t>Приоритет 4</w:t>
            </w:r>
            <w:r w:rsidRPr="00C146F5">
              <w:rPr>
                <w:rFonts w:ascii="Times New Roman" w:eastAsia="Times New Roman" w:hAnsi="Times New Roman" w:cs="Times New Roman"/>
                <w:sz w:val="24"/>
                <w:szCs w:val="24"/>
              </w:rPr>
              <w:t xml:space="preserve"> Повишаване на </w:t>
            </w:r>
            <w:r w:rsidR="004E3D4E" w:rsidRPr="00C146F5">
              <w:rPr>
                <w:rFonts w:ascii="Times New Roman" w:eastAsia="Times New Roman" w:hAnsi="Times New Roman" w:cs="Times New Roman"/>
                <w:sz w:val="24"/>
                <w:szCs w:val="24"/>
              </w:rPr>
              <w:t>конкурентоспособността</w:t>
            </w:r>
            <w:r w:rsidRPr="00C146F5">
              <w:rPr>
                <w:rFonts w:ascii="Times New Roman" w:eastAsia="Times New Roman" w:hAnsi="Times New Roman" w:cs="Times New Roman"/>
                <w:sz w:val="24"/>
                <w:szCs w:val="24"/>
              </w:rPr>
              <w:t xml:space="preserve"> на МСП и насърчаване на предприемачеството</w:t>
            </w:r>
          </w:p>
          <w:p w14:paraId="4E4618E6"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b/>
                <w:sz w:val="24"/>
                <w:szCs w:val="24"/>
              </w:rPr>
              <w:t>Специфична цел 1</w:t>
            </w:r>
            <w:r w:rsidRPr="00C146F5">
              <w:rPr>
                <w:rFonts w:ascii="Times New Roman" w:eastAsia="Times New Roman" w:hAnsi="Times New Roman" w:cs="Times New Roman"/>
                <w:sz w:val="24"/>
                <w:szCs w:val="24"/>
              </w:rPr>
              <w:t xml:space="preserve"> – Повишаване на производителността на МСП на територията на МИГ  Свиленград Ареал .</w:t>
            </w:r>
          </w:p>
          <w:p w14:paraId="72360F29"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sz w:val="24"/>
                <w:szCs w:val="24"/>
              </w:rPr>
              <w:t xml:space="preserve">Тази цел е насочена към подобряване на състоянието на съществуващи на територията на МИГ малки и средни предприятия чрез подобряване на производството в МСП, като се предвижда реализация на инвестиции в дълготрайни материални и нематериални активи, въвеждане на нови технологични решения, разширяване и подобряване на производствения процес чрез  подобряване на продукти и услуги. </w:t>
            </w:r>
          </w:p>
          <w:p w14:paraId="1EF08F6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p>
          <w:p w14:paraId="0DBA57D6" w14:textId="7ACB2EAB" w:rsidR="00373B01" w:rsidRPr="00C146F5" w:rsidRDefault="00373B01" w:rsidP="002645B1">
            <w:pPr>
              <w:spacing w:line="23" w:lineRule="atLeast"/>
              <w:jc w:val="both"/>
              <w:rPr>
                <w:rFonts w:ascii="Times New Roman" w:hAnsi="Times New Roman" w:cs="Times New Roman"/>
                <w:sz w:val="24"/>
                <w:szCs w:val="24"/>
              </w:rPr>
            </w:pPr>
            <w:r w:rsidRPr="00C146F5">
              <w:rPr>
                <w:rFonts w:ascii="Times New Roman" w:hAnsi="Times New Roman" w:cs="Times New Roman"/>
                <w:sz w:val="24"/>
                <w:szCs w:val="24"/>
              </w:rPr>
              <w:t xml:space="preserve">Финансирането на проекти, на територията на МИГ Свиленград Ареал, чрез стратегията за ВОМР по ОПИК цели повишаване на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на местната икономика и възможностите за създаване на местен бизнес, включително чрез диверсификация и алтернативни дейности, в т.ч. подобряване нивото на оцеляване на МСП, включително чрез насърчаване на предприемачеството с цел създаване на нови устойчиви предприятия, </w:t>
            </w:r>
            <w:r w:rsidRPr="00C146F5">
              <w:rPr>
                <w:rFonts w:ascii="Times New Roman" w:hAnsi="Times New Roman" w:cs="Times New Roman"/>
                <w:sz w:val="24"/>
                <w:szCs w:val="24"/>
              </w:rPr>
              <w:lastRenderedPageBreak/>
              <w:t>които да осигуряват заетост на местното население и възможности за повишаване на доходите му и/или повишаване на производителността и експортния потенциал на МСП на територията на МИГ Свиленград Ареал.</w:t>
            </w:r>
          </w:p>
          <w:p w14:paraId="40C8520F" w14:textId="77777777" w:rsidR="00373B01" w:rsidRPr="00C146F5" w:rsidRDefault="00373B01" w:rsidP="002645B1">
            <w:pPr>
              <w:ind w:right="166"/>
              <w:jc w:val="both"/>
              <w:outlineLvl w:val="1"/>
              <w:rPr>
                <w:rFonts w:ascii="Times New Roman" w:hAnsi="Times New Roman" w:cs="Times New Roman"/>
                <w:bCs/>
                <w:sz w:val="24"/>
                <w:szCs w:val="24"/>
              </w:rPr>
            </w:pPr>
          </w:p>
          <w:p w14:paraId="6000CE75" w14:textId="3742C8BB" w:rsidR="00373B01" w:rsidRPr="00C146F5" w:rsidRDefault="00373B01" w:rsidP="002645B1">
            <w:pPr>
              <w:tabs>
                <w:tab w:val="left" w:pos="284"/>
              </w:tabs>
              <w:ind w:right="-1"/>
              <w:jc w:val="both"/>
              <w:rPr>
                <w:rFonts w:ascii="Times New Roman" w:hAnsi="Times New Roman" w:cs="Times New Roman"/>
                <w:sz w:val="24"/>
                <w:szCs w:val="24"/>
              </w:rPr>
            </w:pPr>
            <w:r w:rsidRPr="00C146F5">
              <w:rPr>
                <w:rFonts w:ascii="Times New Roman" w:hAnsi="Times New Roman" w:cs="Times New Roman"/>
                <w:b/>
                <w:sz w:val="24"/>
                <w:szCs w:val="24"/>
                <w:u w:val="single"/>
              </w:rPr>
              <w:t>Обосновка:</w:t>
            </w:r>
            <w:r w:rsidR="009F4EC7" w:rsidRPr="00096F27">
              <w:rPr>
                <w:rFonts w:ascii="Times New Roman" w:hAnsi="Times New Roman" w:cs="Times New Roman"/>
                <w:b/>
                <w:sz w:val="24"/>
                <w:szCs w:val="24"/>
                <w:u w:val="single"/>
              </w:rPr>
              <w:t xml:space="preserve"> </w:t>
            </w:r>
            <w:r w:rsidRPr="00C146F5">
              <w:rPr>
                <w:rFonts w:ascii="Times New Roman" w:hAnsi="Times New Roman" w:cs="Times New Roman"/>
                <w:sz w:val="24"/>
                <w:szCs w:val="24"/>
              </w:rPr>
              <w:t xml:space="preserve">Свиленград принадлежи към общините със смесен тип икономика, като водещи позиции има секторът на транспорта, следван от търговията, услугите и преработващата промишленост. Територията на МИГ Свиленград Ареал не е изключение от тенденцията в национален мащаб в местните икономики на селските общини да преобладават микро- и малките предприятия. Те са и основен двигател на икономиката и съответно техният потенциал трябва да бъде развиван в посока увеличаване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им. Броят на нефинансовите предприятия се увеличава плавно почти три пъти спрямо базовата 2007г. и достига е 1 276 през 2014г., като по този начин в общината са съсредоточени 11,3% от нефинансовите предприятия в областта. Обемът на произведената продукция на стоки и услуги също е с тенденция към плавно нарастване, като през 2014 г. се увеличава с над 200% спрямо базовата 2007 г., общите нетни приходи от продажби през 2014 г. са  почти два пъти повече, а при разходите за придобиване на ДМА се наблюдава ръст от около 28%.  В макроикономически план това показва положителна промяна в стопанското развитие, като е налице своеобразна икономическа стабилност. Изхождайки от природо-географските, гранични и транспортно-комуникационни функции на територията на МИГ Свиленград Ареал, развитието й в бъдеще се очертава основно в селскостопанското производство, повишаване капацитета на малките и средни предприятия в сферата на преработвателната промишленост и услугите, в транспортното обслужване с международно значение, в туризма и в развитието на трансграничното сътрудничество с Турция и Гърция.</w:t>
            </w:r>
          </w:p>
          <w:p w14:paraId="19FD4383" w14:textId="77777777" w:rsidR="00373B01" w:rsidRPr="00C146F5" w:rsidRDefault="00373B01" w:rsidP="002645B1">
            <w:pPr>
              <w:tabs>
                <w:tab w:val="left" w:pos="284"/>
              </w:tabs>
              <w:ind w:right="-1"/>
              <w:jc w:val="both"/>
              <w:rPr>
                <w:rFonts w:ascii="Times New Roman" w:hAnsi="Times New Roman" w:cs="Times New Roman"/>
                <w:sz w:val="24"/>
                <w:szCs w:val="24"/>
              </w:rPr>
            </w:pPr>
          </w:p>
          <w:p w14:paraId="2413A660" w14:textId="77777777" w:rsidR="00373B01" w:rsidRPr="00C146F5" w:rsidRDefault="00373B01" w:rsidP="002645B1">
            <w:pPr>
              <w:jc w:val="both"/>
              <w:rPr>
                <w:rFonts w:ascii="Times New Roman" w:hAnsi="Times New Roman" w:cs="Times New Roman"/>
                <w:b/>
                <w:sz w:val="24"/>
                <w:szCs w:val="24"/>
              </w:rPr>
            </w:pPr>
            <w:r w:rsidRPr="00C146F5">
              <w:rPr>
                <w:rFonts w:ascii="Times New Roman" w:hAnsi="Times New Roman" w:cs="Times New Roman"/>
                <w:b/>
                <w:sz w:val="24"/>
                <w:szCs w:val="24"/>
              </w:rPr>
              <w:t>Очаквани резултати:</w:t>
            </w:r>
          </w:p>
          <w:p w14:paraId="20E263A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С финансирането на проекти по ОПИК на територията на МИГ Свиленград Ареал чрез одобрената стратегия за местно развитие се очаква получаването на следните резултати съответстващи на  </w:t>
            </w:r>
            <w:r w:rsidRPr="00C146F5">
              <w:rPr>
                <w:rFonts w:ascii="Times New Roman" w:hAnsi="Times New Roman" w:cs="Times New Roman"/>
                <w:b/>
                <w:bCs/>
                <w:sz w:val="24"/>
                <w:szCs w:val="24"/>
                <w:lang w:eastAsia="bg-BG"/>
              </w:rPr>
              <w:t>Приоритетна ос 2 "Предприемачество и капацитет за растеж на МСП“</w:t>
            </w:r>
            <w:r w:rsidRPr="00C146F5">
              <w:rPr>
                <w:rFonts w:ascii="Times New Roman" w:hAnsi="Times New Roman" w:cs="Times New Roman"/>
                <w:sz w:val="24"/>
                <w:szCs w:val="24"/>
                <w:lang w:eastAsia="bg-BG"/>
              </w:rPr>
              <w:t xml:space="preserve">, Инвестиционен приоритет 2.2. „Капацитет за растеж на МСП”: </w:t>
            </w:r>
          </w:p>
          <w:p w14:paraId="2816C38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 </w:t>
            </w:r>
          </w:p>
          <w:p w14:paraId="0C581087" w14:textId="6EBDDE08"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w:t>
            </w:r>
            <w:r w:rsidR="00A52D45"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създаване на потенциал за експорт и подобряване на пазарното присъствие на МСП на териториите на МИГ Свиленград Ареал чрез внедрени технологии за подобряване на производствения процес, постигане на по-висока производителност, намаляване на производствените разходи и оптимизиране на производствената верига, съответно повишаване на добавената стойност и активно включване във всички етапи на веригата за </w:t>
            </w:r>
            <w:r w:rsidRPr="00C146F5">
              <w:rPr>
                <w:rFonts w:ascii="Times New Roman" w:hAnsi="Times New Roman" w:cs="Times New Roman"/>
                <w:sz w:val="24"/>
                <w:szCs w:val="24"/>
                <w:lang w:eastAsia="bg-BG"/>
              </w:rPr>
              <w:lastRenderedPageBreak/>
              <w:t xml:space="preserve">добавяне на стойност. </w:t>
            </w:r>
          </w:p>
          <w:p w14:paraId="297EAF8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w:t>
            </w:r>
            <w:r w:rsidRPr="00C146F5">
              <w:rPr>
                <w:rFonts w:ascii="Times New Roman" w:hAnsi="Times New Roman" w:cs="Times New Roman"/>
                <w:i/>
                <w:iCs/>
                <w:sz w:val="24"/>
                <w:szCs w:val="24"/>
                <w:lang w:eastAsia="bg-BG"/>
              </w:rPr>
              <w:t xml:space="preserve">подкрепа за специализирани услуги за МСП за развитие и укрепване на управленския капацитет; </w:t>
            </w:r>
          </w:p>
          <w:p w14:paraId="7C20DFDA" w14:textId="7F6A6D9C"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капацитета на МСП на териториите на МИГ Свиленград Ареал за работа в интензивно конкурентни пазари, с повишаване на </w:t>
            </w:r>
            <w:r w:rsidR="006971FB"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и респективно на устойчивото им присъствие на външни пазари. </w:t>
            </w:r>
          </w:p>
          <w:p w14:paraId="14389A2C"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подкрепа за растеж на предприятия чрез подобряване на качеството и насърчаване на използването на ИКТ и услуги; </w:t>
            </w:r>
          </w:p>
          <w:p w14:paraId="5A7F33B8" w14:textId="77777777" w:rsidR="00373B01" w:rsidRPr="00007F3D"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В резултат на подкрепените дейности се очаква подобряване на капацитета на МСП на териториите на МИГ Свиленград Ареал за правене на конкурентен и устойчив на динамично развиващите се пазари бизнес, както и за осигуряване на по-бърз и по-лесен достъп до чужди пазари чрез повишаване и подобряване на използването на ИКТ и услуги, и оптимизиране на процесите за управление на бизнеса.</w:t>
            </w:r>
          </w:p>
        </w:tc>
      </w:tr>
      <w:tr w:rsidR="00373B01" w:rsidRPr="00007F3D" w14:paraId="062EE48D" w14:textId="77777777" w:rsidTr="002645B1">
        <w:tc>
          <w:tcPr>
            <w:tcW w:w="10031" w:type="dxa"/>
            <w:tcBorders>
              <w:top w:val="nil"/>
              <w:bottom w:val="nil"/>
            </w:tcBorders>
            <w:shd w:val="clear" w:color="auto" w:fill="auto"/>
          </w:tcPr>
          <w:p w14:paraId="7D6426BC" w14:textId="77777777" w:rsidR="00373B01" w:rsidRPr="00007F3D" w:rsidRDefault="00373B01" w:rsidP="002645B1">
            <w:pPr>
              <w:jc w:val="both"/>
              <w:rPr>
                <w:rFonts w:ascii="Times New Roman" w:hAnsi="Times New Roman" w:cs="Times New Roman"/>
                <w:sz w:val="24"/>
                <w:szCs w:val="24"/>
              </w:rPr>
            </w:pPr>
          </w:p>
        </w:tc>
      </w:tr>
      <w:tr w:rsidR="00373B01" w:rsidRPr="00007F3D" w14:paraId="0E964927" w14:textId="77777777" w:rsidTr="00373B01">
        <w:tblPrEx>
          <w:tblBorders>
            <w:top w:val="none" w:sz="0" w:space="0" w:color="auto"/>
            <w:insideH w:val="none" w:sz="0" w:space="0" w:color="auto"/>
            <w:insideV w:val="none" w:sz="0" w:space="0" w:color="auto"/>
          </w:tblBorders>
        </w:tblPrEx>
        <w:trPr>
          <w:trHeight w:val="80"/>
        </w:trPr>
        <w:tc>
          <w:tcPr>
            <w:tcW w:w="10031" w:type="dxa"/>
            <w:shd w:val="clear" w:color="auto" w:fill="auto"/>
          </w:tcPr>
          <w:p w14:paraId="50029837" w14:textId="77777777" w:rsidR="00373B01" w:rsidRPr="00007F3D" w:rsidRDefault="00373B01" w:rsidP="002645B1">
            <w:pPr>
              <w:spacing w:line="23" w:lineRule="atLeast"/>
              <w:ind w:right="-165"/>
              <w:rPr>
                <w:rFonts w:ascii="Times New Roman" w:hAnsi="Times New Roman" w:cs="Times New Roman"/>
                <w:sz w:val="24"/>
                <w:szCs w:val="24"/>
              </w:rPr>
            </w:pPr>
          </w:p>
        </w:tc>
      </w:tr>
    </w:tbl>
    <w:p w14:paraId="571CD461" w14:textId="77777777" w:rsidR="00373B01" w:rsidRPr="00373B01" w:rsidRDefault="00373B01" w:rsidP="00373B01"/>
    <w:p w14:paraId="0423F825" w14:textId="77777777" w:rsidR="00776637" w:rsidRPr="004770DA" w:rsidRDefault="00776637" w:rsidP="00AF37AA">
      <w:pPr>
        <w:pStyle w:val="1"/>
        <w:rPr>
          <w:rFonts w:eastAsia="Times New Roman"/>
        </w:rPr>
      </w:pPr>
      <w:bookmarkStart w:id="7" w:name="_Toc494709506"/>
      <w:r w:rsidRPr="004770DA">
        <w:rPr>
          <w:rFonts w:eastAsia="Times New Roman"/>
        </w:rPr>
        <w:t>7. Индикатори:</w:t>
      </w:r>
      <w:bookmarkEnd w:id="7"/>
    </w:p>
    <w:p w14:paraId="72F350C5" w14:textId="2FA270AE"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12286">
        <w:rPr>
          <w:rFonts w:ascii="Times New Roman" w:eastAsia="Calibri" w:hAnsi="Times New Roman" w:cs="Times New Roman"/>
          <w:b/>
          <w:color w:val="000000" w:themeColor="text1"/>
          <w:sz w:val="24"/>
          <w:szCs w:val="24"/>
        </w:rPr>
        <w:t>В съответствие със специфичната цел на Инвестиционен приоритет 2.2 „Капацитет за растеж на МСП“ на ОПИК</w:t>
      </w:r>
      <w:r w:rsidR="00683B50">
        <w:rPr>
          <w:rFonts w:ascii="Times New Roman" w:eastAsia="Calibri" w:hAnsi="Times New Roman" w:cs="Times New Roman"/>
          <w:b/>
          <w:color w:val="000000" w:themeColor="text1"/>
          <w:sz w:val="24"/>
          <w:szCs w:val="24"/>
        </w:rPr>
        <w:t>, проектните</w:t>
      </w:r>
      <w:r w:rsidRPr="00312286">
        <w:rPr>
          <w:rFonts w:ascii="Times New Roman" w:eastAsia="Calibri" w:hAnsi="Times New Roman" w:cs="Times New Roman"/>
          <w:b/>
          <w:color w:val="000000" w:themeColor="text1"/>
          <w:sz w:val="24"/>
          <w:szCs w:val="24"/>
        </w:rPr>
        <w:t xml:space="preserve"> предложения по настоящата процедура следва задължително да водят до постигането на следните индикатори:</w:t>
      </w:r>
    </w:p>
    <w:p w14:paraId="7B6E91A5" w14:textId="77777777"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BD65F5A" w14:textId="77777777" w:rsidR="00312286" w:rsidRPr="00422728" w:rsidRDefault="00312286" w:rsidP="000E2104">
      <w:pPr>
        <w:pStyle w:val="2"/>
        <w:rPr>
          <w:rFonts w:eastAsia="Calibri"/>
          <w:sz w:val="24"/>
          <w:szCs w:val="24"/>
        </w:rPr>
      </w:pPr>
      <w:r w:rsidRPr="00422728">
        <w:rPr>
          <w:rFonts w:eastAsia="Calibri"/>
          <w:sz w:val="24"/>
          <w:szCs w:val="24"/>
        </w:rPr>
        <w:t>7.1 Индикатори за резултат и изпълнение съгласно оперативната програма</w:t>
      </w:r>
    </w:p>
    <w:p w14:paraId="0B306682" w14:textId="1167A061"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резултат:</w:t>
      </w:r>
    </w:p>
    <w:p w14:paraId="5AD946E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Обем на износа на стоки и услуги, реализиран от МСП ;</w:t>
      </w:r>
    </w:p>
    <w:p w14:paraId="5C81857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Производителност на МСП;</w:t>
      </w:r>
    </w:p>
    <w:p w14:paraId="6FEA5B5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CBEA6B2" w14:textId="57691AD2" w:rsidR="00B244BF" w:rsidRPr="00B244BF"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Pr>
          <w:rFonts w:ascii="Times New Roman" w:eastAsia="Calibri" w:hAnsi="Times New Roman" w:cs="Times New Roman"/>
          <w:color w:val="000000" w:themeColor="text1"/>
          <w:sz w:val="24"/>
          <w:szCs w:val="24"/>
        </w:rPr>
        <w:t xml:space="preserve"> </w:t>
      </w:r>
      <w:r w:rsidR="00B244BF" w:rsidRPr="00B244BF">
        <w:rPr>
          <w:rFonts w:ascii="Times New Roman" w:eastAsia="Calibri" w:hAnsi="Times New Roman" w:cs="Times New Roman"/>
          <w:color w:val="000000" w:themeColor="text1"/>
          <w:sz w:val="24"/>
          <w:szCs w:val="24"/>
        </w:rPr>
        <w:t xml:space="preserve">Информацията за постигане на индикаторите за резултат </w:t>
      </w:r>
      <w:r>
        <w:rPr>
          <w:rFonts w:ascii="Times New Roman" w:eastAsia="Calibri" w:hAnsi="Times New Roman" w:cs="Times New Roman"/>
          <w:color w:val="000000" w:themeColor="text1"/>
          <w:sz w:val="24"/>
          <w:szCs w:val="24"/>
        </w:rPr>
        <w:t xml:space="preserve">по ОПИК </w:t>
      </w:r>
      <w:r w:rsidR="00B244BF" w:rsidRPr="00B244BF">
        <w:rPr>
          <w:rFonts w:ascii="Times New Roman" w:eastAsia="Calibri" w:hAnsi="Times New Roman" w:cs="Times New Roman"/>
          <w:color w:val="000000" w:themeColor="text1"/>
          <w:sz w:val="24"/>
          <w:szCs w:val="24"/>
        </w:rPr>
        <w:t>ще бъде предоставяна служебно от НСИ и не се попълват от кандидатите в ИСУН. При сключване на договор за предоставяне на безвъзмездна финансова помощ бенефициентът следва да попълни Декларация по образец за съгласие за ползване на данни на предприятието за целите на отчитането по Оперативната програма.</w:t>
      </w:r>
      <w:r>
        <w:rPr>
          <w:rFonts w:ascii="Times New Roman" w:eastAsia="Calibri" w:hAnsi="Times New Roman" w:cs="Times New Roman"/>
          <w:color w:val="000000" w:themeColor="text1"/>
          <w:sz w:val="24"/>
          <w:szCs w:val="24"/>
        </w:rPr>
        <w:t xml:space="preserve"> Проектните предложения задължително трябва да имат принос към постигането на поне един от посочените индикатори за резултат в съответствие с обявената процедура. </w:t>
      </w:r>
    </w:p>
    <w:p w14:paraId="090DB3D7"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DB8E2EB" w14:textId="7B2A857A"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изпълнение:</w:t>
      </w:r>
    </w:p>
    <w:p w14:paraId="68E64AD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Брой на предприятията, получаващи подкрепа;</w:t>
      </w:r>
    </w:p>
    <w:p w14:paraId="65D191C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lastRenderedPageBreak/>
        <w:t>-</w:t>
      </w:r>
      <w:r w:rsidRPr="00B244BF">
        <w:rPr>
          <w:rFonts w:ascii="Times New Roman" w:eastAsia="Calibri" w:hAnsi="Times New Roman" w:cs="Times New Roman"/>
          <w:color w:val="000000" w:themeColor="text1"/>
          <w:sz w:val="24"/>
          <w:szCs w:val="24"/>
        </w:rPr>
        <w:tab/>
        <w:t>Брой подпомогнати  предприятията, получаващи безвъзмездни средства</w:t>
      </w:r>
    </w:p>
    <w:p w14:paraId="33D2C60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Частни инвестиции, допълващи публичната подкрепа за предприятията (хил. евро)</w:t>
      </w:r>
    </w:p>
    <w:p w14:paraId="3802E31D"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1CFA5B3" w14:textId="750E1234"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sidRPr="00B244BF">
        <w:rPr>
          <w:rFonts w:ascii="Times New Roman" w:eastAsia="Calibri" w:hAnsi="Times New Roman" w:cs="Times New Roman"/>
          <w:color w:val="000000" w:themeColor="text1"/>
          <w:sz w:val="24"/>
          <w:szCs w:val="24"/>
        </w:rPr>
        <w:t xml:space="preserve">  Кандидатите не предоставят информация за следните индикатори за изпълнение: „Брой на предприятията, получаващи подкрепа“ и „Частни инвестиции, допълващи публичната подкрепа за предприятията“. Посочените индикатори се отчитат служебно по програмата.</w:t>
      </w:r>
    </w:p>
    <w:p w14:paraId="7614BFE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1512249C"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При разписване на проектното предложение в електронната платформа ИСУН2020, в  т. 8 от Формуляра за кандидатстване, кандидатите следва да попълнят данни за базова/целева стойност по следния индикатор за изпълнение: „Брой на предприятията, получаващи безвъзмездни средства“.</w:t>
      </w:r>
    </w:p>
    <w:p w14:paraId="7413308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в  т. 8  от  Формуляра  за  кандидатстване  и  стойностите  получени  при оценката  на  проектното  предложение,  за  изпълнение  на  проекта  в  договора  за безвъзмездна  финансова  помощ  ще  се  вземат  предвид  стойностите,  получени  при оценката на проектното предложение.</w:t>
      </w:r>
    </w:p>
    <w:p w14:paraId="34DB1822" w14:textId="77777777" w:rsidR="00312286" w:rsidRPr="00422728" w:rsidRDefault="00312286" w:rsidP="000E2104">
      <w:pPr>
        <w:pStyle w:val="2"/>
        <w:rPr>
          <w:rFonts w:eastAsia="Calibri"/>
          <w:sz w:val="24"/>
          <w:szCs w:val="24"/>
        </w:rPr>
      </w:pPr>
      <w:r w:rsidRPr="00422728">
        <w:rPr>
          <w:rFonts w:eastAsia="Calibri"/>
          <w:sz w:val="24"/>
          <w:szCs w:val="24"/>
        </w:rPr>
        <w:t>7.2 Индивидуални за процедурата и проектите индикатори за изпълнение</w:t>
      </w:r>
    </w:p>
    <w:p w14:paraId="5439AADD"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В случай че е приложимо, кандидатите предоставят информация и за следните индикатори:</w:t>
      </w:r>
    </w:p>
    <w:p w14:paraId="59A0DA86"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 Брой проекти с дейности за подобряване на ресурсната ефективност.</w:t>
      </w:r>
    </w:p>
    <w:p w14:paraId="0AEC386D" w14:textId="77777777" w:rsidR="00C20ED8" w:rsidRDefault="00C20ED8"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16D47D9"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при подаване на Формуляра за кандидатстване и стойностите, коригирани в следствие на етап оценка  на  проектното  предложение,  за  изпълнение на проекта в договора  за  безвъзмездна  финансова  помощ  ще  се вземат предвид коригираните стойности на индикаторите,  получени  на  етап оценка на проектното предложение.</w:t>
      </w:r>
    </w:p>
    <w:p w14:paraId="586A094D"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b/>
          <w:color w:val="000000" w:themeColor="text1"/>
          <w:sz w:val="24"/>
          <w:szCs w:val="24"/>
        </w:rPr>
        <w:t>ВАЖНО:</w:t>
      </w:r>
      <w:r w:rsidRPr="0003545B">
        <w:rPr>
          <w:rFonts w:ascii="Times New Roman" w:eastAsia="Calibri" w:hAnsi="Times New Roman" w:cs="Times New Roman"/>
          <w:color w:val="000000" w:themeColor="text1"/>
          <w:sz w:val="24"/>
          <w:szCs w:val="24"/>
        </w:rPr>
        <w:t xml:space="preserve"> Повече информация по отчитането на индикаторите за резултат и изпълнение по ОПИК е дадена в Информация за отчитането на индикаторите за резултат и изпълнение по ОПИК (актуализирана версия), разработени от Управляващия орган и НСИ, публикувани на следния интернет адрес:</w:t>
      </w:r>
    </w:p>
    <w:p w14:paraId="78AB324A" w14:textId="76F3B506" w:rsidR="00854BBD"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https://opic.bg/public/opik/operativna-programa</w:t>
      </w:r>
    </w:p>
    <w:p w14:paraId="7E749B9D" w14:textId="77777777" w:rsidR="0003545B"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AB52ECD" w14:textId="6AB9D95C" w:rsidR="00312286"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С</w:t>
      </w:r>
      <w:r w:rsidR="003F32EB">
        <w:rPr>
          <w:rFonts w:ascii="Times New Roman" w:eastAsia="Calibri" w:hAnsi="Times New Roman" w:cs="Times New Roman"/>
          <w:b/>
          <w:color w:val="000000" w:themeColor="text1"/>
          <w:sz w:val="24"/>
          <w:szCs w:val="24"/>
        </w:rPr>
        <w:t>пецифични за територията индикатори</w:t>
      </w:r>
      <w:r>
        <w:rPr>
          <w:rFonts w:ascii="Times New Roman" w:eastAsia="Calibri" w:hAnsi="Times New Roman" w:cs="Times New Roman"/>
          <w:b/>
          <w:color w:val="000000" w:themeColor="text1"/>
          <w:sz w:val="24"/>
          <w:szCs w:val="24"/>
        </w:rPr>
        <w:t xml:space="preserve"> съгласно СВОМР относими към съответната процедура</w:t>
      </w:r>
      <w:r w:rsidR="003F32EB">
        <w:rPr>
          <w:rFonts w:ascii="Times New Roman" w:eastAsia="Calibri" w:hAnsi="Times New Roman" w:cs="Times New Roman"/>
          <w:b/>
          <w:color w:val="000000" w:themeColor="text1"/>
          <w:sz w:val="24"/>
          <w:szCs w:val="24"/>
        </w:rPr>
        <w:t>:</w:t>
      </w:r>
    </w:p>
    <w:p w14:paraId="7F05515E"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sz w:val="24"/>
          <w:szCs w:val="24"/>
        </w:rPr>
      </w:pPr>
      <w:r w:rsidRPr="00B244BF">
        <w:rPr>
          <w:rFonts w:ascii="Times New Roman" w:eastAsia="Calibri" w:hAnsi="Times New Roman" w:cs="Times New Roman"/>
          <w:b/>
          <w:color w:val="000000"/>
          <w:sz w:val="24"/>
          <w:szCs w:val="24"/>
        </w:rPr>
        <w:t>Индикатори за резултат:</w:t>
      </w:r>
    </w:p>
    <w:p w14:paraId="0A0F9051"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B244BF">
        <w:rPr>
          <w:rFonts w:ascii="Times New Roman" w:eastAsia="Calibri" w:hAnsi="Times New Roman" w:cs="Times New Roman"/>
          <w:b/>
          <w:color w:val="000000"/>
          <w:sz w:val="24"/>
          <w:szCs w:val="24"/>
        </w:rPr>
        <w:t>-</w:t>
      </w:r>
      <w:r w:rsidRPr="00B244BF">
        <w:rPr>
          <w:rFonts w:ascii="Times New Roman" w:eastAsia="Calibri" w:hAnsi="Times New Roman" w:cs="Times New Roman"/>
          <w:b/>
          <w:color w:val="000000"/>
          <w:sz w:val="24"/>
          <w:szCs w:val="24"/>
        </w:rPr>
        <w:tab/>
      </w:r>
      <w:r w:rsidRPr="0003545B">
        <w:rPr>
          <w:rFonts w:ascii="Times New Roman" w:eastAsia="Calibri" w:hAnsi="Times New Roman" w:cs="Times New Roman"/>
          <w:color w:val="000000"/>
          <w:sz w:val="24"/>
          <w:szCs w:val="24"/>
        </w:rPr>
        <w:t>Брой   предприятия  получаващи безвъзмездни средства</w:t>
      </w:r>
    </w:p>
    <w:p w14:paraId="12202EF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Частни инвестиции, допълващи публичната подкрепа за предприятията (безвъзмездни средства)</w:t>
      </w:r>
    </w:p>
    <w:p w14:paraId="77B7AF9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Проекти включващи инвестиции в иновативна технология</w:t>
      </w:r>
    </w:p>
    <w:p w14:paraId="3FF63339" w14:textId="77777777" w:rsidR="00A73814"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317F2AA" w14:textId="77777777" w:rsidR="003F32EB" w:rsidRPr="00A55D5B"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i/>
          <w:color w:val="000000" w:themeColor="text1"/>
          <w:sz w:val="24"/>
          <w:szCs w:val="24"/>
        </w:rPr>
      </w:pPr>
      <w:r w:rsidRPr="00A73814">
        <w:rPr>
          <w:rFonts w:ascii="Times New Roman" w:eastAsia="Calibri" w:hAnsi="Times New Roman" w:cs="Times New Roman"/>
          <w:i/>
          <w:color w:val="000000" w:themeColor="text1"/>
          <w:sz w:val="24"/>
          <w:szCs w:val="24"/>
        </w:rPr>
        <w:lastRenderedPageBreak/>
        <w:t>Специфичните за територията индикатори се следят на ниво Стратегия за ВОМР. В ИСУН се попълва информация само за индикаторите за изпълнение по ОПИК.</w:t>
      </w:r>
    </w:p>
    <w:p w14:paraId="28C53F3F" w14:textId="77777777" w:rsidR="00142FE5" w:rsidRDefault="00142FE5"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4FA17AA" w14:textId="7F1EA206" w:rsidR="00C416A4" w:rsidRPr="0003545B" w:rsidRDefault="00142FE5" w:rsidP="00AF37AA">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142FE5">
        <w:rPr>
          <w:rFonts w:ascii="Times New Roman" w:eastAsia="Calibri" w:hAnsi="Times New Roman" w:cs="Times New Roman"/>
          <w:b/>
          <w:color w:val="000000" w:themeColor="text1"/>
          <w:sz w:val="24"/>
          <w:szCs w:val="24"/>
        </w:rPr>
        <w:t>ВАЖНО:</w:t>
      </w:r>
      <w:r>
        <w:rPr>
          <w:rFonts w:ascii="Times New Roman" w:eastAsia="Calibri" w:hAnsi="Times New Roman" w:cs="Times New Roman"/>
          <w:b/>
          <w:color w:val="000000" w:themeColor="text1"/>
          <w:sz w:val="24"/>
          <w:szCs w:val="24"/>
        </w:rPr>
        <w:t xml:space="preserve"> </w:t>
      </w:r>
      <w:r w:rsidR="001F7366" w:rsidRPr="001F7366">
        <w:rPr>
          <w:rFonts w:ascii="Times New Roman" w:eastAsia="Calibri" w:hAnsi="Times New Roman" w:cs="Times New Roman"/>
          <w:color w:val="000000" w:themeColor="text1"/>
          <w:sz w:val="24"/>
          <w:szCs w:val="24"/>
        </w:rPr>
        <w:t>В т. 11 от Формуляра за кандидатстване, в специално поле кандидатът предоставя информация за приложимите за проекта специфични за територията инд</w:t>
      </w:r>
      <w:bookmarkStart w:id="8" w:name="_Toc494709507"/>
      <w:r w:rsidR="0003545B">
        <w:rPr>
          <w:rFonts w:ascii="Times New Roman" w:eastAsia="Calibri" w:hAnsi="Times New Roman" w:cs="Times New Roman"/>
          <w:color w:val="000000" w:themeColor="text1"/>
          <w:sz w:val="24"/>
          <w:szCs w:val="24"/>
        </w:rPr>
        <w:t>икатори за изпълнение на СВОМР.</w:t>
      </w:r>
    </w:p>
    <w:p w14:paraId="696ABF74" w14:textId="77777777" w:rsidR="00CB14EE" w:rsidRDefault="004A58E5" w:rsidP="00AF37AA">
      <w:pPr>
        <w:pStyle w:val="1"/>
      </w:pPr>
      <w:r w:rsidRPr="004770DA">
        <w:t>8</w:t>
      </w:r>
      <w:r w:rsidR="000115A9" w:rsidRPr="004770DA">
        <w:t>. Общ размер на безвъзмездната финансова помощ по процедурата:</w:t>
      </w:r>
      <w:bookmarkEnd w:id="8"/>
    </w:p>
    <w:p w14:paraId="65F4D1AC" w14:textId="77777777" w:rsidR="00577D87" w:rsidRPr="00577D87" w:rsidRDefault="00577D87" w:rsidP="00577D87"/>
    <w:p w14:paraId="3EFAD2AD" w14:textId="77777777" w:rsidR="00B162C7" w:rsidRDefault="00577D87"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Общия размер на безвъзмездната финансова помощ по процедура</w:t>
      </w:r>
      <w:r w:rsidR="00B162C7">
        <w:rPr>
          <w:rFonts w:ascii="Times New Roman" w:hAnsi="Times New Roman" w:cs="Times New Roman"/>
          <w:color w:val="000000" w:themeColor="text1"/>
          <w:sz w:val="24"/>
          <w:szCs w:val="24"/>
        </w:rPr>
        <w:t>та е както следва:</w:t>
      </w:r>
    </w:p>
    <w:p w14:paraId="0A88A968" w14:textId="088896E1" w:rsidR="0002039C" w:rsidRPr="0002039C" w:rsidRDefault="0002039C"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tbl>
      <w:tblPr>
        <w:tblStyle w:val="af"/>
        <w:tblW w:w="9640" w:type="dxa"/>
        <w:tblLook w:val="04A0" w:firstRow="1" w:lastRow="0" w:firstColumn="1" w:lastColumn="0" w:noHBand="0" w:noVBand="1"/>
      </w:tblPr>
      <w:tblGrid>
        <w:gridCol w:w="3312"/>
        <w:gridCol w:w="3165"/>
        <w:gridCol w:w="3163"/>
      </w:tblGrid>
      <w:tr w:rsidR="000A3DFA" w:rsidRPr="000A3DFA" w14:paraId="31D8B2CE" w14:textId="77777777" w:rsidTr="00E2740E">
        <w:tc>
          <w:tcPr>
            <w:tcW w:w="3312" w:type="dxa"/>
            <w:shd w:val="clear" w:color="auto" w:fill="D9D9D9" w:themeFill="background1" w:themeFillShade="D9"/>
            <w:vAlign w:val="center"/>
          </w:tcPr>
          <w:p w14:paraId="37D7AA36"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Общ размер на безвъзмездната финансова помощ</w:t>
            </w:r>
          </w:p>
        </w:tc>
        <w:tc>
          <w:tcPr>
            <w:tcW w:w="3165" w:type="dxa"/>
            <w:shd w:val="clear" w:color="auto" w:fill="D9D9D9" w:themeFill="background1" w:themeFillShade="D9"/>
            <w:vAlign w:val="center"/>
          </w:tcPr>
          <w:p w14:paraId="67A9B2A1"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Средства от Европейския фонд за регионално развитие</w:t>
            </w:r>
          </w:p>
        </w:tc>
        <w:tc>
          <w:tcPr>
            <w:tcW w:w="3163" w:type="dxa"/>
            <w:shd w:val="clear" w:color="auto" w:fill="D9D9D9" w:themeFill="background1" w:themeFillShade="D9"/>
            <w:vAlign w:val="center"/>
          </w:tcPr>
          <w:p w14:paraId="7436C298" w14:textId="77777777" w:rsidR="00682B05" w:rsidRPr="000A3DFA" w:rsidRDefault="00682B05" w:rsidP="00F26FF5">
            <w:pPr>
              <w:pStyle w:val="a4"/>
              <w:spacing w:line="276" w:lineRule="auto"/>
              <w:ind w:left="0"/>
              <w:jc w:val="center"/>
              <w:rPr>
                <w:b/>
                <w:color w:val="000000" w:themeColor="text1"/>
                <w:sz w:val="24"/>
                <w:szCs w:val="24"/>
              </w:rPr>
            </w:pPr>
          </w:p>
          <w:p w14:paraId="73D447F0"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Национално съфинансиране</w:t>
            </w:r>
          </w:p>
        </w:tc>
      </w:tr>
      <w:tr w:rsidR="00577D87" w:rsidRPr="000A3DFA" w14:paraId="090D3BC3" w14:textId="77777777" w:rsidTr="00E2740E">
        <w:trPr>
          <w:trHeight w:val="592"/>
        </w:trPr>
        <w:tc>
          <w:tcPr>
            <w:tcW w:w="3312" w:type="dxa"/>
          </w:tcPr>
          <w:p w14:paraId="11EF4003" w14:textId="3E948EA8" w:rsidR="00577D87" w:rsidRPr="00577D87" w:rsidRDefault="00577D87" w:rsidP="002645B1">
            <w:pPr>
              <w:pStyle w:val="afc"/>
              <w:spacing w:line="23" w:lineRule="atLeast"/>
              <w:jc w:val="center"/>
              <w:rPr>
                <w:rFonts w:ascii="Times New Roman" w:hAnsi="Times New Roman"/>
                <w:lang w:val="bg-BG"/>
              </w:rPr>
            </w:pPr>
            <w:r w:rsidRPr="00577D87">
              <w:rPr>
                <w:rFonts w:ascii="Times New Roman" w:hAnsi="Times New Roman"/>
                <w:lang w:val="bg-BG"/>
              </w:rPr>
              <w:t>1 </w:t>
            </w:r>
            <w:r w:rsidR="0056069A">
              <w:rPr>
                <w:rFonts w:ascii="Times New Roman" w:hAnsi="Times New Roman"/>
              </w:rPr>
              <w:t>159</w:t>
            </w:r>
            <w:r w:rsidRPr="00577D87">
              <w:rPr>
                <w:rFonts w:ascii="Times New Roman" w:hAnsi="Times New Roman"/>
                <w:lang w:val="bg-BG"/>
              </w:rPr>
              <w:t xml:space="preserve"> </w:t>
            </w:r>
            <w:r w:rsidR="0056069A">
              <w:rPr>
                <w:rFonts w:ascii="Times New Roman" w:hAnsi="Times New Roman"/>
              </w:rPr>
              <w:t>609</w:t>
            </w:r>
            <w:r w:rsidRPr="00577D87">
              <w:rPr>
                <w:rFonts w:ascii="Times New Roman" w:hAnsi="Times New Roman"/>
                <w:lang w:val="bg-BG"/>
              </w:rPr>
              <w:t>,9</w:t>
            </w:r>
            <w:r w:rsidR="0053436A">
              <w:rPr>
                <w:rFonts w:ascii="Times New Roman" w:hAnsi="Times New Roman"/>
              </w:rPr>
              <w:t>0</w:t>
            </w:r>
            <w:r w:rsidRPr="00577D87">
              <w:rPr>
                <w:rFonts w:ascii="Times New Roman" w:hAnsi="Times New Roman"/>
                <w:lang w:val="bg-BG"/>
              </w:rPr>
              <w:t xml:space="preserve"> лв. </w:t>
            </w:r>
          </w:p>
          <w:p w14:paraId="63F1D800" w14:textId="5DD92C3B" w:rsidR="00577D87" w:rsidRPr="00577D87" w:rsidRDefault="00577D87" w:rsidP="008E1B0D">
            <w:pPr>
              <w:pStyle w:val="a4"/>
              <w:spacing w:line="276" w:lineRule="auto"/>
              <w:ind w:left="0"/>
              <w:jc w:val="center"/>
              <w:rPr>
                <w:color w:val="000000" w:themeColor="text1"/>
                <w:sz w:val="24"/>
                <w:szCs w:val="24"/>
              </w:rPr>
            </w:pPr>
          </w:p>
        </w:tc>
        <w:tc>
          <w:tcPr>
            <w:tcW w:w="3165" w:type="dxa"/>
          </w:tcPr>
          <w:p w14:paraId="079E91CB" w14:textId="57308870" w:rsidR="00577D87" w:rsidRPr="00577D87" w:rsidRDefault="0056069A" w:rsidP="0056069A">
            <w:pPr>
              <w:pStyle w:val="a4"/>
              <w:spacing w:line="276" w:lineRule="auto"/>
              <w:ind w:left="0"/>
              <w:jc w:val="center"/>
              <w:rPr>
                <w:color w:val="000000" w:themeColor="text1"/>
                <w:sz w:val="24"/>
                <w:szCs w:val="24"/>
              </w:rPr>
            </w:pPr>
            <w:r>
              <w:rPr>
                <w:sz w:val="24"/>
                <w:szCs w:val="24"/>
                <w:lang w:val="en-US"/>
              </w:rPr>
              <w:t>985 668</w:t>
            </w:r>
            <w:r w:rsidR="008D4A32">
              <w:rPr>
                <w:sz w:val="24"/>
                <w:szCs w:val="24"/>
              </w:rPr>
              <w:t>,</w:t>
            </w:r>
            <w:r>
              <w:rPr>
                <w:sz w:val="24"/>
                <w:szCs w:val="24"/>
                <w:lang w:val="en-US"/>
              </w:rPr>
              <w:t>42</w:t>
            </w:r>
            <w:r w:rsidR="00577D87" w:rsidRPr="00577D87">
              <w:rPr>
                <w:sz w:val="24"/>
                <w:szCs w:val="24"/>
              </w:rPr>
              <w:t xml:space="preserve"> лв.</w:t>
            </w:r>
          </w:p>
        </w:tc>
        <w:tc>
          <w:tcPr>
            <w:tcW w:w="3163" w:type="dxa"/>
          </w:tcPr>
          <w:p w14:paraId="1D6D66CB" w14:textId="7ADAA241" w:rsidR="00577D87" w:rsidRPr="00577D87" w:rsidRDefault="00577D87" w:rsidP="00D879A6">
            <w:pPr>
              <w:pStyle w:val="a4"/>
              <w:spacing w:line="276" w:lineRule="auto"/>
              <w:ind w:left="0"/>
              <w:jc w:val="center"/>
              <w:rPr>
                <w:color w:val="000000" w:themeColor="text1"/>
                <w:sz w:val="24"/>
                <w:szCs w:val="24"/>
              </w:rPr>
            </w:pPr>
            <w:r w:rsidRPr="00577D87">
              <w:rPr>
                <w:sz w:val="24"/>
                <w:szCs w:val="24"/>
              </w:rPr>
              <w:t>1</w:t>
            </w:r>
            <w:r w:rsidR="0056069A">
              <w:rPr>
                <w:sz w:val="24"/>
                <w:szCs w:val="24"/>
                <w:lang w:val="en-US"/>
              </w:rPr>
              <w:t>73 941,4</w:t>
            </w:r>
            <w:r w:rsidR="00D879A6">
              <w:rPr>
                <w:sz w:val="24"/>
                <w:szCs w:val="24"/>
                <w:lang w:val="en-US"/>
              </w:rPr>
              <w:t>8</w:t>
            </w:r>
            <w:r w:rsidR="0056069A">
              <w:rPr>
                <w:sz w:val="24"/>
                <w:szCs w:val="24"/>
                <w:lang w:val="en-US"/>
              </w:rPr>
              <w:t xml:space="preserve"> </w:t>
            </w:r>
            <w:r w:rsidRPr="00577D87">
              <w:rPr>
                <w:sz w:val="24"/>
                <w:szCs w:val="24"/>
              </w:rPr>
              <w:t>лв.</w:t>
            </w:r>
          </w:p>
        </w:tc>
      </w:tr>
    </w:tbl>
    <w:p w14:paraId="72CB5ED1" w14:textId="26FD9EFE" w:rsidR="00BA2E00" w:rsidRPr="004524A5" w:rsidRDefault="004A58E5" w:rsidP="004524A5">
      <w:pPr>
        <w:pStyle w:val="1"/>
      </w:pPr>
      <w:bookmarkStart w:id="9" w:name="_Toc494709508"/>
      <w:r w:rsidRPr="004524A5">
        <w:t>9</w:t>
      </w:r>
      <w:r w:rsidR="002325A3" w:rsidRPr="004524A5">
        <w:t xml:space="preserve">. </w:t>
      </w:r>
      <w:r w:rsidR="00BA2E00" w:rsidRPr="004524A5">
        <w:t>Минимален и максимален размер на безвъзмездната финансова помощ за конкретен проект:</w:t>
      </w:r>
      <w:bookmarkEnd w:id="9"/>
    </w:p>
    <w:p w14:paraId="40DE69FC"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bookmarkStart w:id="10" w:name="_Hlk535838145"/>
      <w:r w:rsidRPr="00ED079A">
        <w:rPr>
          <w:rFonts w:ascii="Times New Roman" w:hAnsi="Times New Roman" w:cs="Times New Roman"/>
          <w:b/>
          <w:color w:val="000000" w:themeColor="text1"/>
          <w:sz w:val="24"/>
          <w:szCs w:val="24"/>
        </w:rPr>
        <w:t>Минимална стойност на проект</w:t>
      </w:r>
      <w:r w:rsidRPr="00ED079A">
        <w:rPr>
          <w:rFonts w:ascii="Times New Roman" w:hAnsi="Times New Roman" w:cs="Times New Roman"/>
          <w:color w:val="000000" w:themeColor="text1"/>
          <w:sz w:val="24"/>
          <w:szCs w:val="24"/>
        </w:rPr>
        <w:t xml:space="preserve">  –  50 000 евро или 97 791,50лв. </w:t>
      </w:r>
    </w:p>
    <w:p w14:paraId="2F94BA98" w14:textId="1D92EBD1"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Минимален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88 012,35лв.</w:t>
      </w:r>
    </w:p>
    <w:p w14:paraId="77C72F15"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Максимална стойност на допустимите разходи по проекта</w:t>
      </w:r>
      <w:r w:rsidRPr="00ED079A">
        <w:rPr>
          <w:rFonts w:ascii="Times New Roman" w:hAnsi="Times New Roman" w:cs="Times New Roman"/>
          <w:color w:val="000000" w:themeColor="text1"/>
          <w:sz w:val="24"/>
          <w:szCs w:val="24"/>
        </w:rPr>
        <w:t xml:space="preserve"> – левовата равностойност на 200 000 евро или 391 166 лв. </w:t>
      </w:r>
    </w:p>
    <w:p w14:paraId="2F663EFA" w14:textId="7299D840"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 xml:space="preserve">Максимален размер на </w:t>
      </w:r>
      <w:r w:rsidR="00403152" w:rsidRPr="00ED079A">
        <w:rPr>
          <w:rFonts w:ascii="Times New Roman" w:hAnsi="Times New Roman" w:cs="Times New Roman"/>
          <w:b/>
          <w:color w:val="000000" w:themeColor="text1"/>
          <w:sz w:val="24"/>
          <w:szCs w:val="24"/>
        </w:rPr>
        <w:t>безвъзмездната</w:t>
      </w:r>
      <w:r w:rsidRPr="00ED079A">
        <w:rPr>
          <w:rFonts w:ascii="Times New Roman" w:hAnsi="Times New Roman" w:cs="Times New Roman"/>
          <w:b/>
          <w:color w:val="000000" w:themeColor="text1"/>
          <w:sz w:val="24"/>
          <w:szCs w:val="24"/>
        </w:rPr>
        <w:t xml:space="preserve"> финансова помощ</w:t>
      </w:r>
      <w:r w:rsidRPr="00ED079A">
        <w:rPr>
          <w:rFonts w:ascii="Times New Roman" w:hAnsi="Times New Roman" w:cs="Times New Roman"/>
          <w:color w:val="000000" w:themeColor="text1"/>
          <w:sz w:val="24"/>
          <w:szCs w:val="24"/>
        </w:rPr>
        <w:t xml:space="preserve"> за проект по настоящата процедура е 352 049,40лв.</w:t>
      </w:r>
    </w:p>
    <w:p w14:paraId="008ACA86"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Интензитет на финансовата помощ: до 90 % от общата стойност на допустимите разходи</w:t>
      </w:r>
    </w:p>
    <w:bookmarkEnd w:id="10"/>
    <w:p w14:paraId="67883804" w14:textId="77777777" w:rsidR="00577D87" w:rsidRPr="00ED079A"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FD9DA4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Мярката ще се изпълнява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w:t>
      </w:r>
      <w:r w:rsidRPr="00577D87">
        <w:rPr>
          <w:rFonts w:ascii="Times New Roman" w:hAnsi="Times New Roman" w:cs="Times New Roman"/>
          <w:color w:val="000000" w:themeColor="text1"/>
          <w:sz w:val="24"/>
          <w:szCs w:val="24"/>
        </w:rPr>
        <w:t xml:space="preserve"> </w:t>
      </w:r>
    </w:p>
    <w:p w14:paraId="1397BF85" w14:textId="15C0FC72"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за период от три бюджетни години   и съответно левовата равностойност на 100 000 евро в случай на едно и също предприятие</w:t>
      </w:r>
      <w:r w:rsidR="000C27C2">
        <w:rPr>
          <w:rStyle w:val="a8"/>
          <w:rFonts w:ascii="Times New Roman" w:hAnsi="Times New Roman" w:cs="Times New Roman"/>
          <w:color w:val="000000" w:themeColor="text1"/>
          <w:sz w:val="24"/>
          <w:szCs w:val="24"/>
        </w:rPr>
        <w:footnoteReference w:id="2"/>
      </w:r>
      <w:r w:rsidRPr="00577D87">
        <w:rPr>
          <w:rFonts w:ascii="Times New Roman" w:hAnsi="Times New Roman" w:cs="Times New Roman"/>
          <w:color w:val="000000" w:themeColor="text1"/>
          <w:sz w:val="24"/>
          <w:szCs w:val="24"/>
        </w:rPr>
        <w:t>, което осъществява автомобилни товарни превози за чужда сметка</w:t>
      </w:r>
      <w:r w:rsidR="000C27C2">
        <w:rPr>
          <w:rFonts w:ascii="Times New Roman" w:hAnsi="Times New Roman" w:cs="Times New Roman"/>
          <w:color w:val="000000" w:themeColor="text1"/>
          <w:sz w:val="24"/>
          <w:szCs w:val="24"/>
        </w:rPr>
        <w:t xml:space="preserve"> за период от три </w:t>
      </w:r>
      <w:r w:rsidR="00AF6A6E">
        <w:rPr>
          <w:rFonts w:ascii="Times New Roman" w:hAnsi="Times New Roman" w:cs="Times New Roman"/>
          <w:color w:val="000000" w:themeColor="text1"/>
          <w:sz w:val="24"/>
          <w:szCs w:val="24"/>
        </w:rPr>
        <w:t>бюджетни</w:t>
      </w:r>
      <w:r w:rsidR="000C27C2">
        <w:rPr>
          <w:rFonts w:ascii="Times New Roman" w:hAnsi="Times New Roman" w:cs="Times New Roman"/>
          <w:color w:val="000000" w:themeColor="text1"/>
          <w:sz w:val="24"/>
          <w:szCs w:val="24"/>
        </w:rPr>
        <w:t xml:space="preserve"> години</w:t>
      </w:r>
      <w:r w:rsidRPr="00577D87">
        <w:rPr>
          <w:rFonts w:ascii="Times New Roman" w:hAnsi="Times New Roman" w:cs="Times New Roman"/>
          <w:color w:val="000000" w:themeColor="text1"/>
          <w:sz w:val="24"/>
          <w:szCs w:val="24"/>
        </w:rPr>
        <w:t xml:space="preserve">. </w:t>
      </w:r>
    </w:p>
    <w:p w14:paraId="3F9B102E"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AC89DC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 </w:t>
      </w:r>
    </w:p>
    <w:p w14:paraId="3D590EA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предприятието кандидат; </w:t>
      </w:r>
    </w:p>
    <w:p w14:paraId="1C938A6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с които предприятието кандидат образува „едно и също предприятие “по смисъла на чл. 2, пар. 2 на Регламент (ЕС) № 1407/2013; </w:t>
      </w:r>
    </w:p>
    <w:p w14:paraId="6330C58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 </w:t>
      </w:r>
    </w:p>
    <w:p w14:paraId="611632B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r w:rsidRPr="00577D87">
        <w:rPr>
          <w:rFonts w:ascii="Times New Roman" w:hAnsi="Times New Roman" w:cs="Times New Roman"/>
          <w:color w:val="000000" w:themeColor="text1"/>
          <w:sz w:val="24"/>
          <w:szCs w:val="24"/>
          <w:lang w:val="en-US"/>
        </w:rPr>
        <w:t>minimis</w:t>
      </w:r>
      <w:r w:rsidRPr="00577D87">
        <w:rPr>
          <w:rFonts w:ascii="Times New Roman" w:hAnsi="Times New Roman" w:cs="Times New Roman"/>
          <w:color w:val="000000" w:themeColor="text1"/>
          <w:sz w:val="24"/>
          <w:szCs w:val="24"/>
        </w:rPr>
        <w:t>, получена преди разделяне или отделяне, съгласно чл. 3, пар. 9 от Регламент (ЕС) № 1407/2013.</w:t>
      </w:r>
    </w:p>
    <w:p w14:paraId="2BA4878C"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1F0E35E" w14:textId="4B170125"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be-BY"/>
        </w:rPr>
      </w:pPr>
      <w:r w:rsidRPr="00577D87">
        <w:rPr>
          <w:rFonts w:ascii="Times New Roman" w:hAnsi="Times New Roman" w:cs="Times New Roman"/>
          <w:color w:val="000000" w:themeColor="text1"/>
          <w:sz w:val="24"/>
          <w:szCs w:val="24"/>
        </w:rPr>
        <w:t xml:space="preserve">Праговете на режим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r w:rsidRPr="00577D87">
        <w:rPr>
          <w:rFonts w:ascii="Times New Roman" w:hAnsi="Times New Roman" w:cs="Times New Roman"/>
          <w:color w:val="000000" w:themeColor="text1"/>
          <w:sz w:val="24"/>
          <w:szCs w:val="24"/>
          <w:lang w:val="en-US"/>
        </w:rPr>
        <w:t>minimis</w:t>
      </w:r>
      <w:r w:rsidRPr="00577D87">
        <w:rPr>
          <w:rFonts w:ascii="Times New Roman" w:hAnsi="Times New Roman" w:cs="Times New Roman"/>
          <w:color w:val="000000" w:themeColor="text1"/>
          <w:sz w:val="24"/>
          <w:szCs w:val="24"/>
        </w:rPr>
        <w:t xml:space="preserve"> не могат да бъдат заобикаляни чрез изкуствено разделяне на проекти със сходни характеристики и бенефициенти. По процедурата </w:t>
      </w:r>
      <w:r w:rsidR="000C27C2">
        <w:rPr>
          <w:rFonts w:ascii="Times New Roman" w:hAnsi="Times New Roman" w:cs="Times New Roman"/>
          <w:color w:val="000000" w:themeColor="text1"/>
          <w:sz w:val="24"/>
          <w:szCs w:val="24"/>
        </w:rPr>
        <w:t xml:space="preserve">това изискване се гарантира, като всеки кандидат попълва </w:t>
      </w:r>
      <w:r w:rsidRPr="00577D87">
        <w:rPr>
          <w:rFonts w:ascii="Times New Roman" w:hAnsi="Times New Roman" w:cs="Times New Roman"/>
          <w:color w:val="000000" w:themeColor="text1"/>
          <w:sz w:val="24"/>
          <w:szCs w:val="24"/>
        </w:rPr>
        <w:t>Декларацията за минимални помощи</w:t>
      </w:r>
      <w:r w:rsidR="000C27C2">
        <w:rPr>
          <w:rFonts w:ascii="Times New Roman" w:hAnsi="Times New Roman" w:cs="Times New Roman"/>
          <w:color w:val="000000" w:themeColor="text1"/>
          <w:sz w:val="24"/>
          <w:szCs w:val="24"/>
        </w:rPr>
        <w:t>, МИГ извършва п</w:t>
      </w:r>
      <w:r w:rsidRPr="00577D87">
        <w:rPr>
          <w:rFonts w:ascii="Times New Roman" w:hAnsi="Times New Roman" w:cs="Times New Roman"/>
          <w:color w:val="000000" w:themeColor="text1"/>
          <w:sz w:val="24"/>
          <w:szCs w:val="24"/>
        </w:rPr>
        <w:t>роверка в Информационната система „Регистър на минималните помощи”, Публичния регистър на Европейската комисия</w:t>
      </w:r>
      <w:r w:rsidRPr="00577D87">
        <w:rPr>
          <w:rFonts w:ascii="Times New Roman" w:hAnsi="Times New Roman" w:cs="Times New Roman"/>
          <w:color w:val="000000" w:themeColor="text1"/>
          <w:sz w:val="24"/>
          <w:szCs w:val="24"/>
          <w:lang w:val="be-BY"/>
        </w:rPr>
        <w:t xml:space="preserve"> и Информационната система за управление и наблюдение на Структурните инструменти на ЕС в България (ИСУН 2020).</w:t>
      </w:r>
    </w:p>
    <w:p w14:paraId="77FBB78C" w14:textId="77777777" w:rsidR="00335BAE" w:rsidRPr="000A3DFA" w:rsidRDefault="00335BA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2EDB9182" wp14:editId="3869FCD2">
                <wp:extent cx="5941060" cy="1142414"/>
                <wp:effectExtent l="0" t="0" r="15240" b="18415"/>
                <wp:docPr id="13" name="Текстово поле 13"/>
                <wp:cNvGraphicFramePr/>
                <a:graphic xmlns:a="http://schemas.openxmlformats.org/drawingml/2006/main">
                  <a:graphicData uri="http://schemas.microsoft.com/office/word/2010/wordprocessingShape">
                    <wps:wsp>
                      <wps:cNvSpPr txBox="1"/>
                      <wps:spPr>
                        <a:xfrm>
                          <a:off x="0" y="0"/>
                          <a:ext cx="5941060" cy="1142414"/>
                        </a:xfrm>
                        <a:prstGeom prst="rect">
                          <a:avLst/>
                        </a:prstGeom>
                        <a:solidFill>
                          <a:schemeClr val="bg1">
                            <a:lumMod val="85000"/>
                          </a:schemeClr>
                        </a:solidFill>
                        <a:ln w="6350">
                          <a:solidFill>
                            <a:prstClr val="black"/>
                          </a:solidFill>
                        </a:ln>
                        <a:effectLst/>
                      </wps:spPr>
                      <wps:txbx>
                        <w:txbxContent>
                          <w:p w14:paraId="4677751A" w14:textId="2458CDD1" w:rsidR="005B4F08" w:rsidRPr="005E7291" w:rsidRDefault="005B4F0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EDB9182" id="_x0000_t202" coordsize="21600,21600" o:spt="202" path="m,l,21600r21600,l21600,xe">
                <v:stroke joinstyle="miter"/>
                <v:path gradientshapeok="t" o:connecttype="rect"/>
              </v:shapetype>
              <v:shape id="Текстово поле 13" o:spid="_x0000_s1026" type="#_x0000_t202" style="width:467.8pt;height:8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" fillcolor="#d8d8d8 [2732]" strokeweight=".5pt">
                <v:textbox style="mso-fit-shape-to-text:t">
                  <w:txbxContent>
                    <w:p w14:paraId="4677751A" w14:textId="2458CDD1" w:rsidR="005B4F08" w:rsidRPr="005E7291" w:rsidRDefault="005B4F0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w:t>
                      </w:r>
                      <w:r w:rsidRPr="000A3DFA">
                        <w:t xml:space="preserve"> </w:t>
                      </w:r>
                    </w:p>
                  </w:txbxContent>
                </v:textbox>
                <w10:anchorlock/>
              </v:shape>
            </w:pict>
          </mc:Fallback>
        </mc:AlternateContent>
      </w:r>
    </w:p>
    <w:p w14:paraId="0EBD6BCD" w14:textId="77777777" w:rsidR="002325A3" w:rsidRPr="004770DA" w:rsidRDefault="00CB14EE" w:rsidP="004524A5">
      <w:pPr>
        <w:pStyle w:val="1"/>
      </w:pPr>
      <w:bookmarkStart w:id="11" w:name="_Toc494709509"/>
      <w:r w:rsidRPr="004770DA">
        <w:t>1</w:t>
      </w:r>
      <w:r w:rsidR="004A58E5" w:rsidRPr="004770DA">
        <w:t>0</w:t>
      </w:r>
      <w:r w:rsidRPr="004770DA">
        <w:t>.</w:t>
      </w:r>
      <w:r w:rsidR="004A58E5" w:rsidRPr="004770DA">
        <w:t xml:space="preserve"> </w:t>
      </w:r>
      <w:r w:rsidR="002325A3" w:rsidRPr="004770DA">
        <w:t>Процент на съфинансиране</w:t>
      </w:r>
      <w:bookmarkEnd w:id="11"/>
    </w:p>
    <w:p w14:paraId="13DD475B" w14:textId="77777777" w:rsidR="00335BAE"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По настоящата процедура процентът на съфинансиране от Европейския фонд за регионално развитие (ЕФРР) е 85% и 15 % е националното</w:t>
      </w:r>
      <w:r w:rsidR="00335BAE">
        <w:rPr>
          <w:rFonts w:ascii="Times New Roman" w:eastAsiaTheme="majorEastAsia" w:hAnsi="Times New Roman" w:cs="Times New Roman"/>
          <w:b/>
          <w:bCs/>
          <w:color w:val="000000" w:themeColor="text1"/>
          <w:sz w:val="24"/>
          <w:szCs w:val="24"/>
        </w:rPr>
        <w:t xml:space="preserve"> съфинансиране.</w:t>
      </w:r>
    </w:p>
    <w:p w14:paraId="2B072429" w14:textId="77777777" w:rsidR="00312286"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Бюджетът по процедурата е превалутиран по фиксинга на БНБ за 1 евро = 1,95583</w:t>
      </w:r>
      <w:r>
        <w:rPr>
          <w:rFonts w:ascii="Times New Roman" w:eastAsiaTheme="majorEastAsia" w:hAnsi="Times New Roman" w:cs="Times New Roman"/>
          <w:b/>
          <w:bCs/>
          <w:color w:val="000000" w:themeColor="text1"/>
          <w:sz w:val="24"/>
          <w:szCs w:val="24"/>
        </w:rPr>
        <w:t xml:space="preserve"> лева.</w:t>
      </w:r>
    </w:p>
    <w:p w14:paraId="4C02F1EA" w14:textId="77777777" w:rsidR="00F95C06"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807809D" w14:textId="77777777" w:rsidR="00025A88" w:rsidRPr="009D4828" w:rsidRDefault="0094488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D4828">
        <w:rPr>
          <w:rFonts w:ascii="Times New Roman" w:hAnsi="Times New Roman" w:cs="Times New Roman"/>
          <w:b/>
          <w:color w:val="000000" w:themeColor="text1"/>
          <w:sz w:val="24"/>
          <w:szCs w:val="24"/>
        </w:rPr>
        <w:t xml:space="preserve">Максимален интензитет на безвъзмездната финансова помощ </w:t>
      </w:r>
      <w:r w:rsidR="00096A4C" w:rsidRPr="009D4828">
        <w:rPr>
          <w:rFonts w:ascii="Times New Roman" w:hAnsi="Times New Roman" w:cs="Times New Roman"/>
          <w:b/>
          <w:color w:val="000000" w:themeColor="text1"/>
          <w:sz w:val="24"/>
          <w:szCs w:val="24"/>
        </w:rPr>
        <w:t xml:space="preserve">– </w:t>
      </w:r>
      <w:r w:rsidR="00271883" w:rsidRPr="009D4828">
        <w:rPr>
          <w:rFonts w:ascii="Times New Roman" w:hAnsi="Times New Roman" w:cs="Times New Roman"/>
          <w:b/>
          <w:color w:val="000000" w:themeColor="text1"/>
          <w:sz w:val="24"/>
          <w:szCs w:val="24"/>
        </w:rPr>
        <w:t>9</w:t>
      </w:r>
      <w:r w:rsidR="00096A4C" w:rsidRPr="009D4828">
        <w:rPr>
          <w:rFonts w:ascii="Times New Roman" w:hAnsi="Times New Roman" w:cs="Times New Roman"/>
          <w:b/>
          <w:color w:val="000000" w:themeColor="text1"/>
          <w:sz w:val="24"/>
          <w:szCs w:val="24"/>
        </w:rPr>
        <w:t>0 %.</w:t>
      </w:r>
    </w:p>
    <w:p w14:paraId="42DDE25F" w14:textId="77777777" w:rsidR="00080925" w:rsidRPr="000A3DFA" w:rsidRDefault="00080925"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Calibri" w:hAnsi="Times New Roman" w:cs="Times New Roman"/>
          <w:b/>
          <w:color w:val="000000" w:themeColor="text1"/>
          <w:sz w:val="24"/>
          <w:szCs w:val="24"/>
          <w:u w:val="single"/>
        </w:rPr>
      </w:pPr>
      <w:r w:rsidRPr="009D4828">
        <w:rPr>
          <w:rFonts w:ascii="Times New Roman" w:hAnsi="Times New Roman" w:cs="Times New Roman"/>
          <w:b/>
          <w:color w:val="000000" w:themeColor="text1"/>
          <w:sz w:val="24"/>
          <w:szCs w:val="24"/>
        </w:rPr>
        <w:t>Процент на съфинансир</w:t>
      </w:r>
      <w:r w:rsidR="00271883" w:rsidRPr="009D4828">
        <w:rPr>
          <w:rFonts w:ascii="Times New Roman" w:hAnsi="Times New Roman" w:cs="Times New Roman"/>
          <w:b/>
          <w:color w:val="000000" w:themeColor="text1"/>
          <w:sz w:val="24"/>
          <w:szCs w:val="24"/>
        </w:rPr>
        <w:t>ане от страна на бенефициента –1</w:t>
      </w:r>
      <w:r w:rsidRPr="009D4828">
        <w:rPr>
          <w:rFonts w:ascii="Times New Roman" w:hAnsi="Times New Roman" w:cs="Times New Roman"/>
          <w:b/>
          <w:color w:val="000000" w:themeColor="text1"/>
          <w:sz w:val="24"/>
          <w:szCs w:val="24"/>
        </w:rPr>
        <w:t>0 %</w:t>
      </w:r>
    </w:p>
    <w:p w14:paraId="55424076" w14:textId="77777777" w:rsidR="00312286" w:rsidRDefault="00312286" w:rsidP="00335BA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9AFC28F" w14:textId="77777777" w:rsidR="00C20B3D" w:rsidRPr="000A3DFA"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514E0E6" wp14:editId="1D04C4E1">
                <wp:extent cx="1828800" cy="1828800"/>
                <wp:effectExtent l="0" t="0" r="15240" b="13335"/>
                <wp:docPr id="14" name="Текстово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9BAC35" w14:textId="77777777" w:rsidR="005B4F08" w:rsidRPr="002A6E03" w:rsidRDefault="005B4F08"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14E0E6" id="Текстово поле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DgXZLFgQIAAOwE&#10;AAAOAAAAAAAAAAAAAAAAAC4CAABkcnMvZTJvRG9jLnhtbFBLAQItABQABgAIAAAAIQCwPwV52QAA&#10;AAUBAAAPAAAAAAAAAAAAAAAAANsEAABkcnMvZG93bnJldi54bWxQSwUGAAAAAAQABADzAAAA4QUA&#10;AAAA&#10;" fillcolor="#d8d8d8 [2732]" strokeweight=".5pt">
                <v:textbox style="mso-fit-shape-to-text:t">
                  <w:txbxContent>
                    <w:p w14:paraId="3E9BAC35" w14:textId="77777777" w:rsidR="005B4F08" w:rsidRPr="002A6E03" w:rsidRDefault="005B4F08"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v:textbox>
                <w10:anchorlock/>
              </v:shape>
            </w:pict>
          </mc:Fallback>
        </mc:AlternateContent>
      </w:r>
      <w:r w:rsidR="00C20B3D" w:rsidRPr="000A3DFA">
        <w:rPr>
          <w:rFonts w:ascii="Times New Roman" w:hAnsi="Times New Roman" w:cs="Times New Roman"/>
          <w:color w:val="000000" w:themeColor="text1"/>
          <w:sz w:val="24"/>
          <w:szCs w:val="24"/>
        </w:rPr>
        <w:t xml:space="preserve">За да се изчисли интензитетът на помощта, всички данни се представят в брутно изражение, преди приспадането на данъци и други такси. Помощите, които се предоставят на няколко части (т.е. когато кандидатът предвижда да ползва авансово и/или междинно/и </w:t>
      </w:r>
      <w:r w:rsidR="00C20B3D" w:rsidRPr="000A3DFA">
        <w:rPr>
          <w:rFonts w:ascii="Times New Roman" w:hAnsi="Times New Roman" w:cs="Times New Roman"/>
          <w:color w:val="000000" w:themeColor="text1"/>
          <w:sz w:val="24"/>
          <w:szCs w:val="24"/>
        </w:rPr>
        <w:lastRenderedPageBreak/>
        <w:t>плащане)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w:t>
      </w:r>
      <w:r w:rsidR="007F042A" w:rsidRPr="000A3DFA">
        <w:rPr>
          <w:rFonts w:ascii="Times New Roman" w:hAnsi="Times New Roman" w:cs="Times New Roman"/>
          <w:color w:val="000000" w:themeColor="text1"/>
          <w:sz w:val="24"/>
          <w:szCs w:val="24"/>
        </w:rPr>
        <w:t xml:space="preserve"> </w:t>
      </w:r>
      <w:r w:rsidR="00C20B3D" w:rsidRPr="000A3DFA">
        <w:rPr>
          <w:rFonts w:ascii="Times New Roman" w:hAnsi="Times New Roman" w:cs="Times New Roman"/>
          <w:color w:val="000000" w:themeColor="text1"/>
          <w:sz w:val="24"/>
          <w:szCs w:val="24"/>
        </w:rPr>
        <w:t>сконтовият процент, приложим към момента на предоставяне на помощта в съответствие с чл. 3, ал. 6 от Регламент (ЕС) № 1407/2013. Интензитетът на безвъзмездната финансова помощ се изчислява чрез определяне на сконтираната стойност на помощта, изразена като процент от сконтираната стойност на допустимите разходи.</w:t>
      </w:r>
    </w:p>
    <w:p w14:paraId="16C7E409" w14:textId="77777777" w:rsidR="00335BAE" w:rsidRPr="000A3DFA" w:rsidRDefault="00756197"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Остатъкът от общите допустими разходи по проекта трябва да бъде съфинансиран чрез собствени средства на кандидата или </w:t>
      </w:r>
      <w:r w:rsidR="00F709F2" w:rsidRPr="000A3DFA">
        <w:rPr>
          <w:rFonts w:ascii="Times New Roman" w:hAnsi="Times New Roman" w:cs="Times New Roman"/>
          <w:color w:val="000000" w:themeColor="text1"/>
          <w:sz w:val="24"/>
          <w:szCs w:val="24"/>
        </w:rPr>
        <w:t xml:space="preserve">със средства </w:t>
      </w:r>
      <w:r w:rsidRPr="000A3DFA">
        <w:rPr>
          <w:rFonts w:ascii="Times New Roman" w:hAnsi="Times New Roman" w:cs="Times New Roman"/>
          <w:color w:val="000000" w:themeColor="text1"/>
          <w:sz w:val="24"/>
          <w:szCs w:val="24"/>
        </w:rPr>
        <w:t xml:space="preserve">от </w:t>
      </w:r>
      <w:r w:rsidR="00F709F2" w:rsidRPr="000A3DFA">
        <w:rPr>
          <w:rFonts w:ascii="Times New Roman" w:hAnsi="Times New Roman" w:cs="Times New Roman"/>
          <w:color w:val="000000" w:themeColor="text1"/>
          <w:sz w:val="24"/>
          <w:szCs w:val="24"/>
        </w:rPr>
        <w:t xml:space="preserve">външни </w:t>
      </w:r>
      <w:r w:rsidRPr="000A3DFA">
        <w:rPr>
          <w:rFonts w:ascii="Times New Roman" w:hAnsi="Times New Roman" w:cs="Times New Roman"/>
          <w:color w:val="000000" w:themeColor="text1"/>
          <w:sz w:val="24"/>
          <w:szCs w:val="24"/>
        </w:rPr>
        <w:t xml:space="preserve">източници, </w:t>
      </w:r>
      <w:r w:rsidRPr="00AE3F18">
        <w:rPr>
          <w:rFonts w:ascii="Times New Roman" w:hAnsi="Times New Roman" w:cs="Times New Roman"/>
          <w:color w:val="000000" w:themeColor="text1"/>
          <w:sz w:val="24"/>
          <w:szCs w:val="24"/>
        </w:rPr>
        <w:t xml:space="preserve">които </w:t>
      </w:r>
      <w:r w:rsidR="00F709F2" w:rsidRPr="00AE3F18">
        <w:rPr>
          <w:rFonts w:ascii="Times New Roman" w:hAnsi="Times New Roman" w:cs="Times New Roman"/>
          <w:color w:val="000000" w:themeColor="text1"/>
          <w:sz w:val="24"/>
          <w:szCs w:val="24"/>
        </w:rPr>
        <w:t xml:space="preserve">средства </w:t>
      </w:r>
      <w:r w:rsidRPr="00AE3F18">
        <w:rPr>
          <w:rFonts w:ascii="Times New Roman" w:hAnsi="Times New Roman" w:cs="Times New Roman"/>
          <w:color w:val="000000" w:themeColor="text1"/>
          <w:sz w:val="24"/>
          <w:szCs w:val="24"/>
        </w:rPr>
        <w:t>изключват всякаква публична подкрепа.</w:t>
      </w:r>
      <w:r w:rsidR="00A661C8" w:rsidRPr="00AE3F18">
        <w:rPr>
          <w:rFonts w:ascii="Times New Roman" w:hAnsi="Times New Roman" w:cs="Times New Roman"/>
          <w:color w:val="000000" w:themeColor="text1"/>
          <w:sz w:val="24"/>
          <w:szCs w:val="24"/>
        </w:rPr>
        <w:t xml:space="preserve"> </w:t>
      </w:r>
    </w:p>
    <w:p w14:paraId="0D83D8F5" w14:textId="77777777" w:rsidR="002325A3" w:rsidRPr="004770DA" w:rsidRDefault="00CB14EE" w:rsidP="004524A5">
      <w:pPr>
        <w:pStyle w:val="1"/>
      </w:pPr>
      <w:bookmarkStart w:id="12" w:name="_Toc494709510"/>
      <w:r w:rsidRPr="004770DA">
        <w:t>1</w:t>
      </w:r>
      <w:r w:rsidR="004A58E5" w:rsidRPr="004770DA">
        <w:t>1</w:t>
      </w:r>
      <w:r w:rsidR="002325A3" w:rsidRPr="004770DA">
        <w:t>. Допустими кандидати:</w:t>
      </w:r>
      <w:bookmarkEnd w:id="12"/>
      <w:r w:rsidR="002325A3" w:rsidRPr="004770DA">
        <w:t xml:space="preserve"> </w:t>
      </w:r>
    </w:p>
    <w:p w14:paraId="1626DE83" w14:textId="77777777" w:rsidR="001B6D92" w:rsidRPr="00422728" w:rsidRDefault="00D84021" w:rsidP="004524A5">
      <w:pPr>
        <w:pStyle w:val="2"/>
        <w:rPr>
          <w:sz w:val="24"/>
          <w:szCs w:val="24"/>
        </w:rPr>
      </w:pPr>
      <w:bookmarkStart w:id="13" w:name="_Toc494709511"/>
      <w:r w:rsidRPr="00422728">
        <w:rPr>
          <w:sz w:val="24"/>
          <w:szCs w:val="24"/>
        </w:rPr>
        <w:t>11.1</w:t>
      </w:r>
      <w:r w:rsidR="001B6D92" w:rsidRPr="00422728">
        <w:rPr>
          <w:sz w:val="24"/>
          <w:szCs w:val="24"/>
        </w:rPr>
        <w:t xml:space="preserve"> Критерии за допустимост на кандидатите</w:t>
      </w:r>
      <w:bookmarkEnd w:id="13"/>
    </w:p>
    <w:p w14:paraId="6C330135" w14:textId="77777777" w:rsidR="008845B6" w:rsidRPr="00ED079A" w:rsidRDefault="008845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Допустими по настоящата процедура за подбор на проекти са само кандидати, които отговарят на следните критерии:</w:t>
      </w:r>
    </w:p>
    <w:p w14:paraId="66742541" w14:textId="486F95D5" w:rsidR="00CE0C05"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00B67CB5" w:rsidRPr="00ED079A">
        <w:rPr>
          <w:rFonts w:ascii="Times New Roman" w:hAnsi="Times New Roman" w:cs="Times New Roman"/>
          <w:color w:val="000000" w:themeColor="text1"/>
          <w:sz w:val="24"/>
          <w:szCs w:val="24"/>
        </w:rPr>
        <w:t xml:space="preserve">  Да имат постоянен адрес, седалище и адрес на управление на тер</w:t>
      </w:r>
      <w:r w:rsidR="0051128B" w:rsidRPr="00ED079A">
        <w:rPr>
          <w:rFonts w:ascii="Times New Roman" w:hAnsi="Times New Roman" w:cs="Times New Roman"/>
          <w:color w:val="000000" w:themeColor="text1"/>
          <w:sz w:val="24"/>
          <w:szCs w:val="24"/>
        </w:rPr>
        <w:t>иторията на действие на МИГ</w:t>
      </w:r>
      <w:r w:rsidR="000A568F" w:rsidRPr="00ED079A">
        <w:rPr>
          <w:rFonts w:ascii="Times New Roman" w:hAnsi="Times New Roman" w:cs="Times New Roman"/>
          <w:color w:val="000000" w:themeColor="text1"/>
          <w:sz w:val="24"/>
          <w:szCs w:val="24"/>
        </w:rPr>
        <w:t xml:space="preserve"> „</w:t>
      </w:r>
      <w:r w:rsidR="003D6B74" w:rsidRPr="00ED079A">
        <w:rPr>
          <w:rFonts w:ascii="Times New Roman" w:hAnsi="Times New Roman" w:cs="Times New Roman"/>
          <w:color w:val="000000" w:themeColor="text1"/>
          <w:sz w:val="24"/>
          <w:szCs w:val="24"/>
        </w:rPr>
        <w:t>Свиленград ареал</w:t>
      </w:r>
      <w:r w:rsidR="009F547A" w:rsidRPr="00ED079A">
        <w:rPr>
          <w:rFonts w:ascii="Times New Roman" w:hAnsi="Times New Roman" w:cs="Times New Roman"/>
          <w:color w:val="000000" w:themeColor="text1"/>
          <w:sz w:val="24"/>
          <w:szCs w:val="24"/>
        </w:rPr>
        <w:t>“</w:t>
      </w:r>
      <w:r w:rsidR="00B67CB5" w:rsidRPr="00ED079A">
        <w:rPr>
          <w:rFonts w:ascii="Times New Roman" w:hAnsi="Times New Roman" w:cs="Times New Roman"/>
          <w:color w:val="000000" w:themeColor="text1"/>
          <w:sz w:val="24"/>
          <w:szCs w:val="24"/>
        </w:rPr>
        <w:t xml:space="preserve"> и </w:t>
      </w:r>
      <w:r w:rsidR="00121B69" w:rsidRPr="00ED079A">
        <w:rPr>
          <w:rFonts w:ascii="Times New Roman" w:hAnsi="Times New Roman" w:cs="Times New Roman"/>
          <w:color w:val="000000" w:themeColor="text1"/>
          <w:sz w:val="24"/>
          <w:szCs w:val="24"/>
        </w:rPr>
        <w:t xml:space="preserve">да </w:t>
      </w:r>
      <w:r w:rsidR="00B67CB5" w:rsidRPr="00ED079A">
        <w:rPr>
          <w:rFonts w:ascii="Times New Roman" w:hAnsi="Times New Roman" w:cs="Times New Roman"/>
          <w:color w:val="000000" w:themeColor="text1"/>
          <w:sz w:val="24"/>
          <w:szCs w:val="24"/>
        </w:rPr>
        <w:t>осъществяват дейностите по проекта на тер</w:t>
      </w:r>
      <w:r w:rsidR="0051128B" w:rsidRPr="00ED079A">
        <w:rPr>
          <w:rFonts w:ascii="Times New Roman" w:hAnsi="Times New Roman" w:cs="Times New Roman"/>
          <w:color w:val="000000" w:themeColor="text1"/>
          <w:sz w:val="24"/>
          <w:szCs w:val="24"/>
        </w:rPr>
        <w:t>иторията на действие на МИГ</w:t>
      </w:r>
      <w:r w:rsidR="00B67CB5" w:rsidRPr="00ED079A">
        <w:rPr>
          <w:rFonts w:ascii="Times New Roman" w:hAnsi="Times New Roman" w:cs="Times New Roman"/>
          <w:color w:val="000000" w:themeColor="text1"/>
          <w:sz w:val="24"/>
          <w:szCs w:val="24"/>
        </w:rPr>
        <w:t>.</w:t>
      </w:r>
    </w:p>
    <w:p w14:paraId="10C61BA3"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B1EFAB5" w14:textId="734AD312" w:rsidR="002438FB"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2</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CE0C05"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са търговци по смисъла на Търговския закон или Закона за кооперациите</w:t>
      </w:r>
      <w:r w:rsidR="00312286" w:rsidRPr="00ED079A">
        <w:rPr>
          <w:rFonts w:ascii="Times New Roman" w:hAnsi="Times New Roman" w:cs="Times New Roman"/>
          <w:color w:val="000000" w:themeColor="text1"/>
          <w:sz w:val="24"/>
          <w:szCs w:val="24"/>
        </w:rPr>
        <w:t>;</w:t>
      </w:r>
    </w:p>
    <w:p w14:paraId="0E84B7F7" w14:textId="77777777" w:rsidR="00312286" w:rsidRPr="00ED079A"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49239C7" w14:textId="189043CA" w:rsidR="00377A51" w:rsidRPr="00ED079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00205511" w:rsidRPr="00ED079A">
        <w:rPr>
          <w:rFonts w:ascii="Times New Roman" w:hAnsi="Times New Roman" w:cs="Times New Roman"/>
          <w:b/>
          <w:color w:val="000000" w:themeColor="text1"/>
          <w:sz w:val="24"/>
          <w:szCs w:val="24"/>
        </w:rPr>
        <w:t>.</w:t>
      </w:r>
      <w:r w:rsidR="001B6D92" w:rsidRPr="00ED079A">
        <w:rPr>
          <w:rFonts w:ascii="Times New Roman" w:hAnsi="Times New Roman" w:cs="Times New Roman"/>
          <w:color w:val="000000" w:themeColor="text1"/>
          <w:sz w:val="24"/>
          <w:szCs w:val="24"/>
        </w:rPr>
        <w:t xml:space="preserve"> </w:t>
      </w:r>
      <w:r w:rsidR="0075682B" w:rsidRPr="00ED079A">
        <w:rPr>
          <w:rFonts w:ascii="Times New Roman" w:hAnsi="Times New Roman" w:cs="Times New Roman"/>
          <w:color w:val="000000" w:themeColor="text1"/>
          <w:sz w:val="24"/>
          <w:szCs w:val="24"/>
        </w:rPr>
        <w:t>Д</w:t>
      </w:r>
      <w:r w:rsidR="00377A51" w:rsidRPr="00ED079A">
        <w:rPr>
          <w:rFonts w:ascii="Times New Roman" w:hAnsi="Times New Roman" w:cs="Times New Roman"/>
          <w:color w:val="000000" w:themeColor="text1"/>
          <w:sz w:val="24"/>
          <w:szCs w:val="24"/>
        </w:rPr>
        <w:t>а отговарят на изискванията за малко или средно предприятие съгласно Закона за малките и средни предприятия</w:t>
      </w:r>
      <w:r w:rsidR="00B67CB5" w:rsidRPr="00ED079A">
        <w:rPr>
          <w:rFonts w:ascii="Times New Roman" w:hAnsi="Times New Roman" w:cs="Times New Roman"/>
          <w:color w:val="000000" w:themeColor="text1"/>
          <w:sz w:val="24"/>
          <w:szCs w:val="24"/>
        </w:rPr>
        <w:t>.</w:t>
      </w:r>
    </w:p>
    <w:p w14:paraId="48BF3FDD" w14:textId="41E3D1E9" w:rsidR="0044063E" w:rsidRPr="00ED079A" w:rsidRDefault="009F547A"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Клонове на юридически лица</w:t>
      </w:r>
      <w:r w:rsidR="00F079F4" w:rsidRPr="00ED079A">
        <w:rPr>
          <w:rFonts w:ascii="Times New Roman" w:hAnsi="Times New Roman" w:cs="Times New Roman"/>
          <w:color w:val="000000" w:themeColor="text1"/>
          <w:sz w:val="24"/>
          <w:szCs w:val="24"/>
        </w:rPr>
        <w:t xml:space="preserve">, регистрирани </w:t>
      </w:r>
      <w:r w:rsidR="00C20B3D" w:rsidRPr="00ED079A">
        <w:rPr>
          <w:rFonts w:ascii="Times New Roman" w:hAnsi="Times New Roman" w:cs="Times New Roman"/>
          <w:color w:val="000000" w:themeColor="text1"/>
          <w:sz w:val="24"/>
          <w:szCs w:val="24"/>
        </w:rPr>
        <w:t>на територията на МИГ</w:t>
      </w:r>
      <w:r w:rsidR="000A568F" w:rsidRPr="00ED079A">
        <w:rPr>
          <w:rFonts w:ascii="Times New Roman" w:hAnsi="Times New Roman" w:cs="Times New Roman"/>
          <w:color w:val="000000" w:themeColor="text1"/>
          <w:sz w:val="24"/>
          <w:szCs w:val="24"/>
        </w:rPr>
        <w:t xml:space="preserve"> </w:t>
      </w:r>
      <w:r w:rsidR="00A55D5B" w:rsidRPr="00ED079A">
        <w:rPr>
          <w:rFonts w:ascii="Times New Roman" w:hAnsi="Times New Roman" w:cs="Times New Roman"/>
          <w:color w:val="000000" w:themeColor="text1"/>
          <w:sz w:val="24"/>
          <w:szCs w:val="24"/>
        </w:rPr>
        <w:t>Свиленград Ареал</w:t>
      </w:r>
      <w:r w:rsidR="00F733FA" w:rsidRPr="00ED079A">
        <w:rPr>
          <w:rFonts w:ascii="Times New Roman" w:hAnsi="Times New Roman" w:cs="Times New Roman"/>
          <w:color w:val="000000" w:themeColor="text1"/>
          <w:sz w:val="24"/>
          <w:szCs w:val="24"/>
        </w:rPr>
        <w:t>,</w:t>
      </w:r>
      <w:r w:rsidR="0044063E"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b/>
          <w:color w:val="000000" w:themeColor="text1"/>
          <w:sz w:val="24"/>
          <w:szCs w:val="24"/>
        </w:rPr>
        <w:t>не могат</w:t>
      </w:r>
      <w:r w:rsidR="0044063E" w:rsidRPr="00ED079A">
        <w:rPr>
          <w:rFonts w:ascii="Times New Roman" w:hAnsi="Times New Roman" w:cs="Times New Roman"/>
          <w:color w:val="000000" w:themeColor="text1"/>
          <w:sz w:val="24"/>
          <w:szCs w:val="24"/>
        </w:rPr>
        <w:t xml:space="preserve"> да участват в процедурата за подбор на проекти поради липсата на самостоятелна правосубектност.</w:t>
      </w:r>
      <w:r w:rsidR="0079396C" w:rsidRPr="00ED079A">
        <w:rPr>
          <w:rFonts w:ascii="Times New Roman" w:hAnsi="Times New Roman" w:cs="Times New Roman"/>
          <w:color w:val="000000" w:themeColor="text1"/>
          <w:sz w:val="24"/>
          <w:szCs w:val="24"/>
        </w:rPr>
        <w:t xml:space="preserve"> </w:t>
      </w:r>
    </w:p>
    <w:p w14:paraId="6C01E071" w14:textId="77777777" w:rsidR="0044063E" w:rsidRPr="00ED079A" w:rsidRDefault="00121B69"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w:t>
      </w:r>
      <w:r w:rsidR="0044063E" w:rsidRPr="00ED079A">
        <w:rPr>
          <w:rFonts w:ascii="Times New Roman" w:hAnsi="Times New Roman" w:cs="Times New Roman"/>
          <w:color w:val="000000" w:themeColor="text1"/>
          <w:sz w:val="24"/>
          <w:szCs w:val="24"/>
        </w:rPr>
        <w:t>Кандидатите по настоящата процедура са длъжни да удостоверят, че са малко или средно предприятие по смисъла на Закона за малките и средните предприятия, като попълнят и представят към проектните предложения Декларация за обстоятелствата по чл</w:t>
      </w:r>
      <w:r w:rsidR="00C2327C" w:rsidRPr="00ED079A">
        <w:rPr>
          <w:rFonts w:ascii="Times New Roman" w:hAnsi="Times New Roman" w:cs="Times New Roman"/>
          <w:color w:val="000000" w:themeColor="text1"/>
          <w:sz w:val="24"/>
          <w:szCs w:val="24"/>
        </w:rPr>
        <w:t>. 3 и чл. 4 от ЗМСП.</w:t>
      </w:r>
    </w:p>
    <w:p w14:paraId="1F0C431E" w14:textId="77777777" w:rsidR="00FF2970" w:rsidRPr="00ED079A" w:rsidRDefault="00B67CB5" w:rsidP="00F26FF5">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Преди сключване на Административен договор за предоставяне на безвъзмездна финансова помощ, Управляващият орган извършва документална проверка на декларираната от одобрените кандидати на етап кандидатстване категория на малко или средно предприятие. В случай, че бъде установена погрешно декларирана категория, извън допустимите, ще бъде издадено Решение за отказ за предоставяне на безвъзмездна финансова помощ за съответния кандидат.</w:t>
      </w:r>
    </w:p>
    <w:p w14:paraId="34779750"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AF4A17D" w14:textId="718565BC"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4</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color w:val="000000" w:themeColor="text1"/>
          <w:sz w:val="24"/>
          <w:szCs w:val="24"/>
        </w:rPr>
        <w:t xml:space="preserve"> Кандидати могат да участват в процедурата за подбор на проекти и да получат безвъзмездна финансова помощ в случай че не попадат в забранителните режими на Регламент (ЕС) № 1407/2013 на Комисията от 18 декември 2013 г.</w:t>
      </w:r>
    </w:p>
    <w:p w14:paraId="45E438EA" w14:textId="77777777" w:rsidR="002438FB" w:rsidRPr="00ED079A"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F683043" w14:textId="259CD6D5" w:rsidR="00B67CB5" w:rsidRPr="00ED079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5</w:t>
      </w:r>
      <w:r w:rsidR="00205511" w:rsidRPr="00ED079A">
        <w:rPr>
          <w:rFonts w:ascii="Times New Roman" w:hAnsi="Times New Roman" w:cs="Times New Roman"/>
          <w:b/>
          <w:color w:val="000000" w:themeColor="text1"/>
          <w:sz w:val="24"/>
          <w:szCs w:val="24"/>
        </w:rPr>
        <w:t>.</w:t>
      </w:r>
      <w:r w:rsidR="00B67CB5" w:rsidRPr="00ED079A">
        <w:rPr>
          <w:rFonts w:ascii="Times New Roman" w:hAnsi="Times New Roman" w:cs="Times New Roman"/>
          <w:b/>
          <w:color w:val="000000" w:themeColor="text1"/>
          <w:sz w:val="24"/>
          <w:szCs w:val="24"/>
        </w:rPr>
        <w:t xml:space="preserve"> </w:t>
      </w:r>
      <w:r w:rsidR="00B67CB5" w:rsidRPr="00ED079A">
        <w:rPr>
          <w:rFonts w:ascii="Times New Roman" w:hAnsi="Times New Roman" w:cs="Times New Roman"/>
          <w:color w:val="000000" w:themeColor="text1"/>
          <w:sz w:val="24"/>
          <w:szCs w:val="24"/>
        </w:rPr>
        <w:t>Кандидати 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A5D5F8E" w14:textId="77777777" w:rsidR="008A044B" w:rsidRPr="00ED079A" w:rsidRDefault="008A044B"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7666E91" w14:textId="66CE80D5" w:rsidR="008A044B" w:rsidRPr="00ED079A" w:rsidRDefault="0020551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6.</w:t>
      </w:r>
      <w:r w:rsidRPr="00ED079A">
        <w:rPr>
          <w:rFonts w:ascii="Times New Roman" w:hAnsi="Times New Roman" w:cs="Times New Roman"/>
          <w:color w:val="000000" w:themeColor="text1"/>
          <w:sz w:val="24"/>
          <w:szCs w:val="24"/>
        </w:rPr>
        <w:t xml:space="preserve"> </w:t>
      </w:r>
      <w:r w:rsidR="008A044B" w:rsidRPr="00ED079A">
        <w:rPr>
          <w:rFonts w:ascii="Times New Roman" w:hAnsi="Times New Roman" w:cs="Times New Roman"/>
          <w:color w:val="000000" w:themeColor="text1"/>
          <w:sz w:val="24"/>
          <w:szCs w:val="24"/>
        </w:rPr>
        <w:t xml:space="preserve">Подкрепят се само МСП, които оперират в </w:t>
      </w:r>
      <w:r w:rsidR="0070397B" w:rsidRPr="00ED079A">
        <w:rPr>
          <w:rFonts w:ascii="Times New Roman" w:hAnsi="Times New Roman" w:cs="Times New Roman"/>
          <w:color w:val="000000" w:themeColor="text1"/>
          <w:sz w:val="24"/>
          <w:szCs w:val="24"/>
        </w:rPr>
        <w:t>секторите на икономическа дейност съгласно тяхната технологична интензивност, изведени като приоритетни</w:t>
      </w:r>
      <w:r w:rsidR="008A044B" w:rsidRPr="00ED079A">
        <w:rPr>
          <w:rFonts w:ascii="Times New Roman" w:hAnsi="Times New Roman" w:cs="Times New Roman"/>
          <w:color w:val="000000" w:themeColor="text1"/>
          <w:sz w:val="24"/>
          <w:szCs w:val="24"/>
        </w:rPr>
        <w:t xml:space="preserve"> съгласно Националната стратегия за насърчаване на малките и средните предприятия 2014-2020 (НСНМСП), както следва:</w:t>
      </w:r>
    </w:p>
    <w:p w14:paraId="1FAC8559" w14:textId="77777777" w:rsidR="00EB50E5" w:rsidRPr="00ED079A" w:rsidRDefault="00EB50E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884648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Високотехнологични и средно високотехнологични  промишлени производства:</w:t>
      </w:r>
    </w:p>
    <w:p w14:paraId="4A12380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С20 „Производство на химични продукти“</w:t>
      </w:r>
    </w:p>
    <w:p w14:paraId="37FD7230"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C21 „Производството на лекарствени вещества и продукти“ </w:t>
      </w:r>
    </w:p>
    <w:p w14:paraId="1112740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C26 „Производството на компютърна и комуникационна техника, електронни и оптични продукти“ </w:t>
      </w:r>
    </w:p>
    <w:p w14:paraId="0BF918A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С27 „Производство на електрически съоръжения“</w:t>
      </w:r>
    </w:p>
    <w:p w14:paraId="6E34047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С28 „Производство на машини и оборудване, с общо и специално предназначение“</w:t>
      </w:r>
    </w:p>
    <w:p w14:paraId="5C9CAA8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С29 „Производство на автомобили, ремаркета и полуремаркета“</w:t>
      </w:r>
    </w:p>
    <w:p w14:paraId="01475178"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С30 „Производство на превозни средства, без автомобили“</w:t>
      </w:r>
    </w:p>
    <w:p w14:paraId="280D1A3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Интензивни на знание услуги:</w:t>
      </w:r>
    </w:p>
    <w:p w14:paraId="19B2D37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J58 „Издателска дейност“</w:t>
      </w:r>
    </w:p>
    <w:p w14:paraId="7C66953D"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J59 „Производството на филми и телевизионни предавания, звукозаписване и издаване на музика“ </w:t>
      </w:r>
    </w:p>
    <w:p w14:paraId="06783F09"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J60 „Радио- и телевизионна дейност“ </w:t>
      </w:r>
    </w:p>
    <w:p w14:paraId="4E16ED7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J61 „Далекосъобщения“</w:t>
      </w:r>
    </w:p>
    <w:p w14:paraId="60A207F0"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J62 „Дейности в областта на информационните технологии“</w:t>
      </w:r>
    </w:p>
    <w:p w14:paraId="4317641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J63 „Информационни услуги“</w:t>
      </w:r>
    </w:p>
    <w:p w14:paraId="7368BC3F"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М72 „Научноизследователска и развойна дейност“</w:t>
      </w:r>
    </w:p>
    <w:p w14:paraId="140AA59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t>Нискотехнологични и средно нискотехнологични  промишлени производства</w:t>
      </w:r>
      <w:r w:rsidR="00080925" w:rsidRPr="00ED079A">
        <w:rPr>
          <w:rStyle w:val="a8"/>
          <w:rFonts w:ascii="Times New Roman" w:hAnsi="Times New Roman" w:cs="Times New Roman"/>
          <w:b/>
          <w:color w:val="000000" w:themeColor="text1"/>
          <w:sz w:val="24"/>
          <w:szCs w:val="24"/>
        </w:rPr>
        <w:footnoteReference w:id="3"/>
      </w:r>
      <w:r w:rsidRPr="00ED079A">
        <w:rPr>
          <w:rFonts w:ascii="Times New Roman" w:hAnsi="Times New Roman" w:cs="Times New Roman"/>
          <w:b/>
          <w:color w:val="000000" w:themeColor="text1"/>
          <w:sz w:val="24"/>
          <w:szCs w:val="24"/>
        </w:rPr>
        <w:t>:</w:t>
      </w:r>
    </w:p>
    <w:p w14:paraId="777E55B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С10 „Производство на хранителни продукти“</w:t>
      </w:r>
    </w:p>
    <w:p w14:paraId="44AAFD23"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С11 „Производство на напитки“</w:t>
      </w:r>
    </w:p>
    <w:p w14:paraId="6EBDEF45"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С13 „Производство на текстил и изделия от текстил, без облекло“</w:t>
      </w:r>
    </w:p>
    <w:p w14:paraId="079115D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С14 „Производство на облекло“</w:t>
      </w:r>
    </w:p>
    <w:p w14:paraId="63FEAE31"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С15 „Обработка на кожи; производство на обувки и други изделия от обработени кожи без косъм“</w:t>
      </w:r>
    </w:p>
    <w:p w14:paraId="3C6D81A4"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С16 „Производство на дървен материал и изделия от дървен материал и корк, без мебели; производство на изделия от слама и материали за плетене“</w:t>
      </w:r>
    </w:p>
    <w:p w14:paraId="390E3E50" w14:textId="030ADE6D" w:rsidR="00EE3FE8" w:rsidRPr="00ED079A" w:rsidRDefault="008F05F8"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ВАЖНО:</w:t>
      </w:r>
      <w:r w:rsidRPr="00ED079A">
        <w:rPr>
          <w:rFonts w:ascii="Times New Roman" w:hAnsi="Times New Roman" w:cs="Times New Roman"/>
          <w:color w:val="000000" w:themeColor="text1"/>
          <w:sz w:val="24"/>
          <w:szCs w:val="24"/>
        </w:rPr>
        <w:t xml:space="preserve"> Производството на пелети (което е част от код С16.29) е недопустимо по настоящата процедура, с изключение на пелети получени от индустриалната преработка </w:t>
      </w:r>
      <w:r w:rsidRPr="00ED079A">
        <w:rPr>
          <w:rFonts w:ascii="Times New Roman" w:hAnsi="Times New Roman" w:cs="Times New Roman"/>
          <w:color w:val="000000" w:themeColor="text1"/>
          <w:sz w:val="24"/>
          <w:szCs w:val="24"/>
        </w:rPr>
        <w:lastRenderedPageBreak/>
        <w:t>на дървесина. Производството на дърва за горене, изделия от корк, слама и материали за плетене (което също е част от код С16.29) е недопустимо по настоящата процедура.</w:t>
      </w:r>
      <w:r w:rsidR="00EE3FE8" w:rsidRPr="00ED079A">
        <w:rPr>
          <w:rFonts w:ascii="Times New Roman" w:eastAsia="Times New Roman" w:hAnsi="Times New Roman" w:cs="Times New Roman"/>
        </w:rPr>
        <w:t xml:space="preserve"> Недопустим за подкрепа е и код на икономическа дейност С16.10 „Разкрояване, рендосване</w:t>
      </w:r>
      <w:r w:rsidR="00EE3FE8" w:rsidRPr="00ED079A">
        <w:rPr>
          <w:rFonts w:ascii="Times New Roman" w:eastAsia="Times New Roman" w:hAnsi="Times New Roman" w:cs="Times New Roman"/>
          <w:spacing w:val="48"/>
        </w:rPr>
        <w:t xml:space="preserve"> </w:t>
      </w:r>
      <w:r w:rsidR="00EE3FE8" w:rsidRPr="00ED079A">
        <w:rPr>
          <w:rFonts w:ascii="Times New Roman" w:eastAsia="Times New Roman" w:hAnsi="Times New Roman" w:cs="Times New Roman"/>
        </w:rPr>
        <w:t>и</w:t>
      </w:r>
      <w:r w:rsidR="00EE3FE8" w:rsidRPr="00ED079A">
        <w:rPr>
          <w:rFonts w:ascii="Times New Roman" w:eastAsia="Times New Roman" w:hAnsi="Times New Roman" w:cs="Times New Roman"/>
          <w:spacing w:val="51"/>
        </w:rPr>
        <w:t xml:space="preserve"> </w:t>
      </w:r>
      <w:r w:rsidR="00EE3FE8" w:rsidRPr="00ED079A">
        <w:rPr>
          <w:rFonts w:ascii="Times New Roman" w:eastAsia="Times New Roman" w:hAnsi="Times New Roman" w:cs="Times New Roman"/>
        </w:rPr>
        <w:t>импрегниране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дървен</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материал“,</w:t>
      </w:r>
      <w:r w:rsidR="00EE3FE8" w:rsidRPr="00ED079A">
        <w:rPr>
          <w:rFonts w:ascii="Times New Roman" w:eastAsia="Times New Roman" w:hAnsi="Times New Roman" w:cs="Times New Roman"/>
          <w:spacing w:val="50"/>
        </w:rPr>
        <w:t xml:space="preserve"> </w:t>
      </w:r>
      <w:r w:rsidR="00EE3FE8" w:rsidRPr="00ED079A">
        <w:rPr>
          <w:rFonts w:ascii="Times New Roman" w:eastAsia="Times New Roman" w:hAnsi="Times New Roman" w:cs="Times New Roman"/>
        </w:rPr>
        <w:t>с</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изключение</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производството</w:t>
      </w:r>
      <w:r w:rsidR="00EE3FE8" w:rsidRPr="00ED079A">
        <w:rPr>
          <w:rFonts w:ascii="Times New Roman" w:eastAsia="Times New Roman" w:hAnsi="Times New Roman" w:cs="Times New Roman"/>
          <w:spacing w:val="49"/>
        </w:rPr>
        <w:t xml:space="preserve"> </w:t>
      </w:r>
      <w:r w:rsidR="00EE3FE8" w:rsidRPr="00ED079A">
        <w:rPr>
          <w:rFonts w:ascii="Times New Roman" w:eastAsia="Times New Roman" w:hAnsi="Times New Roman" w:cs="Times New Roman"/>
        </w:rPr>
        <w:t>на</w:t>
      </w:r>
      <w:r w:rsidR="00EE3FE8" w:rsidRPr="00ED079A">
        <w:rPr>
          <w:rFonts w:ascii="Times New Roman" w:hAnsi="Times New Roman" w:cs="Times New Roman"/>
          <w:color w:val="000000" w:themeColor="text1"/>
          <w:sz w:val="24"/>
          <w:szCs w:val="24"/>
        </w:rPr>
        <w:t xml:space="preserve"> </w:t>
      </w:r>
      <w:r w:rsidR="00EE3FE8" w:rsidRPr="00ED079A">
        <w:rPr>
          <w:rFonts w:ascii="Times New Roman" w:eastAsia="Times New Roman" w:hAnsi="Times New Roman" w:cs="Times New Roman"/>
        </w:rPr>
        <w:t>несглобени дървени паркетни дъски.</w:t>
      </w:r>
    </w:p>
    <w:p w14:paraId="0E0C88B4" w14:textId="72794599" w:rsidR="000E39E6" w:rsidRPr="00ED079A" w:rsidRDefault="000E39E6"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С17 „Производство на хартия, картон и изделия от хартия и картон“</w:t>
      </w:r>
      <w:r w:rsidR="005667F5" w:rsidRPr="00ED079A">
        <w:rPr>
          <w:rFonts w:ascii="Times New Roman" w:hAnsi="Times New Roman" w:cs="Times New Roman"/>
          <w:color w:val="000000" w:themeColor="text1"/>
          <w:sz w:val="24"/>
          <w:szCs w:val="24"/>
        </w:rPr>
        <w:tab/>
      </w:r>
    </w:p>
    <w:p w14:paraId="11E5182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С18 „Печатна дейност и възпроизвеждане на записани носители“</w:t>
      </w:r>
    </w:p>
    <w:p w14:paraId="1CDCD4A2"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С19 „Производство на кокс и рафинирани нефтопродукти“</w:t>
      </w:r>
    </w:p>
    <w:p w14:paraId="5ED6085E"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С22 „Производство на изделия от каучук и пластмаси“</w:t>
      </w:r>
    </w:p>
    <w:p w14:paraId="540BDCDB"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С23 „Производство на изделия от други неметални минерални суровини“</w:t>
      </w:r>
    </w:p>
    <w:p w14:paraId="6624AE2C"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С24 „Производство на основни метали“</w:t>
      </w:r>
    </w:p>
    <w:p w14:paraId="283ACE6A" w14:textId="77777777" w:rsidR="000E39E6" w:rsidRPr="00ED079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С25 „Производство на метални изделия, без машини и оборудване“</w:t>
      </w:r>
    </w:p>
    <w:p w14:paraId="730D78B8"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С31 „Производство на мебели“</w:t>
      </w:r>
    </w:p>
    <w:p w14:paraId="66DD1E3B"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С32 „Производство, некласифицирано другаде“</w:t>
      </w:r>
    </w:p>
    <w:p w14:paraId="4BDDB325" w14:textId="77777777" w:rsidR="000E39E6" w:rsidRPr="00ED079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С33 „Ремонт и инсталиране на машини и оборудване“.</w:t>
      </w:r>
    </w:p>
    <w:p w14:paraId="58E4E7B0" w14:textId="77777777" w:rsidR="00752C07" w:rsidRPr="00ED079A" w:rsidRDefault="00752C07" w:rsidP="001E37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0993748" w14:textId="77777777" w:rsidR="00386A9E" w:rsidRPr="00ED079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Моля, имайте предвид, че за определяне на допустимостта съгласно </w:t>
      </w:r>
      <w:r w:rsidR="00E4112B" w:rsidRPr="00ED079A">
        <w:rPr>
          <w:rFonts w:ascii="Times New Roman" w:hAnsi="Times New Roman" w:cs="Times New Roman"/>
          <w:color w:val="000000" w:themeColor="text1"/>
          <w:sz w:val="24"/>
          <w:szCs w:val="24"/>
        </w:rPr>
        <w:t>посочения критерий се използва К</w:t>
      </w:r>
      <w:r w:rsidRPr="00ED079A">
        <w:rPr>
          <w:rFonts w:ascii="Times New Roman" w:hAnsi="Times New Roman" w:cs="Times New Roman"/>
          <w:color w:val="000000" w:themeColor="text1"/>
          <w:sz w:val="24"/>
          <w:szCs w:val="24"/>
        </w:rPr>
        <w:t xml:space="preserve">ласификация </w:t>
      </w:r>
      <w:r w:rsidR="00E4112B" w:rsidRPr="00ED079A">
        <w:rPr>
          <w:rFonts w:ascii="Times New Roman" w:hAnsi="Times New Roman" w:cs="Times New Roman"/>
          <w:color w:val="000000" w:themeColor="text1"/>
          <w:sz w:val="24"/>
          <w:szCs w:val="24"/>
        </w:rPr>
        <w:t>на икономическите дейности (</w:t>
      </w:r>
      <w:r w:rsidRPr="00ED079A">
        <w:rPr>
          <w:rFonts w:ascii="Times New Roman" w:hAnsi="Times New Roman" w:cs="Times New Roman"/>
          <w:color w:val="000000" w:themeColor="text1"/>
          <w:sz w:val="24"/>
          <w:szCs w:val="24"/>
        </w:rPr>
        <w:t xml:space="preserve">КИД-2008 – Приложение </w:t>
      </w:r>
      <w:r w:rsidR="00950BE6" w:rsidRPr="00ED079A">
        <w:rPr>
          <w:rFonts w:ascii="Times New Roman" w:hAnsi="Times New Roman" w:cs="Times New Roman"/>
          <w:color w:val="000000" w:themeColor="text1"/>
          <w:sz w:val="24"/>
          <w:szCs w:val="24"/>
        </w:rPr>
        <w:t>4</w:t>
      </w:r>
      <w:r w:rsidRPr="00ED079A">
        <w:rPr>
          <w:rFonts w:ascii="Times New Roman" w:hAnsi="Times New Roman" w:cs="Times New Roman"/>
          <w:color w:val="000000" w:themeColor="text1"/>
          <w:sz w:val="24"/>
          <w:szCs w:val="24"/>
        </w:rPr>
        <w:t xml:space="preserve"> към </w:t>
      </w:r>
      <w:r w:rsidR="00021A5F" w:rsidRPr="00ED079A">
        <w:rPr>
          <w:rFonts w:ascii="Times New Roman" w:hAnsi="Times New Roman" w:cs="Times New Roman"/>
          <w:color w:val="000000" w:themeColor="text1"/>
          <w:sz w:val="24"/>
          <w:szCs w:val="24"/>
        </w:rPr>
        <w:t xml:space="preserve">Условията </w:t>
      </w:r>
      <w:r w:rsidRPr="00ED079A">
        <w:rPr>
          <w:rFonts w:ascii="Times New Roman" w:hAnsi="Times New Roman" w:cs="Times New Roman"/>
          <w:color w:val="000000" w:themeColor="text1"/>
          <w:sz w:val="24"/>
          <w:szCs w:val="24"/>
        </w:rPr>
        <w:t xml:space="preserve">за кандидатстване). </w:t>
      </w:r>
    </w:p>
    <w:p w14:paraId="03B64795" w14:textId="0914A8BF" w:rsidR="007509A9" w:rsidRPr="00ED079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Допълнително, при определяне на допустимостта съгласно посочения критерий, кандидатите следва да се съобразят с изрично посочените по-долу недо</w:t>
      </w:r>
      <w:r w:rsidR="000C2900" w:rsidRPr="00ED079A">
        <w:rPr>
          <w:rFonts w:ascii="Times New Roman" w:hAnsi="Times New Roman" w:cs="Times New Roman"/>
          <w:color w:val="000000" w:themeColor="text1"/>
          <w:sz w:val="24"/>
          <w:szCs w:val="24"/>
        </w:rPr>
        <w:t xml:space="preserve">пустими сектори съгласно т. 11.2 от </w:t>
      </w:r>
      <w:r w:rsidR="00021A5F" w:rsidRPr="00ED079A">
        <w:rPr>
          <w:rFonts w:ascii="Times New Roman" w:hAnsi="Times New Roman" w:cs="Times New Roman"/>
          <w:color w:val="000000" w:themeColor="text1"/>
          <w:sz w:val="24"/>
          <w:szCs w:val="24"/>
        </w:rPr>
        <w:t>Условията</w:t>
      </w:r>
      <w:r w:rsidR="000C2900" w:rsidRPr="00ED079A">
        <w:rPr>
          <w:rFonts w:ascii="Times New Roman" w:hAnsi="Times New Roman" w:cs="Times New Roman"/>
          <w:color w:val="000000" w:themeColor="text1"/>
          <w:sz w:val="24"/>
          <w:szCs w:val="24"/>
        </w:rPr>
        <w:t xml:space="preserve"> за кандидатстване</w:t>
      </w:r>
      <w:bookmarkStart w:id="14" w:name="_Toc494709512"/>
    </w:p>
    <w:p w14:paraId="249BC4BB" w14:textId="77777777" w:rsidR="007509A9" w:rsidRPr="00ED079A" w:rsidRDefault="007509A9"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AC5C2F1" w14:textId="02E4CAAB" w:rsidR="0024084B" w:rsidRPr="00ED079A" w:rsidRDefault="00023DCA"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7.</w:t>
      </w:r>
      <w:r w:rsidRPr="00ED079A">
        <w:rPr>
          <w:rFonts w:ascii="Times New Roman" w:hAnsi="Times New Roman" w:cs="Times New Roman"/>
          <w:color w:val="000000" w:themeColor="text1"/>
          <w:sz w:val="24"/>
          <w:szCs w:val="24"/>
        </w:rPr>
        <w:t xml:space="preserve"> </w:t>
      </w:r>
      <w:r w:rsidR="0096679E" w:rsidRPr="00ED079A">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 xml:space="preserve"> </w:t>
      </w:r>
      <w:r w:rsidR="0096679E" w:rsidRPr="00ED079A">
        <w:rPr>
          <w:rFonts w:ascii="Times New Roman" w:hAnsi="Times New Roman" w:cs="Times New Roman"/>
          <w:color w:val="000000" w:themeColor="text1"/>
          <w:sz w:val="24"/>
          <w:szCs w:val="24"/>
        </w:rPr>
        <w:t xml:space="preserve">Да имат минимум три приключени </w:t>
      </w:r>
      <w:r w:rsidR="008F1852" w:rsidRPr="00ED079A">
        <w:rPr>
          <w:rFonts w:ascii="Times New Roman" w:hAnsi="Times New Roman" w:cs="Times New Roman"/>
          <w:color w:val="000000" w:themeColor="text1"/>
          <w:sz w:val="24"/>
          <w:szCs w:val="24"/>
        </w:rPr>
        <w:t xml:space="preserve">финансови </w:t>
      </w:r>
      <w:r w:rsidR="0096679E" w:rsidRPr="00ED079A">
        <w:rPr>
          <w:rFonts w:ascii="Times New Roman" w:hAnsi="Times New Roman" w:cs="Times New Roman"/>
          <w:color w:val="000000" w:themeColor="text1"/>
          <w:sz w:val="24"/>
          <w:szCs w:val="24"/>
        </w:rPr>
        <w:t>години</w:t>
      </w:r>
      <w:r w:rsidR="0096679E" w:rsidRPr="00ED079A" w:rsidDel="0096679E">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преди датата на обявяване на процедурата за подбор на проекти</w:t>
      </w:r>
      <w:r w:rsidR="0096679E" w:rsidRPr="00ED079A">
        <w:rPr>
          <w:rFonts w:ascii="Times New Roman" w:hAnsi="Times New Roman" w:cs="Times New Roman"/>
          <w:color w:val="000000" w:themeColor="text1"/>
          <w:sz w:val="24"/>
          <w:szCs w:val="24"/>
        </w:rPr>
        <w:t>:</w:t>
      </w:r>
      <w:r w:rsidR="001862F0" w:rsidRPr="00ED079A">
        <w:rPr>
          <w:rFonts w:ascii="Times New Roman" w:hAnsi="Times New Roman" w:cs="Times New Roman"/>
          <w:color w:val="000000" w:themeColor="text1"/>
          <w:sz w:val="24"/>
          <w:szCs w:val="24"/>
        </w:rPr>
        <w:t xml:space="preserve"> 201</w:t>
      </w:r>
      <w:r w:rsidR="00334A52" w:rsidRPr="00ED079A">
        <w:rPr>
          <w:rFonts w:ascii="Times New Roman" w:hAnsi="Times New Roman" w:cs="Times New Roman"/>
          <w:color w:val="000000" w:themeColor="text1"/>
          <w:sz w:val="24"/>
          <w:szCs w:val="24"/>
        </w:rPr>
        <w:t>8</w:t>
      </w:r>
      <w:r w:rsidR="001862F0" w:rsidRPr="00ED079A">
        <w:rPr>
          <w:rFonts w:ascii="Times New Roman" w:hAnsi="Times New Roman" w:cs="Times New Roman"/>
          <w:color w:val="000000" w:themeColor="text1"/>
          <w:sz w:val="24"/>
          <w:szCs w:val="24"/>
        </w:rPr>
        <w:t>, 201</w:t>
      </w:r>
      <w:r w:rsidR="00334A52" w:rsidRPr="00ED079A">
        <w:rPr>
          <w:rFonts w:ascii="Times New Roman" w:hAnsi="Times New Roman" w:cs="Times New Roman"/>
          <w:color w:val="000000" w:themeColor="text1"/>
          <w:sz w:val="24"/>
          <w:szCs w:val="24"/>
        </w:rPr>
        <w:t>9</w:t>
      </w:r>
      <w:r w:rsidR="001862F0" w:rsidRPr="00ED079A">
        <w:rPr>
          <w:rFonts w:ascii="Times New Roman" w:hAnsi="Times New Roman" w:cs="Times New Roman"/>
          <w:color w:val="000000" w:themeColor="text1"/>
          <w:sz w:val="24"/>
          <w:szCs w:val="24"/>
        </w:rPr>
        <w:t xml:space="preserve"> и 20</w:t>
      </w:r>
      <w:r w:rsidR="00334A52" w:rsidRPr="00ED079A">
        <w:rPr>
          <w:rFonts w:ascii="Times New Roman" w:hAnsi="Times New Roman" w:cs="Times New Roman"/>
          <w:color w:val="000000" w:themeColor="text1"/>
          <w:sz w:val="24"/>
          <w:szCs w:val="24"/>
        </w:rPr>
        <w:t>20</w:t>
      </w:r>
      <w:r w:rsidR="001862F0" w:rsidRPr="00ED079A">
        <w:rPr>
          <w:rFonts w:ascii="Times New Roman" w:hAnsi="Times New Roman" w:cs="Times New Roman"/>
          <w:color w:val="000000" w:themeColor="text1"/>
          <w:sz w:val="24"/>
          <w:szCs w:val="24"/>
        </w:rPr>
        <w:t xml:space="preserve"> г.</w:t>
      </w:r>
    </w:p>
    <w:p w14:paraId="4FD45D02" w14:textId="2AB97704" w:rsidR="0024084B" w:rsidRPr="00ED079A" w:rsidRDefault="00B23F29" w:rsidP="0024084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8.</w:t>
      </w:r>
      <w:r w:rsidRPr="00ED079A">
        <w:rPr>
          <w:rFonts w:ascii="Times New Roman" w:hAnsi="Times New Roman" w:cs="Times New Roman"/>
          <w:color w:val="000000" w:themeColor="text1"/>
          <w:sz w:val="24"/>
          <w:szCs w:val="24"/>
        </w:rPr>
        <w:t xml:space="preserve"> </w:t>
      </w:r>
      <w:r w:rsidR="0024084B" w:rsidRPr="00ED079A">
        <w:rPr>
          <w:rFonts w:ascii="Times New Roman" w:hAnsi="Times New Roman" w:cs="Times New Roman"/>
          <w:color w:val="000000" w:themeColor="text1"/>
          <w:sz w:val="24"/>
          <w:szCs w:val="24"/>
        </w:rPr>
        <w:t>Да са реализирали нетни приходи от продажби общо за последните три приключени финансови години в зависимост от категорията на предприятието-кандидат, както следва:</w:t>
      </w:r>
    </w:p>
    <w:tbl>
      <w:tblPr>
        <w:tblStyle w:val="af"/>
        <w:tblW w:w="9640" w:type="dxa"/>
        <w:tblLook w:val="04A0" w:firstRow="1" w:lastRow="0" w:firstColumn="1" w:lastColumn="0" w:noHBand="0" w:noVBand="1"/>
      </w:tblPr>
      <w:tblGrid>
        <w:gridCol w:w="4895"/>
        <w:gridCol w:w="4745"/>
      </w:tblGrid>
      <w:tr w:rsidR="0024084B" w:rsidRPr="00ED079A" w14:paraId="519F4808" w14:textId="77777777" w:rsidTr="00846282">
        <w:tc>
          <w:tcPr>
            <w:tcW w:w="4895" w:type="dxa"/>
            <w:shd w:val="clear" w:color="auto" w:fill="D9D9D9" w:themeFill="background1" w:themeFillShade="D9"/>
            <w:vAlign w:val="center"/>
          </w:tcPr>
          <w:p w14:paraId="2100FE2E" w14:textId="77777777" w:rsidR="0024084B" w:rsidRPr="00ED079A" w:rsidRDefault="0024084B" w:rsidP="00F71F8E">
            <w:pPr>
              <w:pStyle w:val="a4"/>
              <w:spacing w:line="276" w:lineRule="auto"/>
              <w:ind w:left="0"/>
              <w:jc w:val="center"/>
              <w:rPr>
                <w:b/>
                <w:color w:val="000000" w:themeColor="text1"/>
                <w:sz w:val="24"/>
                <w:szCs w:val="24"/>
              </w:rPr>
            </w:pPr>
          </w:p>
          <w:p w14:paraId="3E23E621"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t>Категория на предприятието</w:t>
            </w:r>
          </w:p>
          <w:p w14:paraId="02405B68" w14:textId="77777777" w:rsidR="0024084B" w:rsidRPr="00ED079A" w:rsidRDefault="0024084B" w:rsidP="00F71F8E">
            <w:pPr>
              <w:pStyle w:val="a4"/>
              <w:spacing w:line="276" w:lineRule="auto"/>
              <w:ind w:left="0"/>
              <w:jc w:val="center"/>
              <w:rPr>
                <w:b/>
                <w:color w:val="000000" w:themeColor="text1"/>
                <w:sz w:val="24"/>
                <w:szCs w:val="24"/>
              </w:rPr>
            </w:pPr>
          </w:p>
        </w:tc>
        <w:tc>
          <w:tcPr>
            <w:tcW w:w="4745" w:type="dxa"/>
            <w:shd w:val="clear" w:color="auto" w:fill="D9D9D9" w:themeFill="background1" w:themeFillShade="D9"/>
            <w:vAlign w:val="center"/>
          </w:tcPr>
          <w:p w14:paraId="79FF48F8" w14:textId="77777777" w:rsidR="0024084B" w:rsidRPr="00ED079A" w:rsidRDefault="0024084B" w:rsidP="00F71F8E">
            <w:pPr>
              <w:pStyle w:val="a4"/>
              <w:spacing w:line="276" w:lineRule="auto"/>
              <w:ind w:left="0"/>
              <w:jc w:val="center"/>
              <w:rPr>
                <w:b/>
                <w:color w:val="000000" w:themeColor="text1"/>
                <w:sz w:val="24"/>
                <w:szCs w:val="24"/>
              </w:rPr>
            </w:pPr>
            <w:r w:rsidRPr="00ED079A">
              <w:rPr>
                <w:b/>
                <w:color w:val="000000" w:themeColor="text1"/>
                <w:sz w:val="24"/>
                <w:szCs w:val="24"/>
              </w:rPr>
              <w:t>Нетни приходи от продажби</w:t>
            </w:r>
            <w:r w:rsidRPr="00ED079A">
              <w:rPr>
                <w:rStyle w:val="a8"/>
                <w:b/>
                <w:color w:val="000000" w:themeColor="text1"/>
                <w:sz w:val="24"/>
                <w:szCs w:val="24"/>
              </w:rPr>
              <w:footnoteReference w:id="4"/>
            </w:r>
          </w:p>
        </w:tc>
      </w:tr>
      <w:tr w:rsidR="0024084B" w:rsidRPr="00ED079A" w14:paraId="3419B1A1" w14:textId="77777777" w:rsidTr="00846282">
        <w:tc>
          <w:tcPr>
            <w:tcW w:w="4895" w:type="dxa"/>
            <w:vAlign w:val="center"/>
          </w:tcPr>
          <w:p w14:paraId="669B4813"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t>Малко предприятие</w:t>
            </w:r>
          </w:p>
        </w:tc>
        <w:tc>
          <w:tcPr>
            <w:tcW w:w="4745" w:type="dxa"/>
            <w:vAlign w:val="center"/>
          </w:tcPr>
          <w:p w14:paraId="6E28F3B1"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750 000 лева</w:t>
            </w:r>
          </w:p>
        </w:tc>
      </w:tr>
      <w:tr w:rsidR="0024084B" w:rsidRPr="00ED079A" w14:paraId="13EFE596" w14:textId="77777777" w:rsidTr="00846282">
        <w:tc>
          <w:tcPr>
            <w:tcW w:w="4895" w:type="dxa"/>
            <w:vAlign w:val="center"/>
          </w:tcPr>
          <w:p w14:paraId="58C04FB8" w14:textId="77777777" w:rsidR="0024084B" w:rsidRPr="00ED079A" w:rsidRDefault="0024084B" w:rsidP="00F71F8E">
            <w:pPr>
              <w:pStyle w:val="a4"/>
              <w:spacing w:line="276" w:lineRule="auto"/>
              <w:ind w:left="0"/>
              <w:jc w:val="center"/>
              <w:rPr>
                <w:color w:val="000000" w:themeColor="text1"/>
                <w:sz w:val="24"/>
                <w:szCs w:val="24"/>
              </w:rPr>
            </w:pPr>
            <w:r w:rsidRPr="00ED079A">
              <w:rPr>
                <w:color w:val="000000" w:themeColor="text1"/>
                <w:sz w:val="24"/>
                <w:szCs w:val="24"/>
              </w:rPr>
              <w:t>Средно предприятие</w:t>
            </w:r>
          </w:p>
        </w:tc>
        <w:tc>
          <w:tcPr>
            <w:tcW w:w="4745" w:type="dxa"/>
            <w:vAlign w:val="center"/>
          </w:tcPr>
          <w:p w14:paraId="64BF24B3" w14:textId="77777777" w:rsidR="0024084B" w:rsidRPr="00ED079A" w:rsidRDefault="0024084B" w:rsidP="00F71F8E">
            <w:pPr>
              <w:spacing w:line="276" w:lineRule="auto"/>
              <w:jc w:val="center"/>
              <w:rPr>
                <w:color w:val="000000" w:themeColor="text1"/>
                <w:sz w:val="24"/>
                <w:szCs w:val="24"/>
              </w:rPr>
            </w:pPr>
            <w:r w:rsidRPr="00ED079A">
              <w:rPr>
                <w:color w:val="000000" w:themeColor="text1"/>
                <w:sz w:val="24"/>
                <w:szCs w:val="24"/>
              </w:rPr>
              <w:t>≥ 3 000 000 лева</w:t>
            </w:r>
          </w:p>
        </w:tc>
      </w:tr>
    </w:tbl>
    <w:p w14:paraId="1F4B59D0" w14:textId="77777777" w:rsidR="00315DC8" w:rsidRPr="00422728" w:rsidRDefault="00315DC8" w:rsidP="004524A5">
      <w:pPr>
        <w:pStyle w:val="2"/>
        <w:rPr>
          <w:sz w:val="24"/>
          <w:szCs w:val="24"/>
        </w:rPr>
      </w:pPr>
      <w:r w:rsidRPr="00ED079A">
        <w:rPr>
          <w:sz w:val="24"/>
          <w:szCs w:val="24"/>
        </w:rPr>
        <w:t>11.2 Критерии за недопустимост на кандидатите</w:t>
      </w:r>
      <w:bookmarkEnd w:id="14"/>
    </w:p>
    <w:p w14:paraId="28C1554F" w14:textId="77777777" w:rsidR="008C6F82" w:rsidRPr="000A3DFA" w:rsidRDefault="0047178E" w:rsidP="009373C2">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w:t>
      </w:r>
      <w:r w:rsidR="008C6F82" w:rsidRPr="000A3DFA">
        <w:rPr>
          <w:rFonts w:ascii="Times New Roman" w:hAnsi="Times New Roman" w:cs="Times New Roman"/>
          <w:color w:val="000000" w:themeColor="text1"/>
          <w:sz w:val="24"/>
          <w:szCs w:val="24"/>
        </w:rPr>
        <w:t xml:space="preserve">Потенциалните кандидати </w:t>
      </w:r>
      <w:r w:rsidR="008C6F82" w:rsidRPr="000A3DFA">
        <w:rPr>
          <w:rFonts w:ascii="Times New Roman" w:hAnsi="Times New Roman" w:cs="Times New Roman"/>
          <w:b/>
          <w:color w:val="000000" w:themeColor="text1"/>
          <w:sz w:val="24"/>
          <w:szCs w:val="24"/>
        </w:rPr>
        <w:t>не могат</w:t>
      </w:r>
      <w:r w:rsidR="008C6F82" w:rsidRPr="000A3DFA">
        <w:rPr>
          <w:rFonts w:ascii="Times New Roman" w:hAnsi="Times New Roman" w:cs="Times New Roman"/>
          <w:color w:val="000000" w:themeColor="text1"/>
          <w:sz w:val="24"/>
          <w:szCs w:val="24"/>
        </w:rPr>
        <w:t xml:space="preserve"> да участват в процедурата за подбор на проекти и да получат безвъзмездна финансова помощ в случай че:</w:t>
      </w:r>
    </w:p>
    <w:p w14:paraId="1BF27BE3" w14:textId="77777777" w:rsidR="00CE4D58" w:rsidRPr="000A3DFA" w:rsidRDefault="00CE4D58" w:rsidP="00321B51">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a) са обявени в несъстоятелност;</w:t>
      </w:r>
    </w:p>
    <w:p w14:paraId="4087722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са в производство по несъстоятелност;</w:t>
      </w:r>
    </w:p>
    <w:p w14:paraId="273429D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са в процедура по ликвидация;</w:t>
      </w:r>
    </w:p>
    <w:p w14:paraId="173558B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г) са сключили извънсъдебно споразумение с кредиторите си по смисъла на чл. 740 от Търговския закон;</w:t>
      </w:r>
    </w:p>
    <w:p w14:paraId="749884B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 са преустановили дейността си;</w:t>
      </w:r>
    </w:p>
    <w:p w14:paraId="1A2881C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733C7470" w14:textId="77777777" w:rsidR="008269BB" w:rsidRDefault="00BC727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sz w:val="24"/>
          <w:szCs w:val="24"/>
        </w:rPr>
      </w:pPr>
      <w:r w:rsidRPr="00BC7278">
        <w:rPr>
          <w:rFonts w:ascii="Times New Roman" w:hAnsi="Times New Roman"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2105CD2" w14:textId="40A0C899"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68C5BA8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0491CFDF"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8E0570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w:t>
      </w:r>
      <w:r w:rsidR="0051128B" w:rsidRPr="000A3DFA">
        <w:rPr>
          <w:rFonts w:ascii="Times New Roman" w:eastAsia="Times New Roman" w:hAnsi="Times New Roman" w:cs="Times New Roman"/>
          <w:snapToGrid w:val="0"/>
          <w:color w:val="000000" w:themeColor="text1"/>
          <w:sz w:val="24"/>
          <w:szCs w:val="24"/>
        </w:rPr>
        <w:t xml:space="preserve"> </w:t>
      </w:r>
      <w:r w:rsidRPr="000A3DFA">
        <w:rPr>
          <w:rFonts w:ascii="Times New Roman" w:eastAsia="Times New Roman" w:hAnsi="Times New Roman" w:cs="Times New Roman"/>
          <w:snapToGrid w:val="0"/>
          <w:color w:val="000000" w:themeColor="text1"/>
          <w:sz w:val="24"/>
          <w:szCs w:val="24"/>
        </w:rPr>
        <w:t>осигурителни вноски е повече от 1 на сто от сумата на годишния общ оборот за последната приключена финансова година;</w:t>
      </w:r>
    </w:p>
    <w:p w14:paraId="0177B084"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7BB6CED"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м)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правили опит да</w:t>
      </w:r>
      <w:r w:rsidRPr="000A3DFA">
        <w:rPr>
          <w:rFonts w:ascii="Times New Roman" w:eastAsia="Times New Roman" w:hAnsi="Times New Roman" w:cs="Times New Roman"/>
          <w:snapToGrid w:val="0"/>
          <w:color w:val="000000" w:themeColor="text1"/>
          <w:sz w:val="24"/>
          <w:szCs w:val="24"/>
        </w:rPr>
        <w:t>:</w:t>
      </w:r>
    </w:p>
    <w:p w14:paraId="1C4EAA0D"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повлияят на вземането н</w:t>
      </w:r>
      <w:r w:rsidR="0051128B" w:rsidRPr="000A3DFA">
        <w:rPr>
          <w:rFonts w:ascii="Times New Roman" w:eastAsia="Times New Roman" w:hAnsi="Times New Roman" w:cs="Times New Roman"/>
          <w:snapToGrid w:val="0"/>
          <w:color w:val="000000" w:themeColor="text1"/>
          <w:sz w:val="24"/>
          <w:szCs w:val="24"/>
        </w:rPr>
        <w:t>а решение от страна на МИГ/</w:t>
      </w:r>
      <w:r w:rsidR="00CE4D58" w:rsidRPr="000A3DFA">
        <w:rPr>
          <w:rFonts w:ascii="Times New Roman" w:eastAsia="Times New Roman" w:hAnsi="Times New Roman" w:cs="Times New Roman"/>
          <w:snapToGrid w:val="0"/>
          <w:color w:val="000000" w:themeColor="text1"/>
          <w:sz w:val="24"/>
          <w:szCs w:val="24"/>
        </w:rPr>
        <w:t>УО, свързано с отстраняването, подбора или възлагането, включително чрез предоставяне на невярна или заблуждаваща информация,</w:t>
      </w:r>
    </w:p>
    <w:p w14:paraId="10DE6D86"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или</w:t>
      </w:r>
    </w:p>
    <w:p w14:paraId="401C5504"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19F66228"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н)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о</w:t>
      </w:r>
      <w:r w:rsidR="009B1402">
        <w:rPr>
          <w:rFonts w:ascii="Times New Roman" w:eastAsia="Times New Roman" w:hAnsi="Times New Roman" w:cs="Times New Roman"/>
          <w:snapToGrid w:val="0"/>
          <w:color w:val="000000" w:themeColor="text1"/>
          <w:sz w:val="24"/>
          <w:szCs w:val="24"/>
        </w:rPr>
        <w:t xml:space="preserve">съждани с влязла в сила присъда </w:t>
      </w:r>
      <w:r w:rsidR="009B1402" w:rsidRPr="009B1402">
        <w:rPr>
          <w:rFonts w:ascii="Times New Roman" w:eastAsia="Times New Roman" w:hAnsi="Times New Roman" w:cs="Times New Roman"/>
          <w:snapToGrid w:val="0"/>
          <w:color w:val="000000" w:themeColor="text1"/>
          <w:sz w:val="24"/>
          <w:szCs w:val="24"/>
        </w:rPr>
        <w:t>и не са реабилитирани за</w:t>
      </w:r>
      <w:r w:rsidRPr="000A3DFA">
        <w:rPr>
          <w:rFonts w:ascii="Times New Roman" w:eastAsia="Times New Roman" w:hAnsi="Times New Roman" w:cs="Times New Roman"/>
          <w:snapToGrid w:val="0"/>
          <w:color w:val="000000" w:themeColor="text1"/>
          <w:sz w:val="24"/>
          <w:szCs w:val="24"/>
        </w:rPr>
        <w:t>:</w:t>
      </w:r>
    </w:p>
    <w:p w14:paraId="1C205AFF"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престъпление по чл. 108а, чл. 159а – 159г, чл. 172, чл. 192а, чл. 194 – 217, чл. 219 – 252, чл. 253 – 260, чл. 301 – 307, чл. 321, 321а и чл. 352 – 353е от Наказателния кодекс;</w:t>
      </w:r>
    </w:p>
    <w:p w14:paraId="204FA089"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lastRenderedPageBreak/>
        <w:t>2</w:t>
      </w:r>
      <w:r w:rsidR="00CE4D58" w:rsidRPr="000A3DFA">
        <w:rPr>
          <w:rFonts w:ascii="Times New Roman" w:eastAsia="Times New Roman" w:hAnsi="Times New Roman" w:cs="Times New Roman"/>
          <w:snapToGrid w:val="0"/>
          <w:color w:val="000000" w:themeColor="text1"/>
          <w:sz w:val="24"/>
          <w:szCs w:val="24"/>
        </w:rPr>
        <w:t>) престъпление, аналогично на тези по горната хипотеза, в друга държава членка или трета страна.</w:t>
      </w:r>
    </w:p>
    <w:p w14:paraId="29CE6E94"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o) </w:t>
      </w:r>
      <w:r w:rsidR="009B1402" w:rsidRPr="009B1402">
        <w:rPr>
          <w:rFonts w:ascii="Times New Roman" w:eastAsia="Times New Roman" w:hAnsi="Times New Roman" w:cs="Times New Roman"/>
          <w:snapToGrid w:val="0"/>
          <w:color w:val="000000" w:themeColor="text1"/>
          <w:sz w:val="24"/>
          <w:szCs w:val="24"/>
        </w:rPr>
        <w:t xml:space="preserve">лицата, които представляват кандидата е </w:t>
      </w:r>
      <w:r w:rsidR="009B1402">
        <w:rPr>
          <w:rFonts w:ascii="Times New Roman" w:eastAsia="Times New Roman" w:hAnsi="Times New Roman" w:cs="Times New Roman"/>
          <w:snapToGrid w:val="0"/>
          <w:color w:val="000000" w:themeColor="text1"/>
          <w:sz w:val="24"/>
          <w:szCs w:val="24"/>
        </w:rPr>
        <w:t xml:space="preserve">налице конфликт на интереси във </w:t>
      </w:r>
      <w:r w:rsidR="009B1402" w:rsidRPr="009B1402">
        <w:rPr>
          <w:rFonts w:ascii="Times New Roman" w:eastAsia="Times New Roman" w:hAnsi="Times New Roman" w:cs="Times New Roman"/>
          <w:snapToGrid w:val="0"/>
          <w:color w:val="000000" w:themeColor="text1"/>
          <w:sz w:val="24"/>
          <w:szCs w:val="24"/>
        </w:rPr>
        <w:t>връзка с процедурата за предоставяне на безвъзм</w:t>
      </w:r>
      <w:r w:rsidR="009B1402">
        <w:rPr>
          <w:rFonts w:ascii="Times New Roman" w:eastAsia="Times New Roman" w:hAnsi="Times New Roman" w:cs="Times New Roman"/>
          <w:snapToGrid w:val="0"/>
          <w:color w:val="000000" w:themeColor="text1"/>
          <w:sz w:val="24"/>
          <w:szCs w:val="24"/>
        </w:rPr>
        <w:t xml:space="preserve">ездна финансова помощ, който не </w:t>
      </w:r>
      <w:r w:rsidR="009B1402" w:rsidRPr="009B1402">
        <w:rPr>
          <w:rFonts w:ascii="Times New Roman" w:eastAsia="Times New Roman" w:hAnsi="Times New Roman" w:cs="Times New Roman"/>
          <w:snapToGrid w:val="0"/>
          <w:color w:val="000000" w:themeColor="text1"/>
          <w:sz w:val="24"/>
          <w:szCs w:val="24"/>
        </w:rPr>
        <w:t>може д</w:t>
      </w:r>
      <w:r w:rsidR="009B1402">
        <w:rPr>
          <w:rFonts w:ascii="Times New Roman" w:eastAsia="Times New Roman" w:hAnsi="Times New Roman" w:cs="Times New Roman"/>
          <w:snapToGrid w:val="0"/>
          <w:color w:val="000000" w:themeColor="text1"/>
          <w:sz w:val="24"/>
          <w:szCs w:val="24"/>
        </w:rPr>
        <w:t>а бъде отстранен</w:t>
      </w:r>
      <w:r w:rsidRPr="000A3DFA">
        <w:rPr>
          <w:rFonts w:ascii="Times New Roman" w:eastAsia="Times New Roman" w:hAnsi="Times New Roman" w:cs="Times New Roman"/>
          <w:snapToGrid w:val="0"/>
          <w:color w:val="000000" w:themeColor="text1"/>
          <w:sz w:val="24"/>
          <w:szCs w:val="24"/>
        </w:rPr>
        <w:t>;</w:t>
      </w:r>
    </w:p>
    <w:p w14:paraId="6F74F031"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п) е налице неравнопоставеност в случаите по чл. 44, ал. 5 от Закона за обществени поръчки (ЗОП);</w:t>
      </w:r>
    </w:p>
    <w:p w14:paraId="742F6C20"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р) е установено, че:</w:t>
      </w:r>
    </w:p>
    <w:p w14:paraId="5A541038"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65FF1347"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3548358"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C3F884E"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4F179B">
        <w:rPr>
          <w:rFonts w:ascii="Times New Roman" w:hAnsi="Times New Roman" w:cs="Times New Roman"/>
          <w:b/>
          <w:color w:val="000000" w:themeColor="text1"/>
          <w:sz w:val="24"/>
          <w:szCs w:val="24"/>
        </w:rPr>
        <w:t xml:space="preserve">Не могат да участват </w:t>
      </w:r>
      <w:r w:rsidRPr="004F179B">
        <w:rPr>
          <w:rFonts w:ascii="Times New Roman" w:hAnsi="Times New Roman" w:cs="Times New Roman"/>
          <w:color w:val="000000" w:themeColor="text1"/>
          <w:sz w:val="24"/>
          <w:szCs w:val="24"/>
        </w:rPr>
        <w:t>в процедура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1AF98380" w14:textId="77777777" w:rsidR="007509A9" w:rsidRPr="007509A9" w:rsidRDefault="007509A9" w:rsidP="007509A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7509A9">
        <w:rPr>
          <w:rFonts w:ascii="Times New Roman" w:hAnsi="Times New Roman" w:cs="Times New Roman"/>
          <w:b/>
          <w:color w:val="000000" w:themeColor="text1"/>
          <w:sz w:val="24"/>
          <w:szCs w:val="24"/>
        </w:rPr>
        <w:t xml:space="preserve">ВАЖНО: </w:t>
      </w:r>
      <w:r w:rsidRPr="007509A9">
        <w:rPr>
          <w:rFonts w:ascii="Times New Roman" w:hAnsi="Times New Roman" w:cs="Times New Roman"/>
          <w:color w:val="000000" w:themeColor="text1"/>
          <w:sz w:val="24"/>
          <w:szCs w:val="24"/>
        </w:rPr>
        <w:t>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които към момента на кандидатстване не са изплатени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C5D012B"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7027728" w14:textId="1AB275E2" w:rsidR="00CE4D58" w:rsidRPr="009B1402" w:rsidRDefault="00CE4D58"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hAnsi="Times New Roman" w:cs="Times New Roman"/>
          <w:b/>
          <w:color w:val="000000" w:themeColor="text1"/>
          <w:sz w:val="24"/>
          <w:szCs w:val="24"/>
        </w:rPr>
        <w:t xml:space="preserve">2. </w:t>
      </w:r>
      <w:r w:rsidRPr="000A3DFA">
        <w:rPr>
          <w:rFonts w:ascii="Times New Roman" w:hAnsi="Times New Roman" w:cs="Times New Roman"/>
          <w:color w:val="000000" w:themeColor="text1"/>
          <w:sz w:val="24"/>
          <w:szCs w:val="24"/>
        </w:rPr>
        <w:t xml:space="preserve">С цел избягване на припокриването на интервенциите между Оперативна програма „Иновации и конкурентоспособност” 2014-2020 и Програмата за развитие на селските райони 2014-2020, подкрепа по процедура за подбор на проекти по избрани мерки към стратегия за ВОМР </w:t>
      </w:r>
      <w:r w:rsidR="0051128B" w:rsidRPr="000A3DFA">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приоритетна ос 2 "</w:t>
      </w:r>
      <w:r w:rsidR="003D6B74">
        <w:rPr>
          <w:rFonts w:ascii="Times New Roman" w:hAnsi="Times New Roman" w:cs="Times New Roman"/>
          <w:color w:val="000000" w:themeColor="text1"/>
          <w:sz w:val="24"/>
          <w:szCs w:val="24"/>
        </w:rPr>
        <w:t>К</w:t>
      </w:r>
      <w:r w:rsidRPr="000A3DFA">
        <w:rPr>
          <w:rFonts w:ascii="Times New Roman" w:hAnsi="Times New Roman" w:cs="Times New Roman"/>
          <w:color w:val="000000" w:themeColor="text1"/>
          <w:sz w:val="24"/>
          <w:szCs w:val="24"/>
        </w:rPr>
        <w:t>апацитет за рас</w:t>
      </w:r>
      <w:r w:rsidR="0051128B" w:rsidRPr="000A3DFA">
        <w:rPr>
          <w:rFonts w:ascii="Times New Roman" w:hAnsi="Times New Roman" w:cs="Times New Roman"/>
          <w:color w:val="000000" w:themeColor="text1"/>
          <w:sz w:val="24"/>
          <w:szCs w:val="24"/>
        </w:rPr>
        <w:t>теж на МСП“, обявена от МИГ</w:t>
      </w:r>
      <w:r w:rsidR="008C55DC">
        <w:rPr>
          <w:rFonts w:ascii="Times New Roman" w:hAnsi="Times New Roman" w:cs="Times New Roman"/>
          <w:color w:val="000000" w:themeColor="text1"/>
          <w:sz w:val="24"/>
          <w:szCs w:val="24"/>
        </w:rPr>
        <w:t xml:space="preserve"> </w:t>
      </w:r>
      <w:r w:rsidR="008C55DC" w:rsidRPr="000A568F">
        <w:rPr>
          <w:rFonts w:ascii="Times New Roman" w:hAnsi="Times New Roman" w:cs="Times New Roman"/>
          <w:color w:val="000000" w:themeColor="text1"/>
          <w:sz w:val="24"/>
          <w:szCs w:val="24"/>
        </w:rPr>
        <w:t>„</w:t>
      </w:r>
      <w:r w:rsidR="003D6B74">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Pr="007509A9">
        <w:rPr>
          <w:rFonts w:ascii="Times New Roman" w:hAnsi="Times New Roman" w:cs="Times New Roman"/>
          <w:b/>
          <w:color w:val="000000" w:themeColor="text1"/>
          <w:sz w:val="24"/>
          <w:szCs w:val="24"/>
        </w:rPr>
        <w:t>не могат</w:t>
      </w:r>
      <w:r w:rsidRPr="000A3DFA">
        <w:rPr>
          <w:rFonts w:ascii="Times New Roman" w:hAnsi="Times New Roman" w:cs="Times New Roman"/>
          <w:color w:val="000000" w:themeColor="text1"/>
          <w:sz w:val="24"/>
          <w:szCs w:val="24"/>
        </w:rPr>
        <w:t xml:space="preserve"> да получават кандидати, които са:</w:t>
      </w:r>
    </w:p>
    <w:p w14:paraId="64A21DA2" w14:textId="77777777" w:rsidR="0052548B" w:rsidRDefault="00F71F8E"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52A2B">
        <w:rPr>
          <w:rFonts w:ascii="Times New Roman" w:hAnsi="Times New Roman"/>
          <w:sz w:val="24"/>
          <w:szCs w:val="24"/>
        </w:rPr>
        <w:t xml:space="preserve">микропредприятия по смисъла на чл. 3-4 от Закона за малките и средните предприятия, които имат седалище или клон със седалище на територията на селски район, съгласно определението в т. 8.1. Описание на общите условия от Програмата за развитие на селските райони за периода 2014-2020 г. и са заявили за подпомагане дейности по проекта, които ще се осъществяват в община на територията на селските райони в </w:t>
      </w:r>
      <w:r w:rsidRPr="00B52A2B">
        <w:rPr>
          <w:rFonts w:ascii="Times New Roman" w:hAnsi="Times New Roman"/>
          <w:sz w:val="24"/>
          <w:szCs w:val="24"/>
        </w:rPr>
        <w:lastRenderedPageBreak/>
        <w:t>Република България, съгласно Списък на общините в обхвата на селските райони на Република България.</w:t>
      </w:r>
    </w:p>
    <w:p w14:paraId="3A57C377"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кандидатстващи за финансиране на дейности за преработка и/или маркетинг на горски продукти.</w:t>
      </w:r>
    </w:p>
    <w:p w14:paraId="1B9DC03D"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малки и средни предприятия, по смисъла на чл. 3-4 от Закона за малките и средните предприятия, осъществяващи инвестиции, свързани с преработка и/или маркетинг на селскостопански продукти в неселскостопански продукти извън Приложение № I от Договора за създаване на европейската общност, или с производството на памук, с изключение на хляб</w:t>
      </w:r>
      <w:r w:rsidR="0052548B">
        <w:rPr>
          <w:rFonts w:ascii="Times New Roman" w:hAnsi="Times New Roman"/>
          <w:color w:val="000000" w:themeColor="text1"/>
          <w:sz w:val="24"/>
          <w:szCs w:val="24"/>
        </w:rPr>
        <w:t>, тестени и сладкарски изделия,</w:t>
      </w:r>
      <w:r w:rsidR="0052548B" w:rsidRPr="0052548B">
        <w:rPr>
          <w:rFonts w:ascii="Times New Roman" w:hAnsi="Times New Roman"/>
          <w:sz w:val="24"/>
          <w:szCs w:val="24"/>
        </w:rPr>
        <w:t xml:space="preserve"> </w:t>
      </w:r>
      <w:r w:rsidR="0052548B" w:rsidRPr="00B52A2B">
        <w:rPr>
          <w:rFonts w:ascii="Times New Roman" w:hAnsi="Times New Roman"/>
          <w:sz w:val="24"/>
          <w:szCs w:val="24"/>
        </w:rPr>
        <w:t>в случай че тези инвестиции се осъществяват на територията на селските райони съгласно определението в т. 8.1. от Описание на общите условия от Програмата за развитие на селските райони за периода 2014-2020 г. и Списък на общините в обхвата на селските райони на Република България съгласно ПМС № 161/04.07.2016.</w:t>
      </w:r>
    </w:p>
    <w:p w14:paraId="0DE499D0" w14:textId="77777777" w:rsidR="00CE4D58" w:rsidRP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извършващи основната си икономическа дейност или кандидатстващи за финансиране на дейности, които съгласно КИД 2008 попадат в Сектор С - код на икономическа дейност 10 „Производство на хранителни продукти” и код 11 „Производство на напитки”, както следва:</w:t>
      </w:r>
    </w:p>
    <w:p w14:paraId="15ED762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- 10.1 „Производство и преработка на месо; производство на месни продукти, без готови ястия”;</w:t>
      </w:r>
    </w:p>
    <w:p w14:paraId="51D9F1AF"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- 10.2. „Преработка и консервиране на риба и други водни животни, без готови ястия”;</w:t>
      </w:r>
    </w:p>
    <w:p w14:paraId="31199FAA"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- 10.3 „Преработка и консервиране на плодове и зеленчуци, без готови ястия”;</w:t>
      </w:r>
    </w:p>
    <w:p w14:paraId="3F0F1579"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- 10.4. „Производство на растителни и животински масла и мазнини”;</w:t>
      </w:r>
    </w:p>
    <w:p w14:paraId="40B79F32"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- 10.5. „Производство на мляко и млечни продукти”;</w:t>
      </w:r>
    </w:p>
    <w:p w14:paraId="5F630BA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- 10.6. „Производство на мелничарски продукти, нишесте и нишестени продукти”;</w:t>
      </w:r>
    </w:p>
    <w:p w14:paraId="75C2818B"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- 10.81. „Производство на захар”;</w:t>
      </w:r>
    </w:p>
    <w:p w14:paraId="41F0B213"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- 10.83. „Преработка на кафе и чай”;</w:t>
      </w:r>
    </w:p>
    <w:p w14:paraId="49EC510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- 10.84. „Производство на хранителни подправки и овкусители“;</w:t>
      </w:r>
    </w:p>
    <w:p w14:paraId="09EE4AE0" w14:textId="77777777" w:rsidR="00BA43C7"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- 10.91. „Производст</w:t>
      </w:r>
      <w:r w:rsidR="00BA43C7">
        <w:rPr>
          <w:rFonts w:ascii="Times New Roman" w:hAnsi="Times New Roman" w:cs="Times New Roman"/>
          <w:color w:val="000000" w:themeColor="text1"/>
          <w:sz w:val="24"/>
          <w:szCs w:val="24"/>
        </w:rPr>
        <w:t>во на готови храни за животни”;</w:t>
      </w:r>
    </w:p>
    <w:p w14:paraId="15BB1D1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- 11.02. „Производство на вина от грозде”;</w:t>
      </w:r>
    </w:p>
    <w:p w14:paraId="46589BAE" w14:textId="77777777" w:rsidR="00CE4D58" w:rsidRPr="000A3DFA" w:rsidRDefault="00CE4D58"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- 11.03. „Производство на други ферментирали напитки”;</w:t>
      </w:r>
    </w:p>
    <w:p w14:paraId="50593A40" w14:textId="77777777" w:rsidR="00CE4D58" w:rsidRPr="000A3DFA" w:rsidRDefault="00CE4D58" w:rsidP="00636A6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- 11.06. „Производство на малц”.</w:t>
      </w:r>
    </w:p>
    <w:p w14:paraId="0A1C9380" w14:textId="77777777" w:rsidR="005A6A69" w:rsidRDefault="005A6A69"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5535EB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Потенциалните кандидати не могат да участват в процедура и да получат безвъзмездна финансова помощ, в случай че попадат в забранителните режими на Регламент на Комисията (ЕС) № 1407/2013 и по-конкретно, ако:</w:t>
      </w:r>
    </w:p>
    <w:p w14:paraId="6A650AFC"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 Тяхната основна дейност или дейността, за която кандидатстват се отнася до :</w:t>
      </w:r>
    </w:p>
    <w:p w14:paraId="41635F7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сектора на рибарството и аквакултурите, обхванати от Регламент (ЕО) № </w:t>
      </w:r>
      <w:r w:rsidR="00312286" w:rsidRPr="00312286">
        <w:rPr>
          <w:rFonts w:ascii="Times New Roman" w:hAnsi="Times New Roman" w:cs="Times New Roman"/>
          <w:color w:val="000000" w:themeColor="text1"/>
          <w:sz w:val="24"/>
          <w:szCs w:val="24"/>
        </w:rPr>
        <w:t>№ 1379/2013</w:t>
      </w:r>
      <w:r w:rsidRPr="000A3DFA">
        <w:rPr>
          <w:rFonts w:ascii="Times New Roman" w:hAnsi="Times New Roman" w:cs="Times New Roman"/>
          <w:color w:val="000000" w:themeColor="text1"/>
          <w:sz w:val="24"/>
          <w:szCs w:val="24"/>
        </w:rPr>
        <w:t>;</w:t>
      </w:r>
    </w:p>
    <w:p w14:paraId="1C51D34A" w14:textId="73ECCBA2"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първичното производство на селскостопански продукти</w:t>
      </w:r>
      <w:r w:rsidR="005022C8">
        <w:rPr>
          <w:rStyle w:val="a8"/>
          <w:rFonts w:ascii="Times New Roman" w:hAnsi="Times New Roman" w:cs="Times New Roman"/>
          <w:color w:val="000000" w:themeColor="text1"/>
          <w:sz w:val="24"/>
          <w:szCs w:val="24"/>
        </w:rPr>
        <w:footnoteReference w:id="5"/>
      </w:r>
      <w:r w:rsidRPr="000A3DFA">
        <w:rPr>
          <w:rFonts w:ascii="Times New Roman" w:hAnsi="Times New Roman" w:cs="Times New Roman"/>
          <w:color w:val="000000" w:themeColor="text1"/>
          <w:sz w:val="24"/>
          <w:szCs w:val="24"/>
        </w:rPr>
        <w:t>;</w:t>
      </w:r>
    </w:p>
    <w:p w14:paraId="0A2371D0"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сектора на преработката и търговията със селскостопански продукти, в следните случаи:</w:t>
      </w:r>
    </w:p>
    <w:p w14:paraId="0CD1E752"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 или</w:t>
      </w:r>
    </w:p>
    <w:p w14:paraId="6BA3F573"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помощта е свързана със задължението да бъде прехвърлена частично или изцяло на първичните производители.</w:t>
      </w:r>
    </w:p>
    <w:p w14:paraId="0C0C339E"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Финансирането представлява:</w:t>
      </w:r>
    </w:p>
    <w:p w14:paraId="4B24EB2C"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помощи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625EC85B"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 поставена в зависимост от преференциално използване на национални продукти спрямо вносни такива.</w:t>
      </w:r>
    </w:p>
    <w:p w14:paraId="69392EF0" w14:textId="514EE716" w:rsidR="002325A3" w:rsidRDefault="0047178E" w:rsidP="00BA43C7">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 </w:t>
      </w:r>
      <w:r w:rsidR="00A9500E" w:rsidRPr="00A9500E">
        <w:rPr>
          <w:rFonts w:ascii="Times New Roman" w:hAnsi="Times New Roman" w:cs="Times New Roman"/>
          <w:color w:val="000000" w:themeColor="text1"/>
          <w:sz w:val="24"/>
          <w:szCs w:val="24"/>
        </w:rPr>
        <w:t>помощ ,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74A29F43" w14:textId="0CF6FE49" w:rsidR="002325A3" w:rsidRPr="004770DA" w:rsidRDefault="00CB14EE" w:rsidP="004524A5">
      <w:pPr>
        <w:pStyle w:val="1"/>
      </w:pPr>
      <w:bookmarkStart w:id="15" w:name="_Toc494709513"/>
      <w:r w:rsidRPr="004770DA">
        <w:t>1</w:t>
      </w:r>
      <w:r w:rsidR="004A58E5" w:rsidRPr="004770DA">
        <w:t>2</w:t>
      </w:r>
      <w:r w:rsidR="002325A3" w:rsidRPr="004770DA">
        <w:t>. Допустими партньори:</w:t>
      </w:r>
      <w:bookmarkEnd w:id="15"/>
    </w:p>
    <w:p w14:paraId="1DC4B3EB" w14:textId="77777777" w:rsidR="005B24FF" w:rsidRPr="000A3DFA" w:rsidRDefault="00C76CE0"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p w14:paraId="1E370B7A" w14:textId="77777777" w:rsidR="002325A3" w:rsidRPr="004770DA" w:rsidRDefault="00CB14EE" w:rsidP="004524A5">
      <w:pPr>
        <w:pStyle w:val="1"/>
      </w:pPr>
      <w:bookmarkStart w:id="16" w:name="_Toc494709514"/>
      <w:r w:rsidRPr="004770DA">
        <w:t>1</w:t>
      </w:r>
      <w:r w:rsidR="004A58E5" w:rsidRPr="004770DA">
        <w:t>3</w:t>
      </w:r>
      <w:r w:rsidR="002325A3" w:rsidRPr="004770DA">
        <w:t xml:space="preserve">. </w:t>
      </w:r>
      <w:r w:rsidR="004E6370" w:rsidRPr="004770DA">
        <w:t>Д</w:t>
      </w:r>
      <w:r w:rsidR="002325A3" w:rsidRPr="004770DA">
        <w:t>ейности, допустими за финансиране:</w:t>
      </w:r>
      <w:bookmarkEnd w:id="16"/>
    </w:p>
    <w:p w14:paraId="40BFF746" w14:textId="77777777" w:rsidR="00EE49C8" w:rsidRPr="00422728" w:rsidRDefault="00EE49C8" w:rsidP="004524A5">
      <w:pPr>
        <w:pStyle w:val="2"/>
        <w:rPr>
          <w:sz w:val="24"/>
          <w:szCs w:val="24"/>
        </w:rPr>
      </w:pPr>
      <w:bookmarkStart w:id="17" w:name="_Toc494709515"/>
      <w:r w:rsidRPr="00422728">
        <w:rPr>
          <w:sz w:val="24"/>
          <w:szCs w:val="24"/>
        </w:rPr>
        <w:t>13.1. Допустими дейности</w:t>
      </w:r>
      <w:bookmarkEnd w:id="17"/>
    </w:p>
    <w:p w14:paraId="1F7E1BDD" w14:textId="4D343597" w:rsidR="00AC4EEA" w:rsidRPr="00ED079A" w:rsidRDefault="004D7C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xml:space="preserve">Проектните предложения по настоящата процедура следва да съответстват на принципа на </w:t>
      </w:r>
      <w:r w:rsidR="00AF2C6B" w:rsidRPr="00ED079A">
        <w:rPr>
          <w:rFonts w:ascii="Times New Roman" w:hAnsi="Times New Roman" w:cs="Times New Roman"/>
          <w:color w:val="000000" w:themeColor="text1"/>
          <w:sz w:val="24"/>
          <w:szCs w:val="24"/>
        </w:rPr>
        <w:t xml:space="preserve">ефективност и ефикасност, като допустимите дейности следва да съответстват на </w:t>
      </w:r>
      <w:r w:rsidR="00AC4EEA" w:rsidRPr="00ED079A">
        <w:rPr>
          <w:rFonts w:ascii="Times New Roman" w:hAnsi="Times New Roman" w:cs="Times New Roman"/>
          <w:color w:val="000000" w:themeColor="text1"/>
          <w:sz w:val="24"/>
          <w:szCs w:val="24"/>
        </w:rPr>
        <w:t xml:space="preserve">целите на </w:t>
      </w:r>
      <w:r w:rsidR="00D963E6" w:rsidRPr="00ED079A">
        <w:rPr>
          <w:rFonts w:ascii="Times New Roman" w:hAnsi="Times New Roman" w:cs="Times New Roman"/>
          <w:color w:val="000000" w:themeColor="text1"/>
          <w:sz w:val="24"/>
          <w:szCs w:val="24"/>
        </w:rPr>
        <w:t xml:space="preserve">Стратегията за ВОМР на МИГ </w:t>
      </w:r>
      <w:r w:rsidR="008C55DC" w:rsidRPr="00ED079A">
        <w:rPr>
          <w:rFonts w:ascii="Times New Roman" w:hAnsi="Times New Roman" w:cs="Times New Roman"/>
          <w:color w:val="000000" w:themeColor="text1"/>
          <w:sz w:val="24"/>
          <w:szCs w:val="24"/>
        </w:rPr>
        <w:t>„</w:t>
      </w:r>
      <w:r w:rsidR="005F1726" w:rsidRPr="00ED079A">
        <w:rPr>
          <w:rFonts w:ascii="Times New Roman" w:hAnsi="Times New Roman" w:cs="Times New Roman"/>
          <w:color w:val="000000" w:themeColor="text1"/>
          <w:sz w:val="24"/>
          <w:szCs w:val="24"/>
        </w:rPr>
        <w:t>Свиленград ареал</w:t>
      </w:r>
      <w:r w:rsidR="008C55DC" w:rsidRPr="00ED079A">
        <w:rPr>
          <w:rFonts w:ascii="Times New Roman" w:hAnsi="Times New Roman" w:cs="Times New Roman"/>
          <w:color w:val="000000" w:themeColor="text1"/>
          <w:sz w:val="24"/>
          <w:szCs w:val="24"/>
        </w:rPr>
        <w:t xml:space="preserve">“ </w:t>
      </w:r>
      <w:r w:rsidR="00D963E6" w:rsidRPr="00ED079A">
        <w:rPr>
          <w:rFonts w:ascii="Times New Roman" w:hAnsi="Times New Roman" w:cs="Times New Roman"/>
          <w:color w:val="000000" w:themeColor="text1"/>
          <w:sz w:val="24"/>
          <w:szCs w:val="24"/>
        </w:rPr>
        <w:t>и ОПИК</w:t>
      </w:r>
      <w:r w:rsidR="005F1726" w:rsidRPr="00ED079A">
        <w:rPr>
          <w:rFonts w:ascii="Times New Roman" w:hAnsi="Times New Roman" w:cs="Times New Roman"/>
          <w:color w:val="000000" w:themeColor="text1"/>
          <w:sz w:val="24"/>
          <w:szCs w:val="24"/>
        </w:rPr>
        <w:t xml:space="preserve">. </w:t>
      </w:r>
      <w:r w:rsidR="00AC4EEA" w:rsidRPr="00ED079A">
        <w:rPr>
          <w:rFonts w:ascii="Times New Roman" w:hAnsi="Times New Roman" w:cs="Times New Roman"/>
          <w:color w:val="000000" w:themeColor="text1"/>
          <w:sz w:val="24"/>
          <w:szCs w:val="24"/>
        </w:rPr>
        <w:t xml:space="preserve"> </w:t>
      </w:r>
    </w:p>
    <w:p w14:paraId="43FFA22F" w14:textId="77777777" w:rsidR="009A04A4"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0FDC80E" w14:textId="77777777" w:rsidR="00D938E0" w:rsidRPr="00ED079A"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Pr="00ED079A">
        <w:rPr>
          <w:rFonts w:ascii="Times New Roman" w:hAnsi="Times New Roman" w:cs="Times New Roman"/>
          <w:b/>
          <w:color w:val="000000" w:themeColor="text1"/>
          <w:sz w:val="24"/>
          <w:szCs w:val="24"/>
          <w:u w:val="single"/>
        </w:rPr>
        <w:t xml:space="preserve">. </w:t>
      </w:r>
      <w:r w:rsidR="00AD51EE" w:rsidRPr="00ED079A">
        <w:rPr>
          <w:rFonts w:ascii="Times New Roman" w:hAnsi="Times New Roman" w:cs="Times New Roman"/>
          <w:b/>
          <w:color w:val="000000" w:themeColor="text1"/>
          <w:sz w:val="24"/>
          <w:szCs w:val="24"/>
          <w:u w:val="single"/>
        </w:rPr>
        <w:t>Допустими дейности</w:t>
      </w:r>
      <w:r w:rsidRPr="00ED079A">
        <w:rPr>
          <w:rFonts w:ascii="Times New Roman" w:hAnsi="Times New Roman" w:cs="Times New Roman"/>
          <w:b/>
          <w:color w:val="000000" w:themeColor="text1"/>
          <w:sz w:val="24"/>
          <w:szCs w:val="24"/>
          <w:u w:val="single"/>
        </w:rPr>
        <w:t>:</w:t>
      </w:r>
    </w:p>
    <w:p w14:paraId="4C22A75E"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r w:rsidRPr="00ED079A">
        <w:rPr>
          <w:rFonts w:ascii="Times New Roman" w:hAnsi="Times New Roman" w:cs="Times New Roman"/>
          <w:color w:val="000000" w:themeColor="text1"/>
          <w:sz w:val="24"/>
          <w:szCs w:val="24"/>
        </w:rPr>
        <w:t xml:space="preserve"> </w:t>
      </w:r>
    </w:p>
    <w:p w14:paraId="6C45A76E"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F098E6" w14:textId="687BB11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lastRenderedPageBreak/>
        <w:t>Дейностите трябва да са насочени към:</w:t>
      </w:r>
    </w:p>
    <w:p w14:paraId="4326AB43"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повишаване на производителността; и/или</w:t>
      </w:r>
    </w:p>
    <w:p w14:paraId="3D84FEE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ефективното и ефикасно използване на факторите на производство (човешки капитал, природни ресурси и техн</w:t>
      </w:r>
      <w:r w:rsidR="009A135B" w:rsidRPr="00ED079A">
        <w:rPr>
          <w:rFonts w:ascii="Times New Roman" w:hAnsi="Times New Roman" w:cs="Times New Roman"/>
          <w:color w:val="000000" w:themeColor="text1"/>
          <w:sz w:val="24"/>
          <w:szCs w:val="24"/>
        </w:rPr>
        <w:t xml:space="preserve">ологии), чрез внедряване на нови </w:t>
      </w:r>
      <w:r w:rsidRPr="00ED079A">
        <w:rPr>
          <w:rFonts w:ascii="Times New Roman" w:hAnsi="Times New Roman" w:cs="Times New Roman"/>
          <w:color w:val="000000" w:themeColor="text1"/>
          <w:sz w:val="24"/>
          <w:szCs w:val="24"/>
        </w:rPr>
        <w:t>технологии/практики/методи/системи за подобряване на ресурсната ефективност и ефикасност в производствения процес; и/или</w:t>
      </w:r>
    </w:p>
    <w:p w14:paraId="3233F4C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производствените процеси чрез инвестиции в дълготрайни материални и нематериални активи; и/или</w:t>
      </w:r>
    </w:p>
    <w:p w14:paraId="0E416E3A"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въвеждане на водещи технологични решения и/или реинженеринг на процеси, вкл. чрез въвеждане на добри практики/технологични методи/технологии/процеси за</w:t>
      </w:r>
      <w:r w:rsidRPr="00ED079A">
        <w:rPr>
          <w:rFonts w:ascii="Times New Roman" w:hAnsi="Times New Roman" w:cs="Times New Roman"/>
          <w:b/>
          <w:color w:val="000000" w:themeColor="text1"/>
          <w:sz w:val="24"/>
          <w:szCs w:val="24"/>
        </w:rPr>
        <w:t xml:space="preserve"> намаляване </w:t>
      </w:r>
      <w:r w:rsidRPr="00ED079A">
        <w:rPr>
          <w:rFonts w:ascii="Times New Roman" w:hAnsi="Times New Roman" w:cs="Times New Roman"/>
          <w:color w:val="000000" w:themeColor="text1"/>
          <w:sz w:val="24"/>
          <w:szCs w:val="24"/>
        </w:rPr>
        <w:t>консумацията на природни ресурси, безотпадни технологии, оползотворяване на вторични суровини и производствените отпадъци, регенериране и др; и/или</w:t>
      </w:r>
    </w:p>
    <w:p w14:paraId="7F2E5FF0"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разширяване на производството чрез добавяне на нови характеристики или подобряване на съществуващите продукти и услуги; и/или</w:t>
      </w:r>
    </w:p>
    <w:p w14:paraId="31237539"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диверсификация на дейността чрез разнообразяване на портфолиото на предприятията и достъп до пазари.</w:t>
      </w:r>
    </w:p>
    <w:p w14:paraId="47350C44"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2.</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специализирани услуги за МСП за развитие и укрепван</w:t>
      </w:r>
      <w:r w:rsidR="0051128B" w:rsidRPr="00ED079A">
        <w:rPr>
          <w:rFonts w:ascii="Times New Roman" w:hAnsi="Times New Roman" w:cs="Times New Roman"/>
          <w:b/>
          <w:color w:val="000000" w:themeColor="text1"/>
          <w:sz w:val="24"/>
          <w:szCs w:val="24"/>
        </w:rPr>
        <w:t>е на управленския капацитет</w:t>
      </w:r>
      <w:r w:rsidR="00080925" w:rsidRPr="00ED079A">
        <w:rPr>
          <w:rStyle w:val="a8"/>
          <w:rFonts w:ascii="Times New Roman" w:hAnsi="Times New Roman" w:cs="Times New Roman"/>
          <w:b/>
          <w:color w:val="000000" w:themeColor="text1"/>
          <w:sz w:val="24"/>
          <w:szCs w:val="24"/>
        </w:rPr>
        <w:footnoteReference w:id="6"/>
      </w:r>
      <w:r w:rsidRPr="00ED079A">
        <w:rPr>
          <w:rFonts w:ascii="Times New Roman" w:hAnsi="Times New Roman" w:cs="Times New Roman"/>
          <w:b/>
          <w:color w:val="000000" w:themeColor="text1"/>
          <w:sz w:val="24"/>
          <w:szCs w:val="24"/>
        </w:rPr>
        <w:t>.</w:t>
      </w:r>
      <w:r w:rsidRPr="00ED079A">
        <w:rPr>
          <w:rFonts w:ascii="Times New Roman" w:hAnsi="Times New Roman" w:cs="Times New Roman"/>
          <w:color w:val="000000" w:themeColor="text1"/>
          <w:sz w:val="24"/>
          <w:szCs w:val="24"/>
        </w:rPr>
        <w:t xml:space="preserve"> </w:t>
      </w:r>
    </w:p>
    <w:p w14:paraId="6211D01A" w14:textId="77777777"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854C913" w14:textId="5924565B"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27B2AEAD"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управление на факторите на производство, с акцент върху изграждането на възможности за възприемане и адаптиране на европейски и международни знания и добри практики; и/или</w:t>
      </w:r>
    </w:p>
    <w:p w14:paraId="0CE3F55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разработване, внедряване и сертифициране на системи за управление на качеството, опазване на околната среда, еко маркировка</w:t>
      </w:r>
      <w:r w:rsidR="00245302" w:rsidRPr="00ED079A">
        <w:rPr>
          <w:rStyle w:val="a8"/>
          <w:rFonts w:ascii="Times New Roman" w:eastAsia="Calibri" w:hAnsi="Times New Roman" w:cs="Times New Roman"/>
          <w:sz w:val="20"/>
          <w:szCs w:val="20"/>
        </w:rPr>
        <w:footnoteReference w:id="7"/>
      </w:r>
      <w:r w:rsidRPr="00ED079A">
        <w:rPr>
          <w:rFonts w:ascii="Times New Roman" w:hAnsi="Times New Roman" w:cs="Times New Roman"/>
          <w:color w:val="000000" w:themeColor="text1"/>
          <w:sz w:val="24"/>
          <w:szCs w:val="24"/>
        </w:rPr>
        <w:t>, сигурност на информацията и други съгласно международни, ев</w:t>
      </w:r>
      <w:r w:rsidR="0051128B" w:rsidRPr="00ED079A">
        <w:rPr>
          <w:rFonts w:ascii="Times New Roman" w:hAnsi="Times New Roman" w:cs="Times New Roman"/>
          <w:color w:val="000000" w:themeColor="text1"/>
          <w:sz w:val="24"/>
          <w:szCs w:val="24"/>
        </w:rPr>
        <w:t>ропейски и национални стандарти</w:t>
      </w:r>
      <w:r w:rsidR="00080925" w:rsidRPr="00ED079A">
        <w:rPr>
          <w:rStyle w:val="a8"/>
          <w:rFonts w:ascii="Times New Roman" w:hAnsi="Times New Roman" w:cs="Times New Roman"/>
          <w:color w:val="000000" w:themeColor="text1"/>
          <w:sz w:val="24"/>
          <w:szCs w:val="24"/>
        </w:rPr>
        <w:footnoteReference w:id="8"/>
      </w:r>
      <w:r w:rsidRPr="00ED079A">
        <w:rPr>
          <w:rFonts w:ascii="Times New Roman" w:hAnsi="Times New Roman" w:cs="Times New Roman"/>
          <w:color w:val="000000" w:themeColor="text1"/>
          <w:sz w:val="24"/>
          <w:szCs w:val="24"/>
        </w:rPr>
        <w:t>; и/или</w:t>
      </w:r>
    </w:p>
    <w:p w14:paraId="478EC79F" w14:textId="61075C32" w:rsidR="009A28E8" w:rsidRPr="00ED079A" w:rsidRDefault="009A28E8"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ED079A">
        <w:rPr>
          <w:rFonts w:ascii="Times New Roman" w:hAnsi="Times New Roman" w:cs="Times New Roman"/>
          <w:b/>
          <w:color w:val="000000" w:themeColor="text1"/>
          <w:sz w:val="24"/>
          <w:szCs w:val="24"/>
        </w:rPr>
        <w:lastRenderedPageBreak/>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p w14:paraId="458DF839" w14:textId="3322765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разработване, трансфер, внедряване и сертифициране на добри производствени практики</w:t>
      </w:r>
      <w:r w:rsidR="00891656" w:rsidRPr="00ED079A">
        <w:rPr>
          <w:rStyle w:val="a8"/>
          <w:rFonts w:ascii="Times New Roman" w:hAnsi="Times New Roman" w:cs="Times New Roman"/>
          <w:color w:val="000000" w:themeColor="text1"/>
          <w:sz w:val="24"/>
          <w:szCs w:val="24"/>
        </w:rPr>
        <w:footnoteReference w:id="9"/>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услуги по реинженерин</w:t>
      </w:r>
      <w:r w:rsidR="0051128B" w:rsidRPr="00ED079A">
        <w:rPr>
          <w:rFonts w:ascii="Times New Roman" w:hAnsi="Times New Roman" w:cs="Times New Roman"/>
          <w:color w:val="000000" w:themeColor="text1"/>
          <w:sz w:val="24"/>
          <w:szCs w:val="24"/>
        </w:rPr>
        <w:t>г на процесите в предприятията</w:t>
      </w:r>
      <w:r w:rsidR="00891656" w:rsidRPr="00ED079A">
        <w:rPr>
          <w:rStyle w:val="a8"/>
          <w:rFonts w:ascii="Times New Roman" w:hAnsi="Times New Roman" w:cs="Times New Roman"/>
          <w:color w:val="000000" w:themeColor="text1"/>
          <w:sz w:val="24"/>
          <w:szCs w:val="24"/>
        </w:rPr>
        <w:footnoteReference w:id="10"/>
      </w:r>
      <w:r w:rsidRPr="00ED079A">
        <w:rPr>
          <w:rFonts w:ascii="Times New Roman" w:hAnsi="Times New Roman" w:cs="Times New Roman"/>
          <w:color w:val="000000" w:themeColor="text1"/>
          <w:sz w:val="24"/>
          <w:szCs w:val="24"/>
        </w:rPr>
        <w:t>;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 xml:space="preserve"> разработване на стратегии за пазарна реализация, проучвания и трансфер на инструментариум за навлизане на нови пазари и за задоволяване на пазарното търсене и разнообразяване на предлагането; и/или</w:t>
      </w:r>
      <w:r w:rsidR="00A768A1"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color w:val="000000" w:themeColor="text1"/>
          <w:sz w:val="24"/>
          <w:szCs w:val="24"/>
        </w:rPr>
        <w:t>инвестиции в ново оборудване и/или специализирани софтуерни приложения, допринасящ/и за изпълнението на някоя от горепосочените дейности.</w:t>
      </w:r>
    </w:p>
    <w:p w14:paraId="7278872F" w14:textId="77777777" w:rsidR="00245302" w:rsidRPr="00ED079A" w:rsidRDefault="00245302" w:rsidP="0024530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b/>
          <w:sz w:val="24"/>
          <w:szCs w:val="24"/>
        </w:rPr>
        <w:t>ВАЖНО:</w:t>
      </w:r>
      <w:r w:rsidRPr="00ED079A">
        <w:rPr>
          <w:rFonts w:ascii="Times New Roman" w:eastAsia="Calibri" w:hAnsi="Times New Roman" w:cs="Times New Roman"/>
          <w:sz w:val="24"/>
          <w:szCs w:val="24"/>
        </w:rPr>
        <w:t xml:space="preserve"> Задължителен краен резултат от изпълнението на съответни дейности за развитие и укрепване на управленския капацитет е придобиването на документ/сертификат/удостоверение/маркировка. Ако в срока на изпълнение на проекта не бъде придобит документ/сертификат/удостоверение/маркировка,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орган средства със съответната законова лихва.</w:t>
      </w:r>
    </w:p>
    <w:p w14:paraId="606956A0" w14:textId="77777777" w:rsidR="00A768A1"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3.</w:t>
      </w:r>
      <w:r w:rsidRPr="00ED079A">
        <w:rPr>
          <w:rFonts w:ascii="Times New Roman" w:hAnsi="Times New Roman" w:cs="Times New Roman"/>
          <w:color w:val="000000" w:themeColor="text1"/>
          <w:sz w:val="24"/>
          <w:szCs w:val="24"/>
        </w:rPr>
        <w:t xml:space="preserve"> </w:t>
      </w:r>
      <w:r w:rsidRPr="00ED079A">
        <w:rPr>
          <w:rFonts w:ascii="Times New Roman" w:hAnsi="Times New Roman" w:cs="Times New Roman"/>
          <w:b/>
          <w:color w:val="000000" w:themeColor="text1"/>
          <w:sz w:val="24"/>
          <w:szCs w:val="24"/>
        </w:rPr>
        <w:t>Подкрепа за растеж на предприятия чрез подобряване на качеството и насърчаване на използването на ИКТ и услуги</w:t>
      </w:r>
      <w:r w:rsidRPr="00ED079A">
        <w:rPr>
          <w:rFonts w:ascii="Times New Roman" w:hAnsi="Times New Roman" w:cs="Times New Roman"/>
          <w:color w:val="000000" w:themeColor="text1"/>
          <w:sz w:val="24"/>
          <w:szCs w:val="24"/>
        </w:rPr>
        <w:t xml:space="preserve"> . </w:t>
      </w:r>
    </w:p>
    <w:p w14:paraId="13783B7A" w14:textId="2466DA76" w:rsidR="00A768A1" w:rsidRPr="00ED079A"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DE46F44" w14:textId="068E83E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Дейностите трябва да са насочени към:</w:t>
      </w:r>
    </w:p>
    <w:p w14:paraId="3F8D8721"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подобряване на качеството на съществуващи процеси, продукти и услуги чрез разработване и въвеждане на базирани на ИКТ системи и приложения, включително „виртуализирани“, „облачни“, „мобилни“: за управление на бизнеса, включително такива за интеграция на различни звена и локации на дадено дружество; и/или</w:t>
      </w:r>
    </w:p>
    <w:p w14:paraId="3385C78B"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автоматизирано проектиране, инженерни дейности и производство; и/или</w:t>
      </w:r>
    </w:p>
    <w:p w14:paraId="2E44EF1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системи за трансформиране на бизнес и операционни процеси, които водят до повишаване на производителността и конкурентоспособността; и/или</w:t>
      </w:r>
    </w:p>
    <w:p w14:paraId="25945BA2" w14:textId="77777777"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color w:val="000000" w:themeColor="text1"/>
          <w:sz w:val="24"/>
          <w:szCs w:val="24"/>
        </w:rPr>
        <w:t>- електронни платформи за бизнес за подобряване на достъпа до чужди пазари.</w:t>
      </w:r>
    </w:p>
    <w:p w14:paraId="73D78DB1"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color w:val="000000" w:themeColor="text1"/>
          <w:sz w:val="24"/>
          <w:szCs w:val="24"/>
          <w:u w:val="single"/>
        </w:rPr>
        <w:t>Обхватът на дейностите не може да включва само инвестиции в ново оборудване и/или специализирани софтуерни приложения</w:t>
      </w:r>
      <w:r w:rsidRPr="00ED079A">
        <w:rPr>
          <w:rFonts w:ascii="Times New Roman" w:hAnsi="Times New Roman" w:cs="Times New Roman"/>
          <w:color w:val="000000" w:themeColor="text1"/>
          <w:sz w:val="24"/>
          <w:szCs w:val="24"/>
          <w:u w:val="single"/>
          <w:vertAlign w:val="superscript"/>
        </w:rPr>
        <w:footnoteReference w:id="11"/>
      </w:r>
      <w:r w:rsidRPr="00ED079A">
        <w:rPr>
          <w:rFonts w:ascii="Times New Roman" w:hAnsi="Times New Roman" w:cs="Times New Roman"/>
          <w:color w:val="000000" w:themeColor="text1"/>
          <w:sz w:val="24"/>
          <w:szCs w:val="24"/>
          <w:u w:val="single"/>
        </w:rPr>
        <w:t>.</w:t>
      </w:r>
    </w:p>
    <w:p w14:paraId="63038BD5" w14:textId="77777777" w:rsidR="00992B4F" w:rsidRPr="00ED079A" w:rsidRDefault="00992B4F"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2E6D6BB6" w14:textId="77777777" w:rsidR="00011375" w:rsidRPr="00ED079A" w:rsidRDefault="00011375" w:rsidP="0001137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color w:val="000000"/>
          <w:sz w:val="24"/>
          <w:szCs w:val="24"/>
        </w:rPr>
      </w:pPr>
      <w:r w:rsidRPr="00ED079A">
        <w:rPr>
          <w:rFonts w:ascii="Times New Roman" w:eastAsia="Calibri" w:hAnsi="Times New Roman" w:cs="Times New Roman"/>
          <w:b/>
          <w:i/>
          <w:sz w:val="24"/>
          <w:szCs w:val="24"/>
        </w:rPr>
        <w:t>Всички дейности, включени в проектно предложение, следва да са пряко свързани с изпълнението на проекта</w:t>
      </w:r>
      <w:r w:rsidRPr="00ED079A">
        <w:rPr>
          <w:rFonts w:ascii="Times New Roman" w:eastAsia="Calibri" w:hAnsi="Times New Roman" w:cs="Times New Roman"/>
          <w:b/>
          <w:i/>
          <w:color w:val="000000"/>
          <w:sz w:val="24"/>
          <w:szCs w:val="24"/>
        </w:rPr>
        <w:t>.</w:t>
      </w:r>
    </w:p>
    <w:p w14:paraId="3426AC76" w14:textId="77777777" w:rsidR="003B641E" w:rsidRPr="00ED079A" w:rsidRDefault="003B641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AB2F56C" w14:textId="77777777" w:rsidR="00D963E6" w:rsidRPr="00ED079A" w:rsidRDefault="006572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lang w:val="en-US"/>
        </w:rPr>
        <w:t>I</w:t>
      </w:r>
      <w:r w:rsidR="00ED4193" w:rsidRPr="00ED079A">
        <w:rPr>
          <w:rFonts w:ascii="Times New Roman" w:hAnsi="Times New Roman" w:cs="Times New Roman"/>
          <w:b/>
          <w:color w:val="000000" w:themeColor="text1"/>
          <w:sz w:val="24"/>
          <w:szCs w:val="24"/>
          <w:u w:val="single"/>
        </w:rPr>
        <w:t xml:space="preserve">. </w:t>
      </w:r>
      <w:r w:rsidRPr="00ED079A">
        <w:rPr>
          <w:rFonts w:ascii="Times New Roman" w:hAnsi="Times New Roman" w:cs="Times New Roman"/>
          <w:b/>
          <w:color w:val="000000" w:themeColor="text1"/>
          <w:sz w:val="24"/>
          <w:szCs w:val="24"/>
          <w:u w:val="single"/>
        </w:rPr>
        <w:t>Задължителни дейности</w:t>
      </w:r>
    </w:p>
    <w:p w14:paraId="4E7DFFCF" w14:textId="4EF11E63" w:rsidR="00D963E6" w:rsidRPr="00ED079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ED079A">
        <w:rPr>
          <w:rFonts w:ascii="Times New Roman" w:hAnsi="Times New Roman" w:cs="Times New Roman"/>
          <w:b/>
          <w:color w:val="000000" w:themeColor="text1"/>
          <w:sz w:val="24"/>
          <w:szCs w:val="24"/>
        </w:rPr>
        <w:t>1.</w:t>
      </w:r>
      <w:r w:rsidRPr="00ED079A">
        <w:rPr>
          <w:rFonts w:ascii="Times New Roman" w:hAnsi="Times New Roman" w:cs="Times New Roman"/>
          <w:color w:val="000000" w:themeColor="text1"/>
          <w:sz w:val="24"/>
          <w:szCs w:val="24"/>
        </w:rPr>
        <w:t xml:space="preserve"> </w:t>
      </w:r>
      <w:r w:rsidR="00992B4F" w:rsidRPr="00ED079A">
        <w:rPr>
          <w:rFonts w:ascii="Times New Roman" w:hAnsi="Times New Roman" w:cs="Times New Roman"/>
          <w:color w:val="000000" w:themeColor="text1"/>
          <w:sz w:val="24"/>
          <w:szCs w:val="24"/>
        </w:rPr>
        <w:t>За дейности свързани с - П</w:t>
      </w:r>
      <w:r w:rsidRPr="00ED079A">
        <w:rPr>
          <w:rFonts w:ascii="Times New Roman" w:hAnsi="Times New Roman" w:cs="Times New Roman"/>
          <w:color w:val="000000" w:themeColor="text1"/>
          <w:sz w:val="24"/>
          <w:szCs w:val="24"/>
        </w:rPr>
        <w:t>одкрепа за специализирани услуги за МСП за развитие и укрепване на управленския капацитет - обхватът на дейностите не може да включва само инвестиции в ново оборудване и/или специализирани софтуерни приложения.</w:t>
      </w:r>
    </w:p>
    <w:p w14:paraId="52CB7E4A" w14:textId="482B27E9" w:rsidR="00D963E6"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ED079A">
        <w:rPr>
          <w:rFonts w:ascii="Times New Roman" w:hAnsi="Times New Roman" w:cs="Times New Roman"/>
          <w:b/>
          <w:color w:val="000000" w:themeColor="text1"/>
          <w:sz w:val="24"/>
          <w:szCs w:val="24"/>
        </w:rPr>
        <w:t xml:space="preserve">2. </w:t>
      </w:r>
      <w:r w:rsidR="00992B4F" w:rsidRPr="00ED079A">
        <w:rPr>
          <w:rFonts w:ascii="Times New Roman" w:hAnsi="Times New Roman" w:cs="Times New Roman"/>
          <w:color w:val="000000" w:themeColor="text1"/>
          <w:sz w:val="24"/>
          <w:szCs w:val="24"/>
        </w:rPr>
        <w:t>За дейности свързани с - П</w:t>
      </w:r>
      <w:r w:rsidR="00D963E6" w:rsidRPr="00ED079A">
        <w:rPr>
          <w:rFonts w:ascii="Times New Roman" w:hAnsi="Times New Roman" w:cs="Times New Roman"/>
          <w:color w:val="000000" w:themeColor="text1"/>
          <w:sz w:val="24"/>
          <w:szCs w:val="24"/>
        </w:rPr>
        <w:t>одкрепа за растеж на предприятия</w:t>
      </w:r>
      <w:r w:rsidRPr="00ED079A">
        <w:rPr>
          <w:rFonts w:ascii="Times New Roman" w:hAnsi="Times New Roman" w:cs="Times New Roman"/>
          <w:color w:val="000000" w:themeColor="text1"/>
          <w:sz w:val="24"/>
          <w:szCs w:val="24"/>
        </w:rPr>
        <w:t>,</w:t>
      </w:r>
      <w:r w:rsidR="00D963E6" w:rsidRPr="00ED079A">
        <w:rPr>
          <w:rFonts w:ascii="Times New Roman" w:hAnsi="Times New Roman" w:cs="Times New Roman"/>
          <w:color w:val="000000" w:themeColor="text1"/>
          <w:sz w:val="24"/>
          <w:szCs w:val="24"/>
        </w:rPr>
        <w:t xml:space="preserve"> чрез подобряване на качеството и насърчаване н</w:t>
      </w:r>
      <w:r w:rsidRPr="00ED079A">
        <w:rPr>
          <w:rFonts w:ascii="Times New Roman" w:hAnsi="Times New Roman" w:cs="Times New Roman"/>
          <w:color w:val="000000" w:themeColor="text1"/>
          <w:sz w:val="24"/>
          <w:szCs w:val="24"/>
        </w:rPr>
        <w:t>а използването на ИКТ и услуги - о</w:t>
      </w:r>
      <w:r w:rsidR="00D963E6" w:rsidRPr="00ED079A">
        <w:rPr>
          <w:rFonts w:ascii="Times New Roman" w:hAnsi="Times New Roman" w:cs="Times New Roman"/>
          <w:color w:val="000000" w:themeColor="text1"/>
          <w:sz w:val="24"/>
          <w:szCs w:val="24"/>
        </w:rPr>
        <w:t>бхватът на дейностите не може да включва само инвестиции в ново оборудване и/или специализирани софтуерни приложения</w:t>
      </w:r>
      <w:r w:rsidR="00647EAE" w:rsidRPr="00ED079A">
        <w:rPr>
          <w:rFonts w:ascii="Times New Roman" w:hAnsi="Times New Roman" w:cs="Times New Roman"/>
          <w:color w:val="000000" w:themeColor="text1"/>
          <w:sz w:val="24"/>
          <w:szCs w:val="24"/>
          <w:u w:val="single"/>
          <w:vertAlign w:val="superscript"/>
        </w:rPr>
        <w:footnoteReference w:id="12"/>
      </w:r>
      <w:r w:rsidR="00647EAE" w:rsidRPr="00ED079A">
        <w:rPr>
          <w:rFonts w:ascii="Times New Roman" w:hAnsi="Times New Roman" w:cs="Times New Roman"/>
          <w:color w:val="000000" w:themeColor="text1"/>
          <w:sz w:val="24"/>
          <w:szCs w:val="24"/>
          <w:u w:val="single"/>
        </w:rPr>
        <w:t>.</w:t>
      </w:r>
    </w:p>
    <w:p w14:paraId="4BAA7B4F" w14:textId="77777777" w:rsidR="00992B4F"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745C7FDA" w14:textId="04235720" w:rsid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992B4F">
        <w:rPr>
          <w:rFonts w:ascii="Times New Roman" w:hAnsi="Times New Roman" w:cs="Times New Roman"/>
          <w:b/>
          <w:color w:val="000000" w:themeColor="text1"/>
          <w:sz w:val="24"/>
          <w:szCs w:val="24"/>
        </w:rPr>
        <w:t>ДЕЙНОСТИ ЗА ИНФОРМИРАНЕ И ПУБЛИЧНОСТ.</w:t>
      </w:r>
    </w:p>
    <w:p w14:paraId="5AD2294F"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BA1B719"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на Управляващия орган: </w:t>
      </w:r>
      <w:hyperlink r:id="rId8" w:history="1">
        <w:r w:rsidRPr="00992B4F">
          <w:rPr>
            <w:rStyle w:val="af3"/>
            <w:rFonts w:ascii="Times New Roman" w:hAnsi="Times New Roman" w:cs="Times New Roman"/>
            <w:sz w:val="24"/>
            <w:szCs w:val="24"/>
            <w:u w:val="none"/>
          </w:rPr>
          <w:t>http://opic.bg/informatsiya-i-publichnost/grafichni-iziskvaniya</w:t>
        </w:r>
      </w:hyperlink>
      <w:r w:rsidRPr="00992B4F">
        <w:rPr>
          <w:rFonts w:ascii="Times New Roman" w:hAnsi="Times New Roman" w:cs="Times New Roman"/>
          <w:color w:val="000000" w:themeColor="text1"/>
          <w:sz w:val="24"/>
          <w:szCs w:val="24"/>
        </w:rPr>
        <w:t xml:space="preserve"> .</w:t>
      </w:r>
    </w:p>
    <w:p w14:paraId="66495A71" w14:textId="77777777" w:rsidR="00992B4F" w:rsidRPr="006572A4"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3B8D1C5"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4545A31" w14:textId="77777777" w:rsidR="00AD51EE" w:rsidRPr="00F674A1"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674A1">
        <w:rPr>
          <w:rFonts w:ascii="Times New Roman" w:hAnsi="Times New Roman" w:cs="Times New Roman"/>
          <w:b/>
          <w:color w:val="000000" w:themeColor="text1"/>
          <w:sz w:val="24"/>
          <w:szCs w:val="24"/>
          <w:u w:val="single"/>
        </w:rPr>
        <w:t>I</w:t>
      </w:r>
      <w:r w:rsidR="00F674A1" w:rsidRPr="00F674A1">
        <w:rPr>
          <w:rFonts w:ascii="Times New Roman" w:hAnsi="Times New Roman" w:cs="Times New Roman"/>
          <w:b/>
          <w:color w:val="000000" w:themeColor="text1"/>
          <w:sz w:val="24"/>
          <w:szCs w:val="24"/>
          <w:u w:val="single"/>
          <w:lang w:val="en-GB"/>
        </w:rPr>
        <w:t>II</w:t>
      </w:r>
      <w:r w:rsidRPr="00F674A1">
        <w:rPr>
          <w:rFonts w:ascii="Times New Roman" w:hAnsi="Times New Roman" w:cs="Times New Roman"/>
          <w:b/>
          <w:color w:val="000000" w:themeColor="text1"/>
          <w:sz w:val="24"/>
          <w:szCs w:val="24"/>
          <w:u w:val="single"/>
        </w:rPr>
        <w:t>.</w:t>
      </w:r>
      <w:r w:rsidRPr="00A55D5B">
        <w:rPr>
          <w:rFonts w:ascii="Times New Roman" w:hAnsi="Times New Roman" w:cs="Times New Roman"/>
          <w:b/>
          <w:color w:val="000000" w:themeColor="text1"/>
          <w:sz w:val="24"/>
          <w:szCs w:val="24"/>
          <w:u w:val="single"/>
        </w:rPr>
        <w:t xml:space="preserve"> </w:t>
      </w:r>
      <w:r w:rsidR="00F674A1" w:rsidRPr="00F674A1">
        <w:rPr>
          <w:rFonts w:ascii="Times New Roman" w:hAnsi="Times New Roman" w:cs="Times New Roman"/>
          <w:b/>
          <w:color w:val="000000" w:themeColor="text1"/>
          <w:sz w:val="24"/>
          <w:szCs w:val="24"/>
          <w:u w:val="single"/>
        </w:rPr>
        <w:t>Допустими проекти</w:t>
      </w:r>
      <w:r w:rsidRPr="00F674A1">
        <w:rPr>
          <w:rFonts w:ascii="Times New Roman" w:hAnsi="Times New Roman" w:cs="Times New Roman"/>
          <w:b/>
          <w:color w:val="000000" w:themeColor="text1"/>
          <w:sz w:val="24"/>
          <w:szCs w:val="24"/>
          <w:u w:val="single"/>
        </w:rPr>
        <w:t>:</w:t>
      </w:r>
    </w:p>
    <w:p w14:paraId="04A16E6B" w14:textId="78A94769" w:rsidR="00AD51EE"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lastRenderedPageBreak/>
        <w:t>1. Изпълнението на проектите следва да води до постигане на заложените цели в одобрената стратегия за местно развитие и постигане на положителен ефект върху развитието на устойчива пазарна конкурентоспособност на МСП на територията на МИГ, с цел насърчаване на предприемачеството, подобряване на производствените процеси, повишаване на производствения капацитет и засилване на експортния потенциал на предприятията.</w:t>
      </w:r>
    </w:p>
    <w:p w14:paraId="40159F04" w14:textId="77777777" w:rsidR="00893C84" w:rsidRP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p>
    <w:p w14:paraId="1882335F" w14:textId="77777777" w:rsidR="00AD51EE" w:rsidRPr="00893C84"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2. Проектите са в съответствие с хоризонталните политики съгласно чл. 7 и чл. 8 на Регламент (ЕС) № 1303/2013 на Европейския парламент и на Съвета.</w:t>
      </w:r>
    </w:p>
    <w:p w14:paraId="55F991F6" w14:textId="77777777" w:rsid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616B06" w14:textId="018B1169" w:rsidR="0048130C" w:rsidRDefault="0048130C" w:rsidP="008406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r w:rsidRPr="00B52A2B">
        <w:rPr>
          <w:rFonts w:ascii="Times New Roman" w:eastAsia="Times New Roman" w:hAnsi="Times New Roman"/>
          <w:b/>
          <w:i/>
          <w:sz w:val="24"/>
        </w:rPr>
        <w:t xml:space="preserve">3. </w:t>
      </w:r>
      <w:r w:rsidR="008406BC" w:rsidRPr="008406BC">
        <w:rPr>
          <w:rFonts w:ascii="Times New Roman" w:eastAsia="Times New Roman" w:hAnsi="Times New Roman"/>
          <w:b/>
          <w:i/>
          <w:sz w:val="24"/>
        </w:rPr>
        <w:t>Дейностите по</w:t>
      </w:r>
      <w:r w:rsidR="008406BC">
        <w:rPr>
          <w:rFonts w:ascii="Times New Roman" w:eastAsia="Times New Roman" w:hAnsi="Times New Roman"/>
          <w:b/>
          <w:i/>
          <w:sz w:val="24"/>
        </w:rPr>
        <w:t xml:space="preserve"> проектите попадат в обхвата на о</w:t>
      </w:r>
      <w:r w:rsidR="008406BC" w:rsidRPr="008406BC">
        <w:rPr>
          <w:rFonts w:ascii="Times New Roman" w:eastAsia="Times New Roman" w:hAnsi="Times New Roman"/>
          <w:b/>
          <w:i/>
          <w:sz w:val="24"/>
        </w:rPr>
        <w:t>пределените сектори на Националната стратегия за насърчаване на малките и средните предприятия 2014-2020</w:t>
      </w:r>
      <w:r w:rsidR="008406BC">
        <w:rPr>
          <w:rFonts w:ascii="Times New Roman" w:eastAsia="Times New Roman" w:hAnsi="Times New Roman"/>
          <w:b/>
          <w:i/>
          <w:sz w:val="24"/>
        </w:rPr>
        <w:t xml:space="preserve">, посочени </w:t>
      </w:r>
      <w:r w:rsidR="00000668">
        <w:rPr>
          <w:rFonts w:ascii="Times New Roman" w:eastAsia="Times New Roman" w:hAnsi="Times New Roman"/>
          <w:b/>
          <w:i/>
          <w:sz w:val="24"/>
        </w:rPr>
        <w:t xml:space="preserve">по-горе </w:t>
      </w:r>
      <w:r w:rsidR="008406BC">
        <w:rPr>
          <w:rFonts w:ascii="Times New Roman" w:eastAsia="Times New Roman" w:hAnsi="Times New Roman"/>
          <w:b/>
          <w:i/>
          <w:sz w:val="24"/>
        </w:rPr>
        <w:t xml:space="preserve">в т. </w:t>
      </w:r>
      <w:r w:rsidR="00000668">
        <w:rPr>
          <w:rFonts w:ascii="Times New Roman" w:eastAsia="Times New Roman" w:hAnsi="Times New Roman"/>
          <w:b/>
          <w:i/>
          <w:sz w:val="24"/>
        </w:rPr>
        <w:t xml:space="preserve">6, раздел 11.1. </w:t>
      </w:r>
      <w:r w:rsidRPr="00B52A2B">
        <w:rPr>
          <w:rFonts w:ascii="Times New Roman" w:eastAsia="Times New Roman" w:hAnsi="Times New Roman"/>
          <w:b/>
          <w:i/>
          <w:sz w:val="24"/>
        </w:rPr>
        <w:t>.</w:t>
      </w:r>
    </w:p>
    <w:p w14:paraId="4E53AB28" w14:textId="77777777" w:rsidR="0048130C" w:rsidRDefault="0048130C" w:rsidP="004813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p>
    <w:p w14:paraId="7AD9FF89" w14:textId="77777777" w:rsidR="00AD51EE" w:rsidRPr="00B328B8"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28B8">
        <w:rPr>
          <w:rFonts w:ascii="Times New Roman" w:hAnsi="Times New Roman" w:cs="Times New Roman"/>
          <w:color w:val="000000" w:themeColor="text1"/>
          <w:sz w:val="24"/>
          <w:szCs w:val="24"/>
        </w:rPr>
        <w:t>Предвижда се  документална проверка за съответствие на проектните предложения с хоризонталните политики съгласно чл. 7 и чл. 8 на Регламент (ЕС) № 1303/2013 на Европейския парламент и на Съвета. Съответствието ще бъде проследявано както на етап оценка на проектните предложения, така и на етап изпълнение на проектите</w:t>
      </w:r>
      <w:r w:rsidR="00B328B8" w:rsidRPr="00B328B8">
        <w:rPr>
          <w:rFonts w:ascii="Times New Roman" w:hAnsi="Times New Roman" w:cs="Times New Roman"/>
          <w:color w:val="000000" w:themeColor="text1"/>
          <w:sz w:val="24"/>
          <w:szCs w:val="24"/>
        </w:rPr>
        <w:t>.</w:t>
      </w:r>
    </w:p>
    <w:p w14:paraId="182D1B17" w14:textId="77777777" w:rsidR="00AD51EE" w:rsidRPr="000A3DFA" w:rsidRDefault="00AD51EE"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574FFA0" w14:textId="77777777" w:rsidR="00464FCC" w:rsidRPr="00422728" w:rsidRDefault="00464FCC" w:rsidP="004524A5">
      <w:pPr>
        <w:pStyle w:val="2"/>
        <w:rPr>
          <w:sz w:val="24"/>
          <w:szCs w:val="24"/>
        </w:rPr>
      </w:pPr>
      <w:bookmarkStart w:id="18" w:name="_Toc494709516"/>
      <w:r w:rsidRPr="00422728">
        <w:rPr>
          <w:sz w:val="24"/>
          <w:szCs w:val="24"/>
        </w:rPr>
        <w:t xml:space="preserve">13.2. </w:t>
      </w:r>
      <w:r w:rsidRPr="00422728">
        <w:rPr>
          <w:rFonts w:cstheme="majorHAnsi"/>
          <w:sz w:val="24"/>
          <w:szCs w:val="24"/>
        </w:rPr>
        <w:t>Недопустими дейности</w:t>
      </w:r>
      <w:bookmarkEnd w:id="18"/>
    </w:p>
    <w:p w14:paraId="447F4E6E"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Недопустими са следните видове дейности:</w:t>
      </w:r>
    </w:p>
    <w:p w14:paraId="23BB36A4"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чието изпълнение е стартирало</w:t>
      </w:r>
      <w:r>
        <w:rPr>
          <w:rFonts w:ascii="Times New Roman" w:eastAsia="Calibri" w:hAnsi="Times New Roman" w:cs="Times New Roman"/>
          <w:sz w:val="24"/>
          <w:szCs w:val="24"/>
        </w:rPr>
        <w:t xml:space="preserve"> п</w:t>
      </w:r>
      <w:r w:rsidRPr="00D75F5A">
        <w:rPr>
          <w:rFonts w:ascii="Times New Roman" w:eastAsia="Calibri" w:hAnsi="Times New Roman" w:cs="Times New Roman"/>
          <w:sz w:val="24"/>
          <w:szCs w:val="24"/>
        </w:rPr>
        <w:t>реди подаване на проектното предложение;</w:t>
      </w:r>
    </w:p>
    <w:p w14:paraId="602BE906"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A6E29">
        <w:rPr>
          <w:rFonts w:ascii="Times New Roman" w:eastAsia="Calibri" w:hAnsi="Times New Roman" w:cs="Times New Roman"/>
          <w:sz w:val="24"/>
          <w:szCs w:val="24"/>
        </w:rPr>
        <w:t xml:space="preserve">• </w:t>
      </w:r>
      <w:r w:rsidRPr="00D75F5A">
        <w:rPr>
          <w:rFonts w:ascii="Times New Roman" w:eastAsia="Calibri" w:hAnsi="Times New Roman" w:cs="Times New Roman"/>
          <w:sz w:val="24"/>
          <w:szCs w:val="24"/>
        </w:rPr>
        <w:t>дейности, извършени след изтичане на крайния срок за изпълнение на дейностите по проекта;</w:t>
      </w:r>
    </w:p>
    <w:p w14:paraId="0F9774E8"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които вече са финансирани от други публични източници;</w:t>
      </w:r>
    </w:p>
    <w:p w14:paraId="406CA712"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закупуване на дълготрайни активи втора употреба и на дълготрайни активи, които не са заведени за първи път от получателя на помощта;</w:t>
      </w:r>
    </w:p>
    <w:p w14:paraId="23523F9F"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на дълготрайни материални активи и дълготрайни нематериални активи, които не са пряко свързани с постигане на целите на проекта; </w:t>
      </w:r>
    </w:p>
    <w:p w14:paraId="255F87B0" w14:textId="77777777"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и/или доставка на ресурси за производство, имащи характер на стоково-материални запаси (суровини, материали, полуобработени компоненти, консумативи за производството, резервни </w:t>
      </w:r>
      <w:r w:rsidRPr="004D5781">
        <w:rPr>
          <w:rFonts w:ascii="Times New Roman" w:eastAsia="Calibri" w:hAnsi="Times New Roman" w:cs="Times New Roman"/>
          <w:sz w:val="24"/>
          <w:szCs w:val="24"/>
        </w:rPr>
        <w:t>части);</w:t>
      </w:r>
      <w:r w:rsidRPr="00D75F5A">
        <w:rPr>
          <w:rFonts w:ascii="Times New Roman" w:eastAsia="Calibri" w:hAnsi="Times New Roman" w:cs="Times New Roman"/>
          <w:sz w:val="24"/>
          <w:szCs w:val="24"/>
        </w:rPr>
        <w:t xml:space="preserve"> </w:t>
      </w:r>
    </w:p>
    <w:p w14:paraId="5CE52501" w14:textId="5030B523"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CF2EE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2EEA">
        <w:rPr>
          <w:rFonts w:ascii="Times New Roman" w:eastAsia="Calibri" w:hAnsi="Times New Roman" w:cs="Times New Roman"/>
          <w:sz w:val="24"/>
          <w:szCs w:val="24"/>
        </w:rPr>
        <w:t>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rPr>
        <w:t xml:space="preserve"> в случай на разработване на иновации</w:t>
      </w:r>
      <w:r w:rsidRPr="00CF2EEA">
        <w:rPr>
          <w:rFonts w:ascii="Times New Roman" w:eastAsia="Calibri" w:hAnsi="Times New Roman" w:cs="Times New Roman"/>
          <w:sz w:val="24"/>
          <w:szCs w:val="24"/>
        </w:rPr>
        <w:t>;</w:t>
      </w:r>
    </w:p>
    <w:p w14:paraId="6740C5FA" w14:textId="770476FE" w:rsidR="001541FD" w:rsidRPr="000A3DF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производството, обработката и продажбата на тютюн и тютюневи изделия;</w:t>
      </w:r>
    </w:p>
    <w:p w14:paraId="77A1DF52" w14:textId="7A72048A" w:rsidR="001541FD" w:rsidRPr="00D75F5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инвестиции в летищна инфраструктура;</w:t>
      </w:r>
    </w:p>
    <w:p w14:paraId="5DC98ECC" w14:textId="77777777" w:rsidR="00F26A31" w:rsidRPr="005D12E2"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5D12E2">
        <w:rPr>
          <w:rFonts w:ascii="Times New Roman" w:eastAsia="Calibri" w:hAnsi="Times New Roman" w:cs="Times New Roman"/>
          <w:sz w:val="24"/>
          <w:szCs w:val="24"/>
        </w:rPr>
        <w:t xml:space="preserve">• </w:t>
      </w:r>
      <w:r w:rsidRPr="003A72FA">
        <w:rPr>
          <w:rFonts w:ascii="Times New Roman" w:eastAsia="Calibri" w:hAnsi="Times New Roman" w:cs="Times New Roman"/>
          <w:sz w:val="24"/>
          <w:szCs w:val="24"/>
        </w:rPr>
        <w:t xml:space="preserve">закупуване или наемане на транспортни средства и </w:t>
      </w:r>
      <w:r w:rsidRPr="005D12E2">
        <w:rPr>
          <w:rFonts w:ascii="Times New Roman" w:eastAsia="Calibri" w:hAnsi="Times New Roman" w:cs="Times New Roman"/>
          <w:sz w:val="24"/>
          <w:szCs w:val="24"/>
        </w:rPr>
        <w:t>съоръжения;</w:t>
      </w:r>
    </w:p>
    <w:p w14:paraId="1878167B"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придобиването на товарни автомобили за сухопътен транспорт</w:t>
      </w:r>
      <w:r>
        <w:rPr>
          <w:rFonts w:ascii="Times New Roman" w:eastAsia="Calibri" w:hAnsi="Times New Roman" w:cs="Times New Roman"/>
          <w:sz w:val="24"/>
          <w:szCs w:val="24"/>
        </w:rPr>
        <w:t>;</w:t>
      </w:r>
    </w:p>
    <w:p w14:paraId="52033583"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всички дейности, които не са сред посочените като допустими</w:t>
      </w:r>
      <w:r>
        <w:rPr>
          <w:rFonts w:ascii="Times New Roman" w:eastAsia="Calibri" w:hAnsi="Times New Roman" w:cs="Times New Roman"/>
          <w:sz w:val="24"/>
          <w:szCs w:val="24"/>
        </w:rPr>
        <w:t>;</w:t>
      </w:r>
    </w:p>
    <w:p w14:paraId="6028D1B5"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51647">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F51647">
        <w:rPr>
          <w:rFonts w:ascii="Times New Roman" w:eastAsia="Calibri" w:hAnsi="Times New Roman" w:cs="Times New Roman"/>
          <w:sz w:val="24"/>
          <w:szCs w:val="24"/>
        </w:rPr>
        <w:t>всякакви дейности от търговски характер, генериращи печалба за кандидата;</w:t>
      </w:r>
    </w:p>
    <w:p w14:paraId="1901F4E8"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44CD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6664">
        <w:rPr>
          <w:rFonts w:ascii="Times New Roman" w:eastAsia="Calibri" w:hAnsi="Times New Roman" w:cs="Times New Roman"/>
          <w:sz w:val="24"/>
          <w:szCs w:val="24"/>
        </w:rPr>
        <w:t>дейности, извършени в нарушение на правилата за държавни помощи;</w:t>
      </w:r>
    </w:p>
    <w:p w14:paraId="7B1D2E30"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одит на проекта;</w:t>
      </w:r>
    </w:p>
    <w:p w14:paraId="2981D356"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участие в семинари, работни срещи, изложения</w:t>
      </w:r>
      <w:r>
        <w:rPr>
          <w:rFonts w:ascii="Times New Roman" w:eastAsia="Calibri" w:hAnsi="Times New Roman" w:cs="Times New Roman"/>
          <w:sz w:val="24"/>
          <w:szCs w:val="24"/>
        </w:rPr>
        <w:t>;</w:t>
      </w:r>
    </w:p>
    <w:p w14:paraId="7495534B"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консултантски, юридически и счетоводни услуги от общ характер;</w:t>
      </w:r>
    </w:p>
    <w:p w14:paraId="1FA96846" w14:textId="5B4F400D" w:rsidR="00F26A31"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изработване на общи пазарни анализи, проучвания, маркетингови планове</w:t>
      </w:r>
      <w:r w:rsidRPr="003F5DAD">
        <w:rPr>
          <w:rFonts w:ascii="Times New Roman" w:eastAsia="Calibri" w:hAnsi="Times New Roman" w:cs="Times New Roman"/>
          <w:sz w:val="24"/>
          <w:szCs w:val="24"/>
        </w:rPr>
        <w:t>,</w:t>
      </w:r>
      <w:r w:rsidRPr="00172CAF">
        <w:rPr>
          <w:rFonts w:ascii="Verdana" w:eastAsia="Times New Roman" w:hAnsi="Verdana" w:cs="Times New Roman"/>
          <w:bCs/>
          <w:sz w:val="20"/>
          <w:szCs w:val="20"/>
          <w:lang w:val="ru-RU"/>
        </w:rPr>
        <w:t xml:space="preserve"> </w:t>
      </w:r>
      <w:r w:rsidRPr="00172CAF">
        <w:rPr>
          <w:rFonts w:ascii="Times New Roman" w:eastAsia="Calibri" w:hAnsi="Times New Roman" w:cs="Times New Roman"/>
          <w:bCs/>
          <w:sz w:val="24"/>
          <w:szCs w:val="24"/>
          <w:lang w:val="ru-RU"/>
        </w:rPr>
        <w:t>които не са свързани с реализирането на предприемаческата идея</w:t>
      </w:r>
      <w:r w:rsidRPr="003F5DAD">
        <w:rPr>
          <w:rFonts w:ascii="Times New Roman" w:eastAsia="Calibri" w:hAnsi="Times New Roman" w:cs="Times New Roman"/>
          <w:sz w:val="24"/>
          <w:szCs w:val="24"/>
        </w:rPr>
        <w:t>;</w:t>
      </w:r>
    </w:p>
    <w:p w14:paraId="4111FB01"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реклама на новите технологии, процеси, продукти/услуги – включително и не само публикуване на обяви в периодични издания, изработка и излъчване на рекламни спотове (радио и 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69D72A54" w14:textId="77777777" w:rsidR="00F26A31" w:rsidRPr="00B06664" w:rsidRDefault="00F26A31" w:rsidP="00F26A3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w:t>
      </w:r>
      <w:r w:rsidRPr="00225119">
        <w:rPr>
          <w:rFonts w:ascii="Times New Roman" w:eastAsia="Calibri" w:hAnsi="Times New Roman" w:cs="Times New Roman"/>
          <w:sz w:val="24"/>
          <w:szCs w:val="24"/>
        </w:rPr>
        <w:t xml:space="preserve"> други дейности извън обхвата на допустимите</w:t>
      </w:r>
      <w:r w:rsidRPr="00B06664">
        <w:rPr>
          <w:rFonts w:ascii="Times New Roman" w:eastAsia="Calibri" w:hAnsi="Times New Roman" w:cs="Times New Roman"/>
          <w:sz w:val="24"/>
          <w:szCs w:val="24"/>
        </w:rPr>
        <w:t xml:space="preserve"> дейности и непопадащи в приложното поле на Постановление № </w:t>
      </w:r>
      <w:r>
        <w:rPr>
          <w:rFonts w:ascii="Times New Roman" w:eastAsia="Calibri" w:hAnsi="Times New Roman" w:cs="Times New Roman"/>
          <w:sz w:val="24"/>
          <w:szCs w:val="24"/>
        </w:rPr>
        <w:t>189</w:t>
      </w:r>
      <w:r w:rsidRPr="00B06664">
        <w:rPr>
          <w:rFonts w:ascii="Times New Roman" w:eastAsia="Calibri" w:hAnsi="Times New Roman" w:cs="Times New Roman"/>
          <w:sz w:val="24"/>
          <w:szCs w:val="24"/>
        </w:rPr>
        <w:t xml:space="preserve"> на Министерския съвет от </w:t>
      </w:r>
      <w:r>
        <w:rPr>
          <w:rFonts w:ascii="Times New Roman" w:eastAsia="Calibri" w:hAnsi="Times New Roman" w:cs="Times New Roman"/>
          <w:sz w:val="24"/>
          <w:szCs w:val="24"/>
        </w:rPr>
        <w:t>05.08.2016</w:t>
      </w:r>
      <w:r w:rsidRPr="00B06664">
        <w:rPr>
          <w:rFonts w:ascii="Times New Roman" w:eastAsia="Calibri" w:hAnsi="Times New Roman" w:cs="Times New Roman"/>
          <w:sz w:val="24"/>
          <w:szCs w:val="24"/>
        </w:rPr>
        <w:t xml:space="preserve"> г. за </w:t>
      </w:r>
      <w:r>
        <w:rPr>
          <w:rFonts w:ascii="Times New Roman" w:eastAsia="Calibri" w:hAnsi="Times New Roman" w:cs="Times New Roman"/>
          <w:sz w:val="24"/>
          <w:szCs w:val="24"/>
        </w:rPr>
        <w:t>определяне</w:t>
      </w:r>
      <w:r w:rsidRPr="00B06664">
        <w:rPr>
          <w:rFonts w:ascii="Times New Roman" w:eastAsia="Calibri" w:hAnsi="Times New Roman" w:cs="Times New Roman"/>
          <w:sz w:val="24"/>
          <w:szCs w:val="24"/>
        </w:rPr>
        <w:t xml:space="preserve"> на национални правила за допустимост на разходите по програми</w:t>
      </w:r>
      <w:r>
        <w:rPr>
          <w:rFonts w:ascii="Times New Roman" w:eastAsia="Calibri" w:hAnsi="Times New Roman" w:cs="Times New Roman"/>
          <w:sz w:val="24"/>
          <w:szCs w:val="24"/>
        </w:rPr>
        <w:t>те</w:t>
      </w:r>
      <w:r w:rsidRPr="00B06664">
        <w:rPr>
          <w:rFonts w:ascii="Times New Roman" w:eastAsia="Calibri" w:hAnsi="Times New Roman" w:cs="Times New Roman"/>
          <w:sz w:val="24"/>
          <w:szCs w:val="24"/>
        </w:rPr>
        <w:t>, съфинансирани от Европейския фонд за регионално развитие, Европейски</w:t>
      </w:r>
      <w:r>
        <w:rPr>
          <w:rFonts w:ascii="Times New Roman" w:eastAsia="Calibri" w:hAnsi="Times New Roman" w:cs="Times New Roman"/>
          <w:sz w:val="24"/>
          <w:szCs w:val="24"/>
        </w:rPr>
        <w:t>те структурни и инвестиционни фондове,</w:t>
      </w:r>
      <w:r w:rsidRPr="00B0666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програмния период</w:t>
      </w:r>
      <w:r w:rsidRPr="00B06664">
        <w:rPr>
          <w:rFonts w:ascii="Times New Roman" w:eastAsia="Calibri" w:hAnsi="Times New Roman" w:cs="Times New Roman"/>
          <w:sz w:val="24"/>
          <w:szCs w:val="24"/>
        </w:rPr>
        <w:t xml:space="preserve"> 2014 – 2020 г. (ПМС 1</w:t>
      </w:r>
      <w:r>
        <w:rPr>
          <w:rFonts w:ascii="Times New Roman" w:eastAsia="Calibri" w:hAnsi="Times New Roman" w:cs="Times New Roman"/>
          <w:sz w:val="24"/>
          <w:szCs w:val="24"/>
        </w:rPr>
        <w:t>8</w:t>
      </w:r>
      <w:r w:rsidRPr="00B06664">
        <w:rPr>
          <w:rFonts w:ascii="Times New Roman" w:eastAsia="Calibri" w:hAnsi="Times New Roman" w:cs="Times New Roman"/>
          <w:sz w:val="24"/>
          <w:szCs w:val="24"/>
        </w:rPr>
        <w:t>9/201</w:t>
      </w:r>
      <w:r>
        <w:rPr>
          <w:rFonts w:ascii="Times New Roman" w:eastAsia="Calibri" w:hAnsi="Times New Roman" w:cs="Times New Roman"/>
          <w:sz w:val="24"/>
          <w:szCs w:val="24"/>
        </w:rPr>
        <w:t>6</w:t>
      </w:r>
      <w:r w:rsidRPr="00B06664">
        <w:rPr>
          <w:rFonts w:ascii="Times New Roman" w:eastAsia="Calibri" w:hAnsi="Times New Roman" w:cs="Times New Roman"/>
          <w:sz w:val="24"/>
          <w:szCs w:val="24"/>
        </w:rPr>
        <w:t>), и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p>
    <w:p w14:paraId="30EFD24D" w14:textId="77777777" w:rsidR="00A26101" w:rsidRDefault="00A26101"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B63A711" w14:textId="77777777" w:rsidR="00FD1FC1" w:rsidRPr="000A3DFA" w:rsidRDefault="00B345D5"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45D5">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007F0E47" w:rsidRPr="000A3DFA">
        <w:rPr>
          <w:rFonts w:ascii="Times New Roman" w:hAnsi="Times New Roman" w:cs="Times New Roman"/>
          <w:color w:val="000000" w:themeColor="text1"/>
          <w:sz w:val="24"/>
          <w:szCs w:val="24"/>
        </w:rPr>
        <w:t>Разходи за финансиране на недопустими дейности няма да бъдат възстановявани от ОПИК.</w:t>
      </w:r>
    </w:p>
    <w:p w14:paraId="390D21E0" w14:textId="77777777" w:rsidR="002A3655" w:rsidRPr="004770DA" w:rsidRDefault="00CB14EE" w:rsidP="004524A5">
      <w:pPr>
        <w:pStyle w:val="1"/>
      </w:pPr>
      <w:bookmarkStart w:id="19" w:name="_Toc494709517"/>
      <w:r w:rsidRPr="004770DA">
        <w:t>1</w:t>
      </w:r>
      <w:r w:rsidR="004A58E5" w:rsidRPr="004770DA">
        <w:t>4</w:t>
      </w:r>
      <w:r w:rsidR="002325A3" w:rsidRPr="004770DA">
        <w:t xml:space="preserve">. </w:t>
      </w:r>
      <w:r w:rsidR="003D562F" w:rsidRPr="004770DA">
        <w:t>Категории р</w:t>
      </w:r>
      <w:r w:rsidR="002325A3" w:rsidRPr="004770DA">
        <w:t>азходи, допустими за финансиране</w:t>
      </w:r>
      <w:r w:rsidR="002A3655" w:rsidRPr="004770DA">
        <w:t>:</w:t>
      </w:r>
      <w:bookmarkEnd w:id="19"/>
    </w:p>
    <w:p w14:paraId="47D95B0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 Възможните изменения на бюджета не могат да доведат до увеличаване на сумата на исканата безвъзмездна помощ.</w:t>
      </w:r>
    </w:p>
    <w:p w14:paraId="7885EE69" w14:textId="77777777" w:rsidR="00EB519A" w:rsidRPr="000A3DFA" w:rsidRDefault="00EB519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b/>
          <w:color w:val="000000" w:themeColor="text1"/>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w:t>
      </w:r>
      <w:r w:rsidR="00291818" w:rsidRPr="000A3DFA">
        <w:rPr>
          <w:rFonts w:ascii="Times New Roman" w:hAnsi="Times New Roman" w:cs="Times New Roman"/>
          <w:b/>
          <w:color w:val="000000" w:themeColor="text1"/>
          <w:sz w:val="24"/>
          <w:szCs w:val="24"/>
        </w:rPr>
        <w:t>,</w:t>
      </w:r>
      <w:r w:rsidRPr="000A3DFA">
        <w:rPr>
          <w:rFonts w:ascii="Times New Roman" w:hAnsi="Times New Roman" w:cs="Times New Roman"/>
          <w:b/>
          <w:color w:val="000000" w:themeColor="text1"/>
          <w:sz w:val="24"/>
          <w:szCs w:val="24"/>
        </w:rPr>
        <w:t xml:space="preserve"> </w:t>
      </w:r>
      <w:r w:rsidR="00D721FC" w:rsidRPr="000A3DFA">
        <w:rPr>
          <w:rFonts w:ascii="Times New Roman" w:hAnsi="Times New Roman" w:cs="Times New Roman"/>
          <w:b/>
          <w:color w:val="000000" w:themeColor="text1"/>
          <w:sz w:val="24"/>
          <w:szCs w:val="24"/>
        </w:rPr>
        <w:t xml:space="preserve">печалбата </w:t>
      </w:r>
      <w:r w:rsidRPr="000A3DFA">
        <w:rPr>
          <w:rFonts w:ascii="Times New Roman" w:hAnsi="Times New Roman" w:cs="Times New Roman"/>
          <w:b/>
          <w:color w:val="000000" w:themeColor="text1"/>
          <w:sz w:val="24"/>
          <w:szCs w:val="24"/>
        </w:rPr>
        <w:t>подлеж</w:t>
      </w:r>
      <w:r w:rsidR="00D721FC" w:rsidRPr="000A3DFA">
        <w:rPr>
          <w:rFonts w:ascii="Times New Roman" w:hAnsi="Times New Roman" w:cs="Times New Roman"/>
          <w:b/>
          <w:color w:val="000000" w:themeColor="text1"/>
          <w:sz w:val="24"/>
          <w:szCs w:val="24"/>
        </w:rPr>
        <w:t>и</w:t>
      </w:r>
      <w:r w:rsidRPr="000A3DFA">
        <w:rPr>
          <w:rFonts w:ascii="Times New Roman" w:hAnsi="Times New Roman" w:cs="Times New Roman"/>
          <w:b/>
          <w:color w:val="000000" w:themeColor="text1"/>
          <w:sz w:val="24"/>
          <w:szCs w:val="24"/>
        </w:rPr>
        <w:t xml:space="preserve"> на възстановяване</w:t>
      </w:r>
      <w:r w:rsidR="00291818" w:rsidRPr="000A3DFA">
        <w:rPr>
          <w:rStyle w:val="a8"/>
          <w:rFonts w:ascii="Times New Roman" w:hAnsi="Times New Roman" w:cs="Times New Roman"/>
          <w:b/>
          <w:color w:val="000000" w:themeColor="text1"/>
          <w:sz w:val="24"/>
          <w:szCs w:val="24"/>
        </w:rPr>
        <w:footnoteReference w:id="13"/>
      </w:r>
      <w:r w:rsidRPr="000A3DFA">
        <w:rPr>
          <w:rFonts w:ascii="Times New Roman" w:hAnsi="Times New Roman" w:cs="Times New Roman"/>
          <w:b/>
          <w:color w:val="000000" w:themeColor="text1"/>
          <w:sz w:val="24"/>
          <w:szCs w:val="24"/>
        </w:rPr>
        <w:t>.</w:t>
      </w:r>
    </w:p>
    <w:p w14:paraId="45182E4D"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Разходите, допустими за финансиране, трябва да отговарят на разпоредбите на:</w:t>
      </w:r>
    </w:p>
    <w:p w14:paraId="4BB5191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14:paraId="7D8F538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7E843E4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 за управление на средствата от Европейските структурни и инвестиционни фондове (ЗУСЕСИФ);</w:t>
      </w:r>
    </w:p>
    <w:p w14:paraId="32561AB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2C4B87C4"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законови и подзаконови нормативни актове от приложимото право на Европейския съюз и българското законодателство.</w:t>
      </w:r>
    </w:p>
    <w:p w14:paraId="68A44743"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Съгласно чл. 57, ал. 1 от ЗУСЕСИФ разходите се считат за допустими, ако са налице едновременно следните условия:</w:t>
      </w:r>
    </w:p>
    <w:p w14:paraId="014EC61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4612E1CF"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разходите попадат в документите по чл. 26, ал. 1 и в одобрения проект категории разходи;</w:t>
      </w:r>
    </w:p>
    <w:p w14:paraId="5D6DA089"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разходите са за реално доставени продукти, извършени услуги и строителни дейности;</w:t>
      </w:r>
    </w:p>
    <w:p w14:paraId="51B4810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разходите са извършени законосъобразно съгласно приложимото право на Европейския съюз и българското законодателство;</w:t>
      </w:r>
    </w:p>
    <w:p w14:paraId="14C6106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0D6F2D3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6.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D272205"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7. разходите са съобразени с приложимите правила за предоставяне на </w:t>
      </w:r>
      <w:r w:rsidR="009373C2">
        <w:rPr>
          <w:rFonts w:ascii="Times New Roman" w:hAnsi="Times New Roman" w:cs="Times New Roman"/>
          <w:color w:val="000000" w:themeColor="text1"/>
          <w:sz w:val="24"/>
          <w:szCs w:val="24"/>
        </w:rPr>
        <w:t>минимални</w:t>
      </w:r>
      <w:r w:rsidRPr="000A3DFA">
        <w:rPr>
          <w:rFonts w:ascii="Times New Roman" w:hAnsi="Times New Roman" w:cs="Times New Roman"/>
          <w:color w:val="000000" w:themeColor="text1"/>
          <w:sz w:val="24"/>
          <w:szCs w:val="24"/>
        </w:rPr>
        <w:t xml:space="preserve"> помощи.</w:t>
      </w:r>
    </w:p>
    <w:p w14:paraId="6151281B" w14:textId="3D79B3E4" w:rsidR="008A4DBB" w:rsidRPr="000A3DFA" w:rsidRDefault="00BD75BC"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17C6B41" w14:textId="77777777" w:rsidR="00F26FF5" w:rsidRPr="000A3DFA" w:rsidRDefault="008A4DBB"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разходите, за които в нормативната уредба са предвидени ограничения в размера им, допустими за финансиране е частта от разхода, до размера на ограниченията. При подготовката на всяко проектно предложение, кандидатът следва да има предвид, че процентните ограничения се налагат върху реално извършените, разплатени, верифицирани и сертифицирани допустими разходи и се приравняват при окончателното плащане.</w:t>
      </w:r>
    </w:p>
    <w:p w14:paraId="1D2B4F1E" w14:textId="77777777" w:rsidR="000B2C34" w:rsidRPr="00422728" w:rsidRDefault="000B2C34" w:rsidP="004524A5">
      <w:pPr>
        <w:pStyle w:val="2"/>
        <w:rPr>
          <w:sz w:val="24"/>
          <w:szCs w:val="24"/>
        </w:rPr>
      </w:pPr>
      <w:bookmarkStart w:id="20" w:name="_Toc494709518"/>
      <w:r w:rsidRPr="00422728">
        <w:rPr>
          <w:sz w:val="24"/>
          <w:szCs w:val="24"/>
        </w:rPr>
        <w:t>14.1. Условия за допустимост на разходите</w:t>
      </w:r>
      <w:bookmarkEnd w:id="20"/>
    </w:p>
    <w:p w14:paraId="2186F5B6" w14:textId="77777777" w:rsidR="000B2C34" w:rsidRPr="000A3DFA" w:rsidRDefault="000B2C3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да бъдат допустими разходите по настоящата процедура за предоставяне на безвъзмездна финансова помощ</w:t>
      </w:r>
      <w:r w:rsidR="0093319A"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трябва да отговарят на следните условия:</w:t>
      </w:r>
    </w:p>
    <w:p w14:paraId="518D14DB"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p>
    <w:p w14:paraId="2C65ED9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 който не е обоснован, ще бъде премахнат от бюджета на проекта служебно от Комисията за подбор.</w:t>
      </w:r>
    </w:p>
    <w:p w14:paraId="1839F629" w14:textId="65FC9B10" w:rsidR="008870D6" w:rsidRDefault="006D3991"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9D4828">
        <w:rPr>
          <w:rFonts w:ascii="Times New Roman" w:hAnsi="Times New Roman" w:cs="Times New Roman"/>
          <w:b/>
          <w:color w:val="000000" w:themeColor="text1"/>
          <w:sz w:val="24"/>
          <w:szCs w:val="24"/>
        </w:rPr>
        <w:t>Важно!</w:t>
      </w:r>
      <w:r w:rsidR="009D5C95" w:rsidRPr="009D5C95">
        <w:rPr>
          <w:rFonts w:ascii="Times New Roman" w:hAnsi="Times New Roman" w:cs="Times New Roman"/>
          <w:color w:val="000000" w:themeColor="text1"/>
          <w:sz w:val="24"/>
          <w:szCs w:val="24"/>
        </w:rPr>
        <w:t xml:space="preserve"> </w:t>
      </w:r>
      <w:r w:rsidR="008870D6" w:rsidRPr="00E5360D">
        <w:rPr>
          <w:rFonts w:ascii="Times New Roman" w:eastAsia="Calibri" w:hAnsi="Times New Roman" w:cs="Times New Roman"/>
          <w:sz w:val="24"/>
          <w:szCs w:val="24"/>
        </w:rPr>
        <w:t xml:space="preserve">С цел определяне на реалистичността на предвидените разходи за закупуване на активи, кандидатът следва да приложи към Формуляра за кандидатстване </w:t>
      </w:r>
      <w:r w:rsidR="008870D6">
        <w:rPr>
          <w:rFonts w:ascii="Times New Roman" w:eastAsia="Calibri" w:hAnsi="Times New Roman" w:cs="Times New Roman"/>
          <w:sz w:val="24"/>
          <w:szCs w:val="24"/>
          <w:u w:val="single"/>
        </w:rPr>
        <w:t>д</w:t>
      </w:r>
      <w:r w:rsidR="008870D6" w:rsidRPr="00B15CC7">
        <w:rPr>
          <w:rFonts w:ascii="Times New Roman" w:eastAsia="Calibri" w:hAnsi="Times New Roman" w:cs="Times New Roman"/>
          <w:sz w:val="24"/>
          <w:szCs w:val="24"/>
          <w:u w:val="single"/>
        </w:rPr>
        <w:t>ве оферти за всяка отделна инвестиция в активи (ДМА и ДНА) с предложена цена</w:t>
      </w:r>
      <w:r w:rsidR="008870D6" w:rsidRPr="00E5360D">
        <w:rPr>
          <w:rFonts w:ascii="Times New Roman" w:eastAsia="Calibri" w:hAnsi="Times New Roman" w:cs="Times New Roman"/>
          <w:sz w:val="24"/>
          <w:szCs w:val="24"/>
        </w:rPr>
        <w:t xml:space="preserve">. </w:t>
      </w:r>
      <w:r w:rsidR="008870D6" w:rsidRPr="000557E8">
        <w:rPr>
          <w:rFonts w:ascii="Times New Roman" w:eastAsia="Calibri" w:hAnsi="Times New Roman" w:cs="Times New Roman"/>
          <w:sz w:val="24"/>
          <w:szCs w:val="24"/>
        </w:rPr>
        <w:t xml:space="preserve">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 </w:t>
      </w:r>
      <w:r w:rsidR="008870D6" w:rsidRPr="005F7118">
        <w:rPr>
          <w:rFonts w:ascii="Times New Roman" w:eastAsia="Calibri" w:hAnsi="Times New Roman" w:cs="Times New Roman"/>
          <w:sz w:val="24"/>
          <w:szCs w:val="24"/>
        </w:rPr>
        <w:t xml:space="preserve">Не следва да бъдат представяни оферти от лица и/или предприятия, пряко или косвено свързани </w:t>
      </w:r>
      <w:r w:rsidR="008870D6" w:rsidRPr="000557E8">
        <w:rPr>
          <w:rFonts w:ascii="Times New Roman" w:eastAsia="Calibri" w:hAnsi="Times New Roman" w:cs="Times New Roman"/>
          <w:sz w:val="24"/>
          <w:szCs w:val="24"/>
        </w:rPr>
        <w:t xml:space="preserve">както по между си, така и </w:t>
      </w:r>
      <w:r w:rsidR="008870D6" w:rsidRPr="005F7118">
        <w:rPr>
          <w:rFonts w:ascii="Times New Roman" w:eastAsia="Calibri" w:hAnsi="Times New Roman" w:cs="Times New Roman"/>
          <w:sz w:val="24"/>
          <w:szCs w:val="24"/>
        </w:rPr>
        <w:t xml:space="preserve">с кандидата по смисъла на § 1 от Допълнителните разпоредби на Търговския закон </w:t>
      </w:r>
      <w:r w:rsidR="008870D6" w:rsidRPr="00F81F75">
        <w:rPr>
          <w:rFonts w:ascii="Times New Roman" w:eastAsia="Calibri" w:hAnsi="Times New Roman" w:cs="Times New Roman"/>
          <w:sz w:val="24"/>
          <w:szCs w:val="24"/>
        </w:rPr>
        <w:t xml:space="preserve">и/или които са в конфликт на интереси с него по смисъла на чл. 61 от Регламент (ЕС, ЕВРАТОМ) № 1046/2018.     </w:t>
      </w:r>
    </w:p>
    <w:p w14:paraId="169B377E" w14:textId="77777777" w:rsidR="006D3991"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B264A">
        <w:rPr>
          <w:rFonts w:ascii="Times New Roman" w:eastAsia="Calibri" w:hAnsi="Times New Roman" w:cs="Times New Roman"/>
          <w:sz w:val="24"/>
          <w:szCs w:val="24"/>
        </w:rPr>
        <w:t>При хипотеза на придобиване на патент, полезен модел, ноу-хау или лицензия за такива, кандидатът може да представи само една оферта</w:t>
      </w:r>
      <w:r>
        <w:rPr>
          <w:rFonts w:ascii="Times New Roman" w:eastAsia="Calibri" w:hAnsi="Times New Roman" w:cs="Times New Roman"/>
          <w:sz w:val="24"/>
          <w:szCs w:val="24"/>
        </w:rPr>
        <w:t>.</w:t>
      </w:r>
      <w:r w:rsidR="009C3682">
        <w:rPr>
          <w:rFonts w:ascii="Times New Roman" w:eastAsia="Calibri" w:hAnsi="Times New Roman" w:cs="Times New Roman"/>
          <w:sz w:val="24"/>
          <w:szCs w:val="24"/>
        </w:rPr>
        <w:t xml:space="preserve"> </w:t>
      </w:r>
    </w:p>
    <w:p w14:paraId="704847CD" w14:textId="368992C0" w:rsidR="006D3991" w:rsidRDefault="006D3991"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D3991">
        <w:rPr>
          <w:rFonts w:ascii="Times New Roman" w:eastAsia="Calibri" w:hAnsi="Times New Roman" w:cs="Times New Roman"/>
          <w:sz w:val="24"/>
          <w:szCs w:val="24"/>
        </w:rPr>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38DBDFF" w14:textId="40F41EA4" w:rsidR="008870D6"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1E0CAC">
        <w:rPr>
          <w:rFonts w:ascii="Times New Roman" w:eastAsia="Calibri" w:hAnsi="Times New Roman" w:cs="Times New Roman"/>
          <w:sz w:val="24"/>
          <w:szCs w:val="24"/>
        </w:rPr>
        <w:t>В случаите, когато кандидатът (и след допълнително изискване) не е представил в изискуемия вид посочените документи, съответният разход ще бъде премахнат от бюджета на проекта</w:t>
      </w:r>
      <w:r w:rsidR="00EB7957">
        <w:rPr>
          <w:rFonts w:ascii="Times New Roman" w:eastAsia="Calibri" w:hAnsi="Times New Roman" w:cs="Times New Roman"/>
          <w:sz w:val="24"/>
          <w:szCs w:val="24"/>
        </w:rPr>
        <w:t>,</w:t>
      </w:r>
      <w:r w:rsidRPr="001E0CAC">
        <w:rPr>
          <w:rFonts w:ascii="Times New Roman" w:eastAsia="Calibri" w:hAnsi="Times New Roman" w:cs="Times New Roman"/>
          <w:sz w:val="24"/>
          <w:szCs w:val="24"/>
        </w:rPr>
        <w:t xml:space="preserve"> служебно от </w:t>
      </w:r>
      <w:r w:rsidRPr="00F15A7D">
        <w:rPr>
          <w:rFonts w:ascii="Times New Roman" w:eastAsia="Calibri" w:hAnsi="Times New Roman" w:cs="Times New Roman"/>
          <w:sz w:val="24"/>
          <w:szCs w:val="24"/>
        </w:rPr>
        <w:t xml:space="preserve">Комисията за </w:t>
      </w:r>
      <w:r>
        <w:rPr>
          <w:rFonts w:ascii="Times New Roman" w:eastAsia="Calibri" w:hAnsi="Times New Roman" w:cs="Times New Roman"/>
          <w:sz w:val="24"/>
          <w:szCs w:val="24"/>
        </w:rPr>
        <w:t>подбор</w:t>
      </w:r>
      <w:r w:rsidRPr="001E0C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2641">
        <w:rPr>
          <w:rFonts w:ascii="Times New Roman" w:eastAsia="Calibri" w:hAnsi="Times New Roman" w:cs="Times New Roman"/>
          <w:sz w:val="24"/>
          <w:szCs w:val="24"/>
        </w:rPr>
        <w:t>За да удостоверят, че представените от тях оферти за дълготрайни активи отговарят на изискването да не са от лица и/или предприятия, пряко или косвено са свързани</w:t>
      </w:r>
      <w:r w:rsidRPr="0005139A">
        <w:rPr>
          <w:rFonts w:ascii="Times New Roman" w:eastAsia="Calibri" w:hAnsi="Times New Roman" w:cs="Times New Roman"/>
          <w:sz w:val="24"/>
          <w:szCs w:val="24"/>
        </w:rPr>
        <w:t xml:space="preserve"> както по между си, така и</w:t>
      </w:r>
      <w:r w:rsidRPr="00A22641">
        <w:rPr>
          <w:rFonts w:ascii="Times New Roman" w:eastAsia="Calibri" w:hAnsi="Times New Roman" w:cs="Times New Roman"/>
          <w:sz w:val="24"/>
          <w:szCs w:val="24"/>
        </w:rPr>
        <w:t xml:space="preserve"> с кандидата по смисъла на § 1 от Допълнителните разпоредби на Търговския закон </w:t>
      </w:r>
      <w:r w:rsidRPr="00F81F75">
        <w:rPr>
          <w:rFonts w:ascii="Times New Roman" w:eastAsia="Calibri" w:hAnsi="Times New Roman" w:cs="Times New Roman"/>
          <w:sz w:val="24"/>
          <w:szCs w:val="24"/>
        </w:rPr>
        <w:t>и/или които са в конфликт на интереси с него по смисъла на чл. 61 от Регламент (ЕС, ЕВРАТОМ) № 1046/2018</w:t>
      </w:r>
      <w:r>
        <w:rPr>
          <w:rFonts w:ascii="Times New Roman" w:eastAsia="Calibri" w:hAnsi="Times New Roman" w:cs="Times New Roman"/>
          <w:sz w:val="24"/>
          <w:szCs w:val="24"/>
        </w:rPr>
        <w:t xml:space="preserve"> </w:t>
      </w:r>
      <w:r w:rsidRPr="00715241">
        <w:rPr>
          <w:rFonts w:ascii="Times New Roman" w:eastAsia="Calibri" w:hAnsi="Times New Roman" w:cs="Times New Roman"/>
          <w:bCs/>
          <w:sz w:val="24"/>
          <w:szCs w:val="24"/>
        </w:rPr>
        <w:t>кандидатите по процедурата следва да декларират обстоятелството в Декларацията,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p>
    <w:p w14:paraId="00FA1F94" w14:textId="5FBEB0B5" w:rsidR="005971DD" w:rsidRDefault="008A4DBB"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Горепосочените документи са индикативни и служат за оценка на реалистичността на заложените в бюджета на проектното предложение разходи за съответните активи. </w:t>
      </w:r>
      <w:r w:rsidRPr="000A3DFA">
        <w:rPr>
          <w:rFonts w:ascii="Times New Roman" w:hAnsi="Times New Roman" w:cs="Times New Roman"/>
          <w:color w:val="000000" w:themeColor="text1"/>
          <w:sz w:val="24"/>
          <w:szCs w:val="24"/>
        </w:rPr>
        <w:lastRenderedPageBreak/>
        <w:t xml:space="preserve">Кандидатите следва да посочат минимални технически и/или функционални характеристики на предвидените за закупуване активи, без да указват марки, модели и други конкретни технически спецификации, които насочват към определени производители, марки и модели. </w:t>
      </w:r>
    </w:p>
    <w:p w14:paraId="169A2093"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предвижда закупуване на цялостна линия за производство (технологична линия за производство), състояща се от няколко компонента (машини/съоръжения/оборудване), следва да се посочат видовете и броя на компонентите на линията, както и минимални технически и/или функционални характеристики на всеки компонент по отделно. </w:t>
      </w:r>
    </w:p>
    <w:p w14:paraId="31E05689"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не е посочил минимални технически и/или функционални характеристики на предвидените за закупуване активи или те не съответстват на посочените в офертата, съответният разход ще бъде премахнат от бюджета на проекта служебно от Комисията за подбор. </w:t>
      </w:r>
    </w:p>
    <w:p w14:paraId="06648E6B"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Комисията за подбор премахне всички разходи от бюджета на проекта, поради непредставяне на оферта, недопустими разходи или непосочване или несъответствие с минимални технически и/или функционални характеристики, проектното предложение се отхвърля. </w:t>
      </w:r>
    </w:p>
    <w:p w14:paraId="04CC53F5" w14:textId="0DC8252A" w:rsidR="000E7DD4" w:rsidRPr="00C12673" w:rsidRDefault="008A4DBB" w:rsidP="000E7D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xml:space="preserve">Заложените разходи следва да съответстват на представените пазарни цени. При проверка на съответствието на цени в чуждестранна валута, ще се взима предвид курсът на БНБ към датата на обявяване на процедурата. </w:t>
      </w:r>
      <w:r w:rsidR="00C82FC1" w:rsidRPr="00C82FC1">
        <w:rPr>
          <w:rFonts w:ascii="Times New Roman" w:hAnsi="Times New Roman" w:cs="Times New Roman"/>
          <w:sz w:val="24"/>
          <w:szCs w:val="24"/>
        </w:rPr>
        <w:t>Оценката на допустимостта на разходите за дълготрайни материални и нематериални активи, посочени в бюджета на проектните предложения ще бъде извършвана съгласно стойностния праг на същественост за дълготрайните материални и нематериални активи, определен в чл. 50 и чл. 51 от Закона за корпоративно и подоходно облагане или съгласно счетоводната политика на предприятието-кандидат.</w:t>
      </w:r>
    </w:p>
    <w:p w14:paraId="69F01C73" w14:textId="77777777" w:rsidR="005971DD" w:rsidRPr="00C82FC1" w:rsidRDefault="005971DD"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B805313" w14:textId="77777777" w:rsidR="00913294"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Да бъдат извършени след датата на подаване на проектното предложение и до изтичане на крайния срок, определен за представяне на финалния отчет за изпълнение на </w:t>
      </w:r>
      <w:r w:rsidR="00913294">
        <w:rPr>
          <w:rFonts w:ascii="Times New Roman" w:hAnsi="Times New Roman" w:cs="Times New Roman"/>
          <w:color w:val="000000" w:themeColor="text1"/>
          <w:sz w:val="24"/>
          <w:szCs w:val="24"/>
        </w:rPr>
        <w:t>дейностите по проекта.</w:t>
      </w:r>
    </w:p>
    <w:p w14:paraId="44FFDDF0" w14:textId="77777777" w:rsidR="00913294" w:rsidRDefault="009132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6F21874" w14:textId="77777777" w:rsidR="005971DD" w:rsidRPr="000A3DFA" w:rsidRDefault="009E34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C7C4F2E" wp14:editId="77F69344">
                <wp:extent cx="1828800" cy="1828800"/>
                <wp:effectExtent l="0" t="0" r="15240" b="10795"/>
                <wp:docPr id="17" name="Текстово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8F7D99F" w14:textId="77777777" w:rsidR="005B4F08" w:rsidRPr="00CF048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Разходооправдателните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7C4F2E" id="Текстово поле 17"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ALlyKKgQIAAOwE&#10;AAAOAAAAAAAAAAAAAAAAAC4CAABkcnMvZTJvRG9jLnhtbFBLAQItABQABgAIAAAAIQCwPwV52QAA&#10;AAUBAAAPAAAAAAAAAAAAAAAAANsEAABkcnMvZG93bnJldi54bWxQSwUGAAAAAAQABADzAAAA4QUA&#10;AAAA&#10;" fillcolor="#d8d8d8 [2732]" strokeweight=".5pt">
                <v:textbox style="mso-fit-shape-to-text:t">
                  <w:txbxContent>
                    <w:p w14:paraId="28F7D99F" w14:textId="77777777" w:rsidR="005B4F08" w:rsidRPr="00CF048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Разходооправдателните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v:textbox>
                <w10:anchorlock/>
              </v:shape>
            </w:pict>
          </mc:Fallback>
        </mc:AlternateContent>
      </w:r>
    </w:p>
    <w:p w14:paraId="30A0F2EF"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3</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299477AB"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FBFA17B"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4</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p>
    <w:p w14:paraId="35A2B4AA"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DF9B47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5</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14:paraId="2F8C7FB0"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C0B4998"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6</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могат да се установят и проверят, да бъдат подкрепени от оригинални разходо-оправдателни документи.</w:t>
      </w:r>
    </w:p>
    <w:p w14:paraId="18133113"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34E6C1C" w14:textId="2D46A9F4"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1061E">
        <w:rPr>
          <w:rFonts w:ascii="Times New Roman" w:hAnsi="Times New Roman" w:cs="Times New Roman"/>
          <w:b/>
          <w:color w:val="000000" w:themeColor="text1"/>
          <w:sz w:val="24"/>
          <w:szCs w:val="24"/>
        </w:rPr>
        <w:t>7</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дейности, определени и извърше</w:t>
      </w:r>
      <w:r w:rsidR="00A234EA" w:rsidRPr="000A3DFA">
        <w:rPr>
          <w:rFonts w:ascii="Times New Roman" w:hAnsi="Times New Roman" w:cs="Times New Roman"/>
          <w:color w:val="000000" w:themeColor="text1"/>
          <w:sz w:val="24"/>
          <w:szCs w:val="24"/>
        </w:rPr>
        <w:t xml:space="preserve">ни под отговорността на </w:t>
      </w:r>
      <w:r w:rsidR="00533EC7" w:rsidRPr="000A3DFA">
        <w:rPr>
          <w:rFonts w:ascii="Times New Roman" w:hAnsi="Times New Roman" w:cs="Times New Roman"/>
          <w:color w:val="000000" w:themeColor="text1"/>
          <w:sz w:val="24"/>
          <w:szCs w:val="24"/>
        </w:rPr>
        <w:t>МИГ</w:t>
      </w:r>
      <w:r w:rsidR="00533EC7">
        <w:rPr>
          <w:rFonts w:ascii="Times New Roman" w:hAnsi="Times New Roman" w:cs="Times New Roman"/>
          <w:color w:val="000000" w:themeColor="text1"/>
          <w:sz w:val="24"/>
          <w:szCs w:val="24"/>
        </w:rPr>
        <w:t>,</w:t>
      </w:r>
      <w:r w:rsidR="00A234EA" w:rsidRPr="00C1061E">
        <w:rPr>
          <w:rFonts w:ascii="Times New Roman" w:hAnsi="Times New Roman" w:cs="Times New Roman"/>
          <w:color w:val="000000" w:themeColor="text1"/>
          <w:sz w:val="24"/>
          <w:szCs w:val="24"/>
        </w:rPr>
        <w:t xml:space="preserve"> </w:t>
      </w:r>
      <w:r w:rsidR="008A4DBB" w:rsidRPr="000A3DFA">
        <w:rPr>
          <w:rFonts w:ascii="Times New Roman" w:hAnsi="Times New Roman" w:cs="Times New Roman"/>
          <w:color w:val="000000" w:themeColor="text1"/>
          <w:sz w:val="24"/>
          <w:szCs w:val="24"/>
        </w:rPr>
        <w:t>Управляващия орган и съгласно критериите за подбор на операции, одобрени от Комитета за наблюдение.</w:t>
      </w:r>
    </w:p>
    <w:p w14:paraId="62964F94"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B77BFB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8</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реално доставени продукти и извършени услуги.</w:t>
      </w:r>
    </w:p>
    <w:p w14:paraId="7C02152F"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F3A023" w14:textId="77777777" w:rsidR="008A4DBB"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Бюджетът (т. 5 от Формуляра за кандидатстване) трябва да отразява допустимите разходи, които са свързани с изпълнението на проекта.</w:t>
      </w:r>
    </w:p>
    <w:p w14:paraId="73AF221A" w14:textId="77777777" w:rsidR="008870D6"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60C5101" w14:textId="77777777" w:rsidR="008870D6" w:rsidRPr="00F55AB4" w:rsidRDefault="008870D6"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172CAF">
        <w:rPr>
          <w:rFonts w:ascii="Times New Roman" w:eastAsia="Calibri" w:hAnsi="Times New Roman" w:cs="Times New Roman"/>
          <w:sz w:val="24"/>
          <w:szCs w:val="24"/>
          <w:lang w:val="ru-RU"/>
        </w:rPr>
        <w:t>9</w:t>
      </w:r>
      <w:r w:rsidRPr="00F55AB4">
        <w:rPr>
          <w:rFonts w:ascii="Times New Roman" w:eastAsia="Calibri" w:hAnsi="Times New Roman" w:cs="Times New Roman"/>
          <w:sz w:val="24"/>
          <w:szCs w:val="24"/>
        </w:rPr>
        <w:t xml:space="preserve">. </w:t>
      </w:r>
      <w:r w:rsidRPr="008870D6">
        <w:rPr>
          <w:rFonts w:ascii="Times New Roman" w:eastAsia="Calibri" w:hAnsi="Times New Roman" w:cs="Times New Roman"/>
          <w:sz w:val="24"/>
          <w:szCs w:val="24"/>
        </w:rPr>
        <w:t xml:space="preserve">Да са </w:t>
      </w:r>
      <w:r w:rsidRPr="008870D6">
        <w:rPr>
          <w:rFonts w:ascii="Times New Roman" w:eastAsia="Calibri" w:hAnsi="Times New Roman" w:cs="Times New Roman"/>
          <w:iCs/>
          <w:sz w:val="24"/>
          <w:szCs w:val="24"/>
        </w:rPr>
        <w:t>в съответствие с категориите разходи</w:t>
      </w:r>
      <w:r w:rsidRPr="008870D6">
        <w:rPr>
          <w:rFonts w:ascii="Times New Roman" w:eastAsia="Calibri" w:hAnsi="Times New Roman" w:cs="Times New Roman"/>
          <w:sz w:val="24"/>
          <w:szCs w:val="24"/>
        </w:rPr>
        <w:t>, включени в Административния договор за предоставяне на безвъзмездна помощ.</w:t>
      </w:r>
    </w:p>
    <w:p w14:paraId="143E7DAE" w14:textId="77777777" w:rsidR="008870D6" w:rsidRPr="000A3DFA"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11813E9" w14:textId="77777777" w:rsidR="009E6DC3" w:rsidRDefault="004A5C7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r>
        <w:rPr>
          <w:noProof/>
          <w:lang w:eastAsia="bg-BG"/>
        </w:rPr>
        <mc:AlternateContent>
          <mc:Choice Requires="wps">
            <w:drawing>
              <wp:inline distT="0" distB="0" distL="0" distR="0" wp14:anchorId="497C85C6" wp14:editId="06157AE3">
                <wp:extent cx="1828800" cy="1333500"/>
                <wp:effectExtent l="0" t="0" r="15240" b="19050"/>
                <wp:docPr id="18" name="Текстово поле 18"/>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chemeClr val="bg1">
                            <a:lumMod val="85000"/>
                          </a:schemeClr>
                        </a:solidFill>
                        <a:ln w="6350">
                          <a:solidFill>
                            <a:prstClr val="black"/>
                          </a:solidFill>
                        </a:ln>
                        <a:effectLst/>
                      </wps:spPr>
                      <wps:txbx>
                        <w:txbxContent>
                          <w:p w14:paraId="71333652" w14:textId="7728BD70" w:rsidR="005B4F08" w:rsidRPr="00EC7EE8"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за възстановим ДДС няма да се считат за собствено съфинансиране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7C85C6" id="Текстово поле 18" o:spid="_x0000_s1029" type="#_x0000_t202" style="width:2in;height: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" fillcolor="#d8d8d8 [2732]" strokeweight=".5pt">
                <v:textbox>
                  <w:txbxContent>
                    <w:p w14:paraId="71333652" w14:textId="7728BD70" w:rsidR="005B4F08" w:rsidRPr="00EC7EE8"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за възстановим ДДС няма да се считат за собствено съфинансиране от страна на бенефициента.</w:t>
                      </w:r>
                      <w:r w:rsidRPr="00EC7EE8">
                        <w:rPr>
                          <w:rFonts w:ascii="Times New Roman" w:hAnsi="Times New Roman" w:cs="Times New Roman"/>
                          <w:color w:val="000000" w:themeColor="text1"/>
                          <w:sz w:val="24"/>
                          <w:szCs w:val="24"/>
                        </w:rPr>
                        <w:t xml:space="preserve"> Бюджетът (т. 5 от Формуляра за кандидатстване) трябва да отразява допустимите разходи, които са свързани с изпълнението на проекта.</w:t>
                      </w:r>
                    </w:p>
                  </w:txbxContent>
                </v:textbox>
                <w10:anchorlock/>
              </v:shape>
            </w:pict>
          </mc:Fallback>
        </mc:AlternateContent>
      </w:r>
    </w:p>
    <w:p w14:paraId="5B6F4B8E" w14:textId="77777777" w:rsidR="009E6DC3" w:rsidRDefault="009E6DC3"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p>
    <w:p w14:paraId="7B53467D" w14:textId="13C08306" w:rsidR="008A4DBB" w:rsidRPr="000A3DFA" w:rsidRDefault="00C86EA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86EAB">
        <w:rPr>
          <w:rFonts w:ascii="Times New Roman" w:hAnsi="Times New Roman" w:cs="Times New Roman"/>
          <w:color w:val="000000" w:themeColor="text1"/>
          <w:sz w:val="24"/>
          <w:szCs w:val="24"/>
        </w:rPr>
        <w:t>Относно третирането на ДДС по процедурите за подбор на проекти МИГ</w:t>
      </w:r>
      <w:r w:rsidR="008C55DC">
        <w:rPr>
          <w:rFonts w:ascii="Times New Roman" w:hAnsi="Times New Roman" w:cs="Times New Roman"/>
          <w:color w:val="000000" w:themeColor="text1"/>
          <w:sz w:val="24"/>
          <w:szCs w:val="24"/>
        </w:rPr>
        <w:t xml:space="preserve"> </w:t>
      </w:r>
      <w:r w:rsidRPr="00C86EAB">
        <w:rPr>
          <w:rFonts w:ascii="Times New Roman" w:hAnsi="Times New Roman" w:cs="Times New Roman"/>
          <w:color w:val="000000" w:themeColor="text1"/>
          <w:sz w:val="24"/>
          <w:szCs w:val="24"/>
        </w:rPr>
        <w:t>прилага Указанията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 в приложенията към Условията за изпълнение за всяка процедура за подбор на проекти (ДНФ № 3/23.12.2016 на Министерство на финансите относно третиране на ДДС).</w:t>
      </w:r>
    </w:p>
    <w:p w14:paraId="44C41947" w14:textId="77777777" w:rsidR="001F1364" w:rsidRPr="00422728" w:rsidRDefault="007B1F07" w:rsidP="004524A5">
      <w:pPr>
        <w:pStyle w:val="2"/>
        <w:rPr>
          <w:sz w:val="24"/>
          <w:szCs w:val="24"/>
        </w:rPr>
      </w:pPr>
      <w:bookmarkStart w:id="21" w:name="_Toc494709519"/>
      <w:r w:rsidRPr="00422728">
        <w:rPr>
          <w:sz w:val="24"/>
          <w:szCs w:val="24"/>
        </w:rPr>
        <w:t>14.2. Допустими разходи</w:t>
      </w:r>
      <w:bookmarkEnd w:id="21"/>
    </w:p>
    <w:p w14:paraId="1D886216" w14:textId="77777777" w:rsidR="00EC4D6A" w:rsidRPr="00EC7EE8" w:rsidRDefault="00EC4D6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9AD5CA3" w14:textId="77777777" w:rsidR="001B4D64" w:rsidRDefault="006D305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ДОПУСТИМИ ПО ПРОЦЕДУРАТА СА СЛЕДНИТЕ ВИДОВЕ РАЗХОДИ: </w:t>
      </w:r>
    </w:p>
    <w:p w14:paraId="1AC7A51F" w14:textId="77777777" w:rsidR="00476D98" w:rsidRDefault="00476D98" w:rsidP="00476D98">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i/>
          <w:sz w:val="24"/>
          <w:szCs w:val="24"/>
        </w:rPr>
      </w:pPr>
    </w:p>
    <w:p w14:paraId="781649CF"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p>
    <w:p w14:paraId="0A1A8935"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sz w:val="24"/>
          <w:szCs w:val="24"/>
        </w:rPr>
        <w:lastRenderedPageBreak/>
        <w:t>1. Разходи за придобиване на дълготрайни материални активи, в т.ч. придобиване на машини, съоръжения и оборудване, необходими за изпълнението на дейностите по проекта.</w:t>
      </w:r>
    </w:p>
    <w:p w14:paraId="370E653C"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3E4E845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 Разходи за придобиване на дълготрайни нематериални активи, необходими за изпълнението на дейностите по проекта.</w:t>
      </w:r>
    </w:p>
    <w:p w14:paraId="6538CE42"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F4D9816" w14:textId="77777777" w:rsidR="00476D98" w:rsidRPr="00ED079A"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ED06339" w14:textId="77777777" w:rsidR="00476D98" w:rsidRPr="00ED079A" w:rsidRDefault="00476D98" w:rsidP="00756AEF">
      <w:pPr>
        <w:pStyle w:val="32"/>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w:t>
      </w:r>
      <w:r w:rsidRPr="00ED079A">
        <w:rPr>
          <w:rFonts w:ascii="Times New Roman" w:hAnsi="Times New Roman"/>
          <w:b/>
          <w:i/>
          <w:sz w:val="24"/>
          <w:szCs w:val="24"/>
        </w:rPr>
        <w:tab/>
        <w:t>Подкрепа за специализирани услуги за МСП за развитие и укрепване на управленския капацитет.</w:t>
      </w:r>
    </w:p>
    <w:p w14:paraId="4B7B7CBD"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1. Разходи за услуги по въвеждане и сертифициране на системи за управление в съответствие с изискванията на национални/европейски/международни стандарти. </w:t>
      </w:r>
    </w:p>
    <w:p w14:paraId="5B6D426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0998C71B"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2. Разходи за услуги във връзка с: </w:t>
      </w:r>
    </w:p>
    <w:p w14:paraId="451B02F1"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2.1.</w:t>
      </w:r>
      <w:r w:rsidRPr="00ED079A">
        <w:rPr>
          <w:rFonts w:ascii="Times New Roman" w:hAnsi="Times New Roman"/>
          <w:sz w:val="24"/>
          <w:szCs w:val="24"/>
        </w:rPr>
        <w:tab/>
        <w:t>Постигане на съответствие и оценка на съответствие на продукти с така наречените „съществени изисквания” към тях, определени в директиви (транспонирани в националното законодателство) и регламенти (с пряко действие) от Нов подход, изискващи СЕ маркировки (включително съответствие с хармонизирани европейски стандарти);</w:t>
      </w:r>
    </w:p>
    <w:p w14:paraId="384CB0DE"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2.2</w:t>
      </w:r>
      <w:r w:rsidRPr="00ED079A">
        <w:rPr>
          <w:rFonts w:ascii="Times New Roman" w:hAnsi="Times New Roman"/>
          <w:sz w:val="24"/>
          <w:szCs w:val="24"/>
        </w:rPr>
        <w:tab/>
        <w:t>Постигане на съответствие и оценка на съответствие на продукти с национални/европейски/международни стандарти;</w:t>
      </w:r>
    </w:p>
    <w:p w14:paraId="7129FBE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2.3</w:t>
      </w:r>
      <w:r w:rsidRPr="00ED079A">
        <w:rPr>
          <w:rFonts w:ascii="Times New Roman" w:hAnsi="Times New Roman"/>
          <w:sz w:val="24"/>
          <w:szCs w:val="24"/>
        </w:rPr>
        <w:tab/>
        <w:t xml:space="preserve">Присъждане на екомаркировката на ЕС. </w:t>
      </w:r>
    </w:p>
    <w:p w14:paraId="72B1C32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2898A149"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3. Разходи за услуги във връзка с внедряване и сертифициране на добри производствени практики.</w:t>
      </w:r>
    </w:p>
    <w:p w14:paraId="0270399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 </w:t>
      </w:r>
    </w:p>
    <w:p w14:paraId="265D7DE4"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4. Разходи за ползване на специализирани консултантски услуги за реинженеринг на процесите в предприятията. Стойността на предвидените в проектното предложение разходи за ползване на специализирани консултантски услуги за реинженеринг на процесите в предприятията не могат да надвишават 50% от общите допустими разходи по проекта.</w:t>
      </w:r>
    </w:p>
    <w:p w14:paraId="6BB3643A"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5C18F21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5. Разходи за услуги във връзка с ре-сертификацията на системи за управление.</w:t>
      </w:r>
    </w:p>
    <w:p w14:paraId="440C4149" w14:textId="77777777" w:rsidR="00476D98" w:rsidRPr="00ED079A" w:rsidRDefault="00CF48C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noProof/>
          <w:lang w:eastAsia="bg-BG"/>
        </w:rPr>
        <w:lastRenderedPageBreak/>
        <mc:AlternateContent>
          <mc:Choice Requires="wps">
            <w:drawing>
              <wp:inline distT="0" distB="0" distL="0" distR="0" wp14:anchorId="306B6403" wp14:editId="22E88ECD">
                <wp:extent cx="1828800" cy="1828800"/>
                <wp:effectExtent l="0" t="0" r="15240" b="23495"/>
                <wp:docPr id="22" name="Текстово 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75000"/>
                          </a:schemeClr>
                        </a:solidFill>
                        <a:ln w="6350">
                          <a:solidFill>
                            <a:prstClr val="black"/>
                          </a:solidFill>
                        </a:ln>
                        <a:effectLst/>
                      </wps:spPr>
                      <wps:txbx>
                        <w:txbxContent>
                          <w:p w14:paraId="5F923BEE" w14:textId="77777777" w:rsidR="005B4F08" w:rsidRPr="004C077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Разходите за ре-сертификация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ре-сертификацията. Ако в срока на изпълнение на проекта не бъде получен съответния сертификат, извършените разходи за ре-сертификация,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6B6403" id="Текстово поле 22"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" fillcolor="#bfbfbf [2412]" strokeweight=".5pt">
                <v:textbox style="mso-fit-shape-to-text:t">
                  <w:txbxContent>
                    <w:p w14:paraId="5F923BEE" w14:textId="77777777" w:rsidR="005B4F08" w:rsidRPr="004C077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Разходите за ре-сертификация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ре-сертификацията. Ако в срока на изпълнение на проекта не бъде получен съответния сертификат, извършените разходи за ре-сертификация,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v:textbox>
                <w10:anchorlock/>
              </v:shape>
            </w:pict>
          </mc:Fallback>
        </mc:AlternateContent>
      </w:r>
    </w:p>
    <w:p w14:paraId="25315AB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 xml:space="preserve">6.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осъществяване на дейността. </w:t>
      </w:r>
    </w:p>
    <w:p w14:paraId="71713BF2"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p>
    <w:p w14:paraId="2015B897"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C572E20" w14:textId="77777777"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В срок на изпълнение на проекта следва бъде придобит документ/сертификат/удостоверение/маркировка като изрично условие за признаване на допустимостта на извършените разходи за изпълнение на съответната дейност,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7918773" w14:textId="77777777" w:rsidR="00476D98" w:rsidRPr="00ED079A"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65060A2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ED079A">
        <w:rPr>
          <w:rFonts w:ascii="Times New Roman" w:hAnsi="Times New Roman"/>
          <w:b/>
          <w:i/>
          <w:sz w:val="24"/>
          <w:szCs w:val="24"/>
        </w:rPr>
        <w:t>III.</w:t>
      </w:r>
      <w:r w:rsidRPr="00ED079A">
        <w:rPr>
          <w:rFonts w:ascii="Times New Roman" w:hAnsi="Times New Roman"/>
          <w:b/>
          <w:i/>
          <w:sz w:val="24"/>
          <w:szCs w:val="24"/>
        </w:rPr>
        <w:tab/>
        <w:t xml:space="preserve">Подкрепа за растеж на предприятия чрез подобряване на качеството и насърчаване на използването на ИКТ и услуги </w:t>
      </w:r>
    </w:p>
    <w:p w14:paraId="33BFC5DE"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line="276" w:lineRule="auto"/>
        <w:ind w:left="0" w:firstLine="0"/>
        <w:jc w:val="both"/>
        <w:rPr>
          <w:rFonts w:ascii="Times New Roman" w:hAnsi="Times New Roman"/>
          <w:sz w:val="24"/>
          <w:szCs w:val="24"/>
        </w:rPr>
      </w:pPr>
    </w:p>
    <w:p w14:paraId="5F16B7BA"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1. Разходи за услуги за разработване и въвеждане на базирани на ИКТ софтуери за управление на бизнес процесите в предприятията. </w:t>
      </w:r>
    </w:p>
    <w:p w14:paraId="059351DC"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7FB81EF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2. Разходи за придобиване и въвеждане на ИКТ базирани софтуери за управление на бизнес процесите в предприятията, представляващи дълготрайни нематериални активи (ДНА). </w:t>
      </w:r>
    </w:p>
    <w:p w14:paraId="5589C758"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21B1697D"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3. Разходи за услуги по използването на софтуер за управленски системи като услуга (SaaS)</w:t>
      </w:r>
      <w:r w:rsidR="008646E9" w:rsidRPr="00ED079A">
        <w:rPr>
          <w:rFonts w:ascii="Times New Roman" w:eastAsia="Times New Roman" w:hAnsi="Times New Roman"/>
          <w:sz w:val="24"/>
          <w:szCs w:val="24"/>
          <w:vertAlign w:val="superscript"/>
          <w:lang w:eastAsia="bg-BG"/>
        </w:rPr>
        <w:t xml:space="preserve"> </w:t>
      </w:r>
      <w:r w:rsidR="008646E9" w:rsidRPr="00ED079A">
        <w:rPr>
          <w:rFonts w:ascii="Times New Roman" w:eastAsia="Times New Roman" w:hAnsi="Times New Roman"/>
          <w:sz w:val="24"/>
          <w:szCs w:val="24"/>
          <w:vertAlign w:val="superscript"/>
          <w:lang w:val="en-US" w:eastAsia="bg-BG"/>
        </w:rPr>
        <w:footnoteReference w:id="14"/>
      </w:r>
      <w:r w:rsidRPr="00ED079A">
        <w:rPr>
          <w:rFonts w:ascii="Times New Roman" w:hAnsi="Times New Roman"/>
          <w:sz w:val="24"/>
          <w:szCs w:val="24"/>
        </w:rPr>
        <w:t xml:space="preserve">. </w:t>
      </w:r>
    </w:p>
    <w:p w14:paraId="22E29176" w14:textId="77777777" w:rsidR="00EC4D6A" w:rsidRPr="00ED079A" w:rsidRDefault="00EC4D6A"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ED079A">
        <w:rPr>
          <w:rFonts w:ascii="Times New Roman" w:eastAsia="Calibri" w:hAnsi="Times New Roman" w:cs="Times New Roman"/>
          <w:sz w:val="24"/>
          <w:szCs w:val="24"/>
        </w:rPr>
        <w:t>Задължително условие за този вид услуги е да включват само ИКТ базирани софтуери за управление на бизнес процесите в предприятията.</w:t>
      </w:r>
    </w:p>
    <w:p w14:paraId="6B082039" w14:textId="68F3279E" w:rsidR="008646E9" w:rsidRPr="00ED079A"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ED079A">
        <w:rPr>
          <w:rFonts w:ascii="Times New Roman" w:eastAsia="Times New Roman" w:hAnsi="Times New Roman" w:cs="Times New Roman"/>
          <w:b/>
          <w:sz w:val="24"/>
          <w:szCs w:val="24"/>
          <w:lang w:eastAsia="bg-BG"/>
        </w:rPr>
        <w:t xml:space="preserve">ВАЖНО: </w:t>
      </w:r>
      <w:r w:rsidRPr="00ED079A">
        <w:rPr>
          <w:rFonts w:ascii="Times New Roman" w:eastAsia="Times New Roman" w:hAnsi="Times New Roman" w:cs="Times New Roman"/>
          <w:sz w:val="24"/>
          <w:szCs w:val="24"/>
          <w:lang w:eastAsia="bg-BG"/>
        </w:rPr>
        <w:t xml:space="preserve">Във връзка с гарантиране устойчивост на резултатите от изпълнението на проекта, бенефициентът се задължава да подсигури правото да ползва </w:t>
      </w:r>
      <w:r w:rsidRPr="00ED079A">
        <w:rPr>
          <w:rFonts w:ascii="Times New Roman" w:eastAsia="Times New Roman" w:hAnsi="Times New Roman" w:cs="Times New Roman"/>
          <w:sz w:val="24"/>
          <w:szCs w:val="24"/>
          <w:lang w:val="en-US" w:eastAsia="bg-BG"/>
        </w:rPr>
        <w:t>SaaS</w:t>
      </w:r>
      <w:r w:rsidRPr="00ED079A">
        <w:rPr>
          <w:rFonts w:ascii="Times New Roman" w:eastAsia="Times New Roman" w:hAnsi="Times New Roman" w:cs="Times New Roman"/>
          <w:sz w:val="24"/>
          <w:szCs w:val="24"/>
          <w:lang w:eastAsia="bg-BG"/>
        </w:rPr>
        <w:t xml:space="preserve"> услугата за </w:t>
      </w:r>
      <w:r w:rsidRPr="00ED079A">
        <w:rPr>
          <w:rFonts w:ascii="Times New Roman" w:eastAsia="Times New Roman" w:hAnsi="Times New Roman" w:cs="Times New Roman"/>
          <w:sz w:val="24"/>
          <w:szCs w:val="24"/>
          <w:lang w:eastAsia="bg-BG"/>
        </w:rPr>
        <w:lastRenderedPageBreak/>
        <w:t>период от минимум 3 (три) години след приключването на проекта. Запазването на правото на ползване на Saa</w:t>
      </w:r>
      <w:r w:rsidRPr="00ED079A">
        <w:rPr>
          <w:rFonts w:ascii="Times New Roman" w:eastAsia="Times New Roman" w:hAnsi="Times New Roman" w:cs="Times New Roman"/>
          <w:sz w:val="24"/>
          <w:szCs w:val="24"/>
          <w:lang w:val="en-US" w:eastAsia="bg-BG"/>
        </w:rPr>
        <w:t>S</w:t>
      </w:r>
      <w:r w:rsidRPr="00ED079A">
        <w:rPr>
          <w:rFonts w:ascii="Times New Roman" w:eastAsia="Times New Roman" w:hAnsi="Times New Roman" w:cs="Times New Roman"/>
          <w:sz w:val="24"/>
          <w:szCs w:val="24"/>
          <w:lang w:eastAsia="bg-BG"/>
        </w:rPr>
        <w:t xml:space="preserve"> услугата за период от минимум 3 години след приключването на проекта е изрично условие за признаване на допустимостта на извършените разходи,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1C9139C" w14:textId="77777777" w:rsidR="008646E9" w:rsidRPr="00ED079A" w:rsidRDefault="008646E9"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0A02068A" w14:textId="77777777" w:rsidR="005D6010"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 xml:space="preserve">4.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осъществяваната дейност. </w:t>
      </w:r>
    </w:p>
    <w:p w14:paraId="0AC19ED3" w14:textId="77777777" w:rsidR="00476D98" w:rsidRPr="00ED079A"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ED079A">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r w:rsidR="00A412B6" w:rsidRPr="00ED079A">
        <w:rPr>
          <w:rFonts w:ascii="Times New Roman" w:eastAsia="Times New Roman" w:hAnsi="Times New Roman"/>
          <w:sz w:val="24"/>
          <w:szCs w:val="24"/>
          <w:vertAlign w:val="superscript"/>
          <w:lang w:eastAsia="bg-BG"/>
        </w:rPr>
        <w:footnoteReference w:id="15"/>
      </w:r>
      <w:r w:rsidRPr="00ED079A">
        <w:rPr>
          <w:rFonts w:ascii="Times New Roman" w:hAnsi="Times New Roman"/>
          <w:sz w:val="24"/>
          <w:szCs w:val="24"/>
        </w:rPr>
        <w:t>.</w:t>
      </w:r>
    </w:p>
    <w:p w14:paraId="40F6AB17" w14:textId="77777777" w:rsidR="00476D98" w:rsidRPr="00ED079A" w:rsidRDefault="00476D98" w:rsidP="00476D98">
      <w:pPr>
        <w:pStyle w:val="40"/>
        <w:pBdr>
          <w:top w:val="single" w:sz="4" w:space="1" w:color="auto"/>
          <w:left w:val="single" w:sz="4" w:space="4" w:color="auto"/>
          <w:bottom w:val="single" w:sz="4" w:space="1" w:color="auto"/>
          <w:right w:val="single" w:sz="4" w:space="4" w:color="auto"/>
        </w:pBdr>
        <w:spacing w:after="0"/>
        <w:ind w:left="0" w:firstLine="0"/>
        <w:jc w:val="both"/>
        <w:rPr>
          <w:rFonts w:ascii="Times New Roman" w:hAnsi="Times New Roman"/>
          <w:sz w:val="24"/>
          <w:szCs w:val="24"/>
        </w:rPr>
      </w:pPr>
    </w:p>
    <w:p w14:paraId="520E7229" w14:textId="65230412" w:rsidR="00476D98" w:rsidRPr="00ED079A"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ED079A">
        <w:rPr>
          <w:rFonts w:ascii="Times New Roman" w:hAnsi="Times New Roman"/>
          <w:b/>
          <w:i/>
          <w:sz w:val="24"/>
          <w:szCs w:val="24"/>
        </w:rPr>
        <w:t>IV. Разходи за визуализация – до 2 000 лв.</w:t>
      </w:r>
    </w:p>
    <w:p w14:paraId="0F3E82D0" w14:textId="77777777" w:rsidR="002E479F" w:rsidRPr="00DE3D39"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sz w:val="24"/>
          <w:szCs w:val="24"/>
        </w:rPr>
      </w:pPr>
      <w:r w:rsidRPr="00ED079A">
        <w:rPr>
          <w:rFonts w:ascii="Times New Roman" w:hAnsi="Times New Roman"/>
          <w:sz w:val="24"/>
          <w:szCs w:val="24"/>
        </w:rPr>
        <w:t>Допустими са за финансиране по всеки проект, независимо от посочените от кандидата допустими дейности.</w:t>
      </w:r>
    </w:p>
    <w:p w14:paraId="6C2D18F6" w14:textId="77777777" w:rsidR="00CF48C5" w:rsidRDefault="002E479F"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Pr>
          <w:noProof/>
          <w:lang w:eastAsia="bg-BG"/>
        </w:rPr>
        <mc:AlternateContent>
          <mc:Choice Requires="wps">
            <w:drawing>
              <wp:inline distT="0" distB="0" distL="0" distR="0" wp14:anchorId="4EBB06EE" wp14:editId="7805C059">
                <wp:extent cx="1828800" cy="2584174"/>
                <wp:effectExtent l="0" t="0" r="15240" b="26035"/>
                <wp:docPr id="26" name="Текстово поле 26"/>
                <wp:cNvGraphicFramePr/>
                <a:graphic xmlns:a="http://schemas.openxmlformats.org/drawingml/2006/main">
                  <a:graphicData uri="http://schemas.microsoft.com/office/word/2010/wordprocessingShape">
                    <wps:wsp>
                      <wps:cNvSpPr txBox="1"/>
                      <wps:spPr>
                        <a:xfrm>
                          <a:off x="0" y="0"/>
                          <a:ext cx="1828800" cy="2584174"/>
                        </a:xfrm>
                        <a:prstGeom prst="rect">
                          <a:avLst/>
                        </a:prstGeom>
                        <a:solidFill>
                          <a:schemeClr val="bg1">
                            <a:lumMod val="85000"/>
                          </a:schemeClr>
                        </a:solidFill>
                        <a:ln w="6350">
                          <a:solidFill>
                            <a:prstClr val="black"/>
                          </a:solidFill>
                        </a:ln>
                        <a:effectLst/>
                      </wps:spPr>
                      <wps:txbx>
                        <w:txbxContent>
                          <w:p w14:paraId="36DA3E2D" w14:textId="77777777" w:rsidR="005B4F08" w:rsidRPr="00B25DBD" w:rsidRDefault="005B4F08"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амортизируеми,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BB06EE" id="Текстово поле 26" o:spid="_x0000_s1031" type="#_x0000_t202" style="width:2in;height:2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" fillcolor="#d8d8d8 [2732]" strokeweight=".5pt">
                <v:textbox>
                  <w:txbxContent>
                    <w:p w14:paraId="36DA3E2D" w14:textId="77777777" w:rsidR="005B4F08" w:rsidRPr="00B25DBD" w:rsidRDefault="005B4F08"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амортизируеми,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v:textbox>
                <w10:anchorlock/>
              </v:shape>
            </w:pict>
          </mc:Fallback>
        </mc:AlternateContent>
      </w:r>
      <w:r w:rsidR="00CF48C5">
        <w:rPr>
          <w:noProof/>
          <w:lang w:eastAsia="bg-BG"/>
        </w:rPr>
        <mc:AlternateContent>
          <mc:Choice Requires="wps">
            <w:drawing>
              <wp:inline distT="0" distB="0" distL="0" distR="0" wp14:anchorId="0FB0FD70" wp14:editId="13F762C5">
                <wp:extent cx="1828800" cy="1162879"/>
                <wp:effectExtent l="0" t="0" r="15240" b="18415"/>
                <wp:docPr id="23" name="Текстово поле 23"/>
                <wp:cNvGraphicFramePr/>
                <a:graphic xmlns:a="http://schemas.openxmlformats.org/drawingml/2006/main">
                  <a:graphicData uri="http://schemas.microsoft.com/office/word/2010/wordprocessingShape">
                    <wps:wsp>
                      <wps:cNvSpPr txBox="1"/>
                      <wps:spPr>
                        <a:xfrm>
                          <a:off x="0" y="0"/>
                          <a:ext cx="1828800" cy="1162879"/>
                        </a:xfrm>
                        <a:prstGeom prst="rect">
                          <a:avLst/>
                        </a:prstGeom>
                        <a:solidFill>
                          <a:schemeClr val="bg1">
                            <a:lumMod val="85000"/>
                          </a:schemeClr>
                        </a:solidFill>
                        <a:ln w="6350">
                          <a:solidFill>
                            <a:prstClr val="black"/>
                          </a:solidFill>
                        </a:ln>
                        <a:effectLst/>
                      </wps:spPr>
                      <wps:txbx>
                        <w:txbxContent>
                          <w:p w14:paraId="4B227D49" w14:textId="77777777" w:rsidR="005B4F08" w:rsidRPr="001D3668" w:rsidRDefault="005B4F08"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B0FD70" id="Текстово поле 23" o:spid="_x0000_s1032" type="#_x0000_t202" style="width:2in;height:91.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" fillcolor="#d8d8d8 [2732]" strokeweight=".5pt">
                <v:textbox>
                  <w:txbxContent>
                    <w:p w14:paraId="4B227D49" w14:textId="77777777" w:rsidR="005B4F08" w:rsidRPr="001D3668" w:rsidRDefault="005B4F08"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v:textbox>
                <w10:anchorlock/>
              </v:shape>
            </w:pict>
          </mc:Fallback>
        </mc:AlternateContent>
      </w:r>
    </w:p>
    <w:p w14:paraId="19238670" w14:textId="77777777" w:rsidR="00476D98" w:rsidRDefault="00CF48C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1494D212" wp14:editId="2C4BC05A">
                <wp:extent cx="1828800" cy="1828800"/>
                <wp:effectExtent l="0" t="0" r="15240" b="25400"/>
                <wp:docPr id="25" name="Текстово 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0A832A6" w14:textId="77777777" w:rsidR="005B4F08" w:rsidRPr="004E1F6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94D212" id="Текстово поле 25"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NNK1diDAgAA&#10;7AQAAA4AAAAAAAAAAAAAAAAALgIAAGRycy9lMm9Eb2MueG1sUEsBAi0AFAAGAAgAAAAhALA/BXnZ&#10;AAAABQEAAA8AAAAAAAAAAAAAAAAA3QQAAGRycy9kb3ducmV2LnhtbFBLBQYAAAAABAAEAPMAAADj&#10;BQAAAAA=&#10;" fillcolor="#d8d8d8 [2732]" strokeweight=".5pt">
                <v:textbox style="mso-fit-shape-to-text:t">
                  <w:txbxContent>
                    <w:p w14:paraId="30A832A6" w14:textId="77777777" w:rsidR="005B4F08" w:rsidRPr="004E1F6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v:textbox>
                <w10:anchorlock/>
              </v:shape>
            </w:pict>
          </mc:Fallback>
        </mc:AlternateContent>
      </w:r>
    </w:p>
    <w:p w14:paraId="02E92DEA" w14:textId="77777777" w:rsidR="00FD7FFD" w:rsidRPr="00422728" w:rsidRDefault="00FD7FFD" w:rsidP="004524A5">
      <w:pPr>
        <w:pStyle w:val="2"/>
        <w:rPr>
          <w:sz w:val="24"/>
          <w:szCs w:val="24"/>
        </w:rPr>
      </w:pPr>
      <w:bookmarkStart w:id="22" w:name="_Toc494709520"/>
      <w:r w:rsidRPr="00422728">
        <w:rPr>
          <w:sz w:val="24"/>
          <w:szCs w:val="24"/>
        </w:rPr>
        <w:t>14.3. Недопустими разходи</w:t>
      </w:r>
      <w:bookmarkEnd w:id="22"/>
    </w:p>
    <w:p w14:paraId="46931877" w14:textId="77777777" w:rsidR="00425C70" w:rsidRPr="00326474" w:rsidRDefault="00425C70" w:rsidP="00756AEF">
      <w:pPr>
        <w:pStyle w:val="afc"/>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lang w:val="bg-BG"/>
        </w:rPr>
      </w:pPr>
      <w:r w:rsidRPr="00326474">
        <w:rPr>
          <w:rFonts w:ascii="Times New Roman" w:hAnsi="Times New Roman"/>
          <w:lang w:val="bg-BG"/>
        </w:rPr>
        <w:t>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съфинансирани от Европейски структурни и инвестиционни фондове, за програмен период 2014-2020 година, разпоредбите на Регламент (ЕС) № 1303/2013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на Европейския фонд за регионално развитие, Европейския фонд социален фонд, Кохезионния фонд и Европейския фонд за морско дело и рибарство и за отмяна на Регламент (ЕО) № 1083/2006 на Съвета и относимото законодателство.</w:t>
      </w:r>
    </w:p>
    <w:p w14:paraId="141E5864" w14:textId="77777777" w:rsidR="00425C70" w:rsidRDefault="00425C70"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B319F8F" w14:textId="77777777" w:rsidR="00F26FF5" w:rsidRPr="000A3DFA" w:rsidRDefault="00F26FF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Недопустими са следните видове разходи:</w:t>
      </w:r>
    </w:p>
    <w:p w14:paraId="7A80E91D"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дълготрайни активи втора употреба и за дълготрайни активи, които не са заведени за първи път от получателя на помощта;</w:t>
      </w:r>
    </w:p>
    <w:p w14:paraId="3E7C0588"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дълготрайни материални активи и дълготрайни нематериални активи, които не са пряко свързани с постигане на целите на проекта;</w:t>
      </w:r>
    </w:p>
    <w:p w14:paraId="36ECFF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w:t>
      </w:r>
      <w:r>
        <w:rPr>
          <w:rFonts w:ascii="Times New Roman" w:eastAsia="Calibri" w:hAnsi="Times New Roman" w:cs="Times New Roman"/>
          <w:sz w:val="24"/>
          <w:szCs w:val="24"/>
          <w:lang w:eastAsia="bg-BG"/>
        </w:rPr>
        <w:t xml:space="preserve">проекти или за </w:t>
      </w:r>
      <w:r w:rsidRPr="00581C9C">
        <w:rPr>
          <w:rFonts w:ascii="Times New Roman" w:eastAsia="Calibri" w:hAnsi="Times New Roman" w:cs="Times New Roman"/>
          <w:sz w:val="24"/>
          <w:szCs w:val="24"/>
          <w:lang w:eastAsia="bg-BG"/>
        </w:rPr>
        <w:t>дейности, които са</w:t>
      </w:r>
      <w:r w:rsidRPr="00895110">
        <w:rPr>
          <w:rFonts w:ascii="Times New Roman" w:eastAsia="Calibri" w:hAnsi="Times New Roman" w:cs="Times New Roman"/>
          <w:sz w:val="24"/>
          <w:szCs w:val="24"/>
          <w:lang w:eastAsia="bg-BG"/>
        </w:rPr>
        <w:t xml:space="preserve"> физически</w:t>
      </w:r>
      <w:r w:rsidRPr="00581C9C">
        <w:rPr>
          <w:rFonts w:ascii="Times New Roman" w:eastAsia="Calibri" w:hAnsi="Times New Roman" w:cs="Times New Roman"/>
          <w:sz w:val="24"/>
          <w:szCs w:val="24"/>
          <w:vertAlign w:val="superscript"/>
          <w:lang w:eastAsia="bg-BG"/>
        </w:rPr>
        <w:footnoteReference w:id="16"/>
      </w:r>
      <w:r w:rsidRPr="00581C9C">
        <w:rPr>
          <w:rFonts w:ascii="Times New Roman" w:eastAsia="Calibri" w:hAnsi="Times New Roman" w:cs="Times New Roman"/>
          <w:sz w:val="24"/>
          <w:szCs w:val="24"/>
          <w:lang w:eastAsia="bg-BG"/>
        </w:rPr>
        <w:t xml:space="preserve">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Pr="00B43D85">
        <w:rPr>
          <w:rFonts w:ascii="Times New Roman" w:eastAsia="Calibri" w:hAnsi="Times New Roman" w:cs="Times New Roman"/>
          <w:sz w:val="24"/>
          <w:szCs w:val="24"/>
          <w:lang w:eastAsia="bg-BG"/>
        </w:rPr>
        <w:t xml:space="preserve"> </w:t>
      </w:r>
    </w:p>
    <w:p w14:paraId="3D2433C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212C24">
        <w:rPr>
          <w:rFonts w:ascii="Times New Roman" w:eastAsia="Calibri" w:hAnsi="Times New Roman" w:cs="Times New Roman"/>
          <w:sz w:val="24"/>
          <w:szCs w:val="24"/>
          <w:lang w:eastAsia="bg-BG"/>
        </w:rPr>
        <w:t>разходи за закупуване на лицензи за ползване на софтуер със срок до 12 месеца</w:t>
      </w:r>
      <w:r>
        <w:rPr>
          <w:rFonts w:ascii="Times New Roman" w:eastAsia="Calibri" w:hAnsi="Times New Roman" w:cs="Times New Roman"/>
          <w:sz w:val="24"/>
          <w:szCs w:val="24"/>
          <w:lang w:eastAsia="bg-BG"/>
        </w:rPr>
        <w:t>;</w:t>
      </w:r>
    </w:p>
    <w:p w14:paraId="30E2D74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строително-монтажни работи (СМР);</w:t>
      </w:r>
    </w:p>
    <w:p w14:paraId="09694F9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реклама – включително и не само публикуване на обяви в периодични издания, изработка, разпространение и излъчване на рекламни спотове (радио и </w:t>
      </w:r>
      <w:r w:rsidRPr="00581C9C">
        <w:rPr>
          <w:rFonts w:ascii="Times New Roman" w:eastAsia="Calibri" w:hAnsi="Times New Roman" w:cs="Times New Roman"/>
          <w:sz w:val="24"/>
          <w:szCs w:val="24"/>
          <w:lang w:eastAsia="bg-BG"/>
        </w:rPr>
        <w:lastRenderedPageBreak/>
        <w:t>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281EAE9E"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застраховки на закупеното оборудване;</w:t>
      </w:r>
    </w:p>
    <w:p w14:paraId="3C1DB2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sidRPr="006A66CE">
        <w:rPr>
          <w:sz w:val="24"/>
          <w:szCs w:val="24"/>
        </w:rPr>
        <w:t xml:space="preserve"> </w:t>
      </w:r>
      <w:r w:rsidRPr="006A66CE">
        <w:rPr>
          <w:rFonts w:ascii="Times New Roman" w:eastAsia="Calibri" w:hAnsi="Times New Roman" w:cs="Times New Roman"/>
          <w:sz w:val="24"/>
          <w:szCs w:val="24"/>
          <w:lang w:eastAsia="bg-BG"/>
        </w:rPr>
        <w:t>разходи за банкови такси и комисионни;</w:t>
      </w:r>
    </w:p>
    <w:p w14:paraId="5A5C5111" w14:textId="747C5CD9"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непреки разходи (административни разходи, режийни и др.)</w:t>
      </w:r>
      <w:r w:rsidRPr="008513C5">
        <w:rPr>
          <w:rFonts w:ascii="Times New Roman" w:eastAsia="Calibri" w:hAnsi="Times New Roman" w:cs="Times New Roman"/>
          <w:sz w:val="24"/>
          <w:szCs w:val="24"/>
          <w:lang w:eastAsia="bg-BG"/>
        </w:rPr>
        <w:t xml:space="preserve">, </w:t>
      </w:r>
    </w:p>
    <w:p w14:paraId="229ED830"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закупуване на земя и сгради;</w:t>
      </w:r>
    </w:p>
    <w:p w14:paraId="42D86934"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услуги за разработване на проектното предложение;</w:t>
      </w:r>
    </w:p>
    <w:p w14:paraId="0348B979"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одит на проекта;</w:t>
      </w:r>
    </w:p>
    <w:p w14:paraId="180018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закупуване на резервни части;</w:t>
      </w:r>
    </w:p>
    <w:p w14:paraId="56BF3D6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 xml:space="preserve">разходи за човешки ресурси (включително за персонал, назначен за </w:t>
      </w:r>
      <w:r>
        <w:rPr>
          <w:rFonts w:ascii="Times New Roman" w:eastAsia="Calibri" w:hAnsi="Times New Roman" w:cs="Times New Roman"/>
          <w:sz w:val="24"/>
          <w:szCs w:val="24"/>
          <w:lang w:eastAsia="bg-BG"/>
        </w:rPr>
        <w:t>администриране</w:t>
      </w:r>
      <w:r w:rsidRPr="006A66CE">
        <w:rPr>
          <w:rFonts w:ascii="Times New Roman" w:eastAsia="Calibri" w:hAnsi="Times New Roman" w:cs="Times New Roman"/>
          <w:sz w:val="24"/>
          <w:szCs w:val="24"/>
          <w:lang w:eastAsia="bg-BG"/>
        </w:rPr>
        <w:t xml:space="preserve"> на</w:t>
      </w:r>
    </w:p>
    <w:p w14:paraId="01A45F42" w14:textId="09923000"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проекта)</w:t>
      </w:r>
      <w:r>
        <w:rPr>
          <w:rFonts w:ascii="Times New Roman" w:eastAsia="Calibri" w:hAnsi="Times New Roman" w:cs="Times New Roman"/>
          <w:sz w:val="24"/>
          <w:szCs w:val="24"/>
          <w:lang w:eastAsia="bg-BG"/>
        </w:rPr>
        <w:t xml:space="preserve">, </w:t>
      </w:r>
    </w:p>
    <w:p w14:paraId="19E72698"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командировки на персонала на бенефициента;</w:t>
      </w:r>
    </w:p>
    <w:p w14:paraId="53C050D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юридически и счетоводни услуги от общ характер;</w:t>
      </w:r>
    </w:p>
    <w:p w14:paraId="13EB03BE" w14:textId="48ED797C"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изработване на общи пазарни анализи, проучвания, маркетингови планове</w:t>
      </w:r>
      <w:r w:rsidRPr="00037F08">
        <w:rPr>
          <w:rFonts w:ascii="Times New Roman" w:eastAsia="Calibri" w:hAnsi="Times New Roman" w:cs="Times New Roman"/>
          <w:sz w:val="24"/>
          <w:szCs w:val="24"/>
          <w:lang w:eastAsia="bg-BG"/>
        </w:rPr>
        <w:t xml:space="preserve">, които не са свързани с пазарна реализация на нови продукти (стоките или услугите), свързани с </w:t>
      </w:r>
      <w:r>
        <w:rPr>
          <w:rFonts w:ascii="Times New Roman" w:eastAsia="Calibri" w:hAnsi="Times New Roman" w:cs="Times New Roman"/>
          <w:sz w:val="24"/>
          <w:szCs w:val="24"/>
          <w:lang w:eastAsia="bg-BG"/>
        </w:rPr>
        <w:t>разработване/внедряване на иновации/</w:t>
      </w:r>
      <w:r w:rsidRPr="008513C5">
        <w:rPr>
          <w:rFonts w:ascii="Times New Roman" w:eastAsia="Calibri" w:hAnsi="Times New Roman" w:cs="Times New Roman"/>
          <w:sz w:val="24"/>
          <w:szCs w:val="24"/>
          <w:lang w:eastAsia="bg-BG"/>
        </w:rPr>
        <w:t xml:space="preserve">реализиране на </w:t>
      </w:r>
      <w:r w:rsidRPr="00037F08">
        <w:rPr>
          <w:rFonts w:ascii="Times New Roman" w:eastAsia="Calibri" w:hAnsi="Times New Roman" w:cs="Times New Roman"/>
          <w:sz w:val="24"/>
          <w:szCs w:val="24"/>
          <w:lang w:eastAsia="bg-BG"/>
        </w:rPr>
        <w:t>предприемаческата идея</w:t>
      </w:r>
      <w:r w:rsidRPr="006A66CE">
        <w:rPr>
          <w:rFonts w:ascii="Times New Roman" w:eastAsia="Calibri" w:hAnsi="Times New Roman" w:cs="Times New Roman"/>
          <w:sz w:val="24"/>
          <w:szCs w:val="24"/>
          <w:lang w:eastAsia="bg-BG"/>
        </w:rPr>
        <w:t>;</w:t>
      </w:r>
    </w:p>
    <w:p w14:paraId="07F655F7" w14:textId="77777777" w:rsidR="00735D2D" w:rsidRPr="000A3DFA" w:rsidRDefault="00735D2D" w:rsidP="00735D2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разходи за производството, обработката и продажбата на тютюн и тютюневи изделия;</w:t>
      </w:r>
    </w:p>
    <w:p w14:paraId="595A71E5" w14:textId="104C99C8" w:rsidR="00735D2D" w:rsidRPr="006A66CE" w:rsidRDefault="00735D2D" w:rsidP="00735D2D">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0A3DFA">
        <w:rPr>
          <w:rFonts w:ascii="Times New Roman" w:hAnsi="Times New Roman" w:cs="Times New Roman"/>
          <w:color w:val="000000" w:themeColor="text1"/>
          <w:sz w:val="24"/>
          <w:szCs w:val="24"/>
        </w:rPr>
        <w:t>• разходи за инвестиции в летищна инфраструктура;</w:t>
      </w:r>
    </w:p>
    <w:p w14:paraId="39FB5CE7"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принос в натура;</w:t>
      </w:r>
    </w:p>
    <w:p w14:paraId="7B27CB54"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загуби от обмяна на валута;</w:t>
      </w:r>
    </w:p>
    <w:p w14:paraId="40B0454F" w14:textId="77777777" w:rsidR="00AD3F00" w:rsidRDefault="00AD3F00" w:rsidP="00AD3F0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непредвидени разходи (глоби, санкции, неустойки, лихви по търговски вземания/задължения и др.);</w:t>
      </w:r>
    </w:p>
    <w:p w14:paraId="455FC1D7"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8A2C58">
        <w:rPr>
          <w:rFonts w:ascii="Times New Roman" w:eastAsia="Calibri" w:hAnsi="Times New Roman" w:cs="Times New Roman"/>
          <w:sz w:val="24"/>
          <w:szCs w:val="24"/>
          <w:lang w:eastAsia="bg-BG"/>
        </w:rPr>
        <w:t>• 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lang w:eastAsia="bg-BG"/>
        </w:rPr>
        <w:t xml:space="preserve"> в случай на разработване/внедряване на иновации в предприятията;</w:t>
      </w:r>
    </w:p>
    <w:p w14:paraId="059C1C4B"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земя и сгради;</w:t>
      </w:r>
    </w:p>
    <w:p w14:paraId="50F60BCA"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възстановим ДДС;</w:t>
      </w:r>
    </w:p>
    <w:p w14:paraId="0A2F141C"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суровини, материали, полуобработени компоненти, консумативи за производството, резервни части, имащи характер на стоково-материални запаси;</w:t>
      </w:r>
    </w:p>
    <w:p w14:paraId="4B2333D6"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закупуване или наемане на транспортни средства и съоръжения съгласно </w:t>
      </w:r>
      <w:r w:rsidRPr="00895110">
        <w:rPr>
          <w:rFonts w:ascii="Times New Roman" w:eastAsia="Calibri" w:hAnsi="Times New Roman" w:cs="Times New Roman"/>
          <w:sz w:val="24"/>
          <w:szCs w:val="24"/>
          <w:lang w:eastAsia="bg-BG"/>
        </w:rPr>
        <w:t>приложената Дефиниция</w:t>
      </w:r>
      <w:r>
        <w:rPr>
          <w:rFonts w:ascii="Times New Roman" w:eastAsia="Calibri" w:hAnsi="Times New Roman" w:cs="Times New Roman"/>
          <w:sz w:val="24"/>
          <w:szCs w:val="24"/>
          <w:lang w:eastAsia="bg-BG"/>
        </w:rPr>
        <w:t>;</w:t>
      </w:r>
    </w:p>
    <w:p w14:paraId="20888564"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придобиването на товарни автомобили за сухопътен транспорт;</w:t>
      </w:r>
    </w:p>
    <w:p w14:paraId="30720F57"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всички разходи, които не попадат в обхвата на допустимите дейности,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тази дейност е допустима</w:t>
      </w:r>
      <w:r>
        <w:rPr>
          <w:rFonts w:ascii="Times New Roman" w:eastAsia="Calibri" w:hAnsi="Times New Roman" w:cs="Times New Roman"/>
          <w:sz w:val="24"/>
          <w:szCs w:val="24"/>
          <w:lang w:eastAsia="bg-BG"/>
        </w:rPr>
        <w:t>;</w:t>
      </w:r>
    </w:p>
    <w:p w14:paraId="22C3576C"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lastRenderedPageBreak/>
        <w:t>•</w:t>
      </w:r>
      <w:r w:rsidRPr="008410C7">
        <w:rPr>
          <w:rFonts w:ascii="Times New Roman" w:eastAsia="Calibri" w:hAnsi="Times New Roman" w:cs="Times New Roman"/>
          <w:sz w:val="24"/>
          <w:szCs w:val="24"/>
          <w:lang w:eastAsia="bg-BG"/>
        </w:rPr>
        <w:tab/>
      </w:r>
      <w:r w:rsidRPr="006164BD">
        <w:rPr>
          <w:rFonts w:ascii="Times New Roman" w:eastAsia="Calibri" w:hAnsi="Times New Roman" w:cs="Times New Roman"/>
          <w:sz w:val="24"/>
          <w:szCs w:val="24"/>
          <w:lang w:eastAsia="bg-BG"/>
        </w:rPr>
        <w:t>разходи, които вече са финансирани със средства от ЕСИФ или чрез други инструменти на Европейския съюз, както и с други публични средств</w:t>
      </w:r>
      <w:r>
        <w:rPr>
          <w:rFonts w:ascii="Times New Roman" w:eastAsia="Calibri" w:hAnsi="Times New Roman" w:cs="Times New Roman"/>
          <w:sz w:val="24"/>
          <w:szCs w:val="24"/>
          <w:lang w:eastAsia="bg-BG"/>
        </w:rPr>
        <w:t>а, различни от тези на бенефици</w:t>
      </w:r>
      <w:r w:rsidRPr="006164BD">
        <w:rPr>
          <w:rFonts w:ascii="Times New Roman" w:eastAsia="Calibri" w:hAnsi="Times New Roman" w:cs="Times New Roman"/>
          <w:sz w:val="24"/>
          <w:szCs w:val="24"/>
          <w:lang w:eastAsia="bg-BG"/>
        </w:rPr>
        <w:t xml:space="preserve">ента; </w:t>
      </w:r>
    </w:p>
    <w:p w14:paraId="3AFD8368"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2AA6F6F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разходите за гаранции, осигурени от банка или от друг</w:t>
      </w:r>
      <w:r>
        <w:rPr>
          <w:rFonts w:ascii="Times New Roman" w:eastAsia="Calibri" w:hAnsi="Times New Roman" w:cs="Times New Roman"/>
          <w:sz w:val="24"/>
          <w:szCs w:val="24"/>
          <w:lang w:eastAsia="bg-BG"/>
        </w:rPr>
        <w:t>а финансова институция</w:t>
      </w:r>
      <w:r w:rsidRPr="006164BD">
        <w:rPr>
          <w:rFonts w:ascii="Times New Roman" w:eastAsia="Calibri" w:hAnsi="Times New Roman" w:cs="Times New Roman"/>
          <w:sz w:val="24"/>
          <w:szCs w:val="24"/>
          <w:lang w:eastAsia="bg-BG"/>
        </w:rPr>
        <w:t>;</w:t>
      </w:r>
    </w:p>
    <w:p w14:paraId="625D0E7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лихви по дългове, с изключение на свързани с БФП, пр</w:t>
      </w:r>
      <w:r>
        <w:rPr>
          <w:rFonts w:ascii="Times New Roman" w:eastAsia="Calibri" w:hAnsi="Times New Roman" w:cs="Times New Roman"/>
          <w:sz w:val="24"/>
          <w:szCs w:val="24"/>
          <w:lang w:eastAsia="bg-BG"/>
        </w:rPr>
        <w:t>едоставени под формата на лихве</w:t>
      </w:r>
      <w:r w:rsidRPr="006164BD">
        <w:rPr>
          <w:rFonts w:ascii="Times New Roman" w:eastAsia="Calibri" w:hAnsi="Times New Roman" w:cs="Times New Roman"/>
          <w:sz w:val="24"/>
          <w:szCs w:val="24"/>
          <w:lang w:eastAsia="bg-BG"/>
        </w:rPr>
        <w:t>ни субсидии или субсидии за гаранционни такси;</w:t>
      </w:r>
    </w:p>
    <w:p w14:paraId="2700AF91"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наем на съоръжения и оборудване за постоянно ползване след приключване на проекта;</w:t>
      </w:r>
    </w:p>
    <w:p w14:paraId="605C1A53"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експлоатация и поддръжка;</w:t>
      </w:r>
    </w:p>
    <w:p w14:paraId="486ADB63"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hAnsi="Times New Roman" w:cs="Times New Roman"/>
          <w:sz w:val="24"/>
          <w:szCs w:val="24"/>
        </w:rPr>
        <w:t xml:space="preserve"> </w:t>
      </w:r>
      <w:r w:rsidRPr="0085596D">
        <w:rPr>
          <w:rFonts w:ascii="Times New Roman" w:hAnsi="Times New Roman" w:cs="Times New Roman"/>
          <w:sz w:val="24"/>
          <w:szCs w:val="24"/>
        </w:rPr>
        <w:t>разходи за придобиване/отчуждаване на незастроени и/или застроени земи и/или придобиване на ограничени вещни права, за които не са спазени всички нормативно определени условия</w:t>
      </w:r>
      <w:r>
        <w:rPr>
          <w:rFonts w:ascii="Times New Roman" w:hAnsi="Times New Roman" w:cs="Times New Roman"/>
          <w:sz w:val="24"/>
          <w:szCs w:val="24"/>
        </w:rPr>
        <w:t>;</w:t>
      </w:r>
      <w:r w:rsidRPr="008410C7">
        <w:rPr>
          <w:rFonts w:ascii="Times New Roman" w:eastAsia="Calibri" w:hAnsi="Times New Roman" w:cs="Times New Roman"/>
          <w:sz w:val="24"/>
          <w:szCs w:val="24"/>
          <w:lang w:eastAsia="bg-BG"/>
        </w:rPr>
        <w:t xml:space="preserve"> </w:t>
      </w:r>
    </w:p>
    <w:p w14:paraId="466F3AC2"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07F78">
        <w:rPr>
          <w:rFonts w:ascii="Times New Roman" w:eastAsia="Calibri" w:hAnsi="Times New Roman" w:cs="Times New Roman"/>
          <w:sz w:val="24"/>
          <w:szCs w:val="24"/>
          <w:lang w:eastAsia="bg-BG"/>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 (публичност и визуализация);</w:t>
      </w:r>
    </w:p>
    <w:p w14:paraId="342DFD7E"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4255D1">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1715CC">
        <w:rPr>
          <w:rFonts w:ascii="Times New Roman" w:eastAsia="Calibri" w:hAnsi="Times New Roman" w:cs="Times New Roman"/>
          <w:sz w:val="24"/>
          <w:szCs w:val="24"/>
          <w:lang w:eastAsia="bg-BG"/>
        </w:rPr>
        <w:t>азходи за командировки на ръководителя и/или на членовете на екипа за управление на проекта над нормативно определените ограничения</w:t>
      </w:r>
      <w:r w:rsidRPr="004255D1">
        <w:rPr>
          <w:rFonts w:ascii="Times New Roman" w:eastAsia="Calibri" w:hAnsi="Times New Roman" w:cs="Times New Roman"/>
          <w:sz w:val="24"/>
          <w:szCs w:val="24"/>
          <w:lang w:eastAsia="bg-BG"/>
        </w:rPr>
        <w:t>;</w:t>
      </w:r>
    </w:p>
    <w:p w14:paraId="63629C85"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свързани с изпълнението на недопустими дейности;</w:t>
      </w:r>
    </w:p>
    <w:p w14:paraId="591B7AAC"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DE1591">
        <w:rPr>
          <w:rFonts w:ascii="Times New Roman" w:eastAsia="Calibri" w:hAnsi="Times New Roman" w:cs="Times New Roman"/>
          <w:sz w:val="24"/>
          <w:szCs w:val="24"/>
          <w:lang w:eastAsia="bg-BG"/>
        </w:rPr>
        <w:t>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w:t>
      </w:r>
      <w:r>
        <w:rPr>
          <w:rFonts w:ascii="Times New Roman" w:eastAsia="Calibri" w:hAnsi="Times New Roman" w:cs="Times New Roman"/>
          <w:sz w:val="24"/>
          <w:szCs w:val="24"/>
          <w:lang w:eastAsia="bg-BG"/>
        </w:rPr>
        <w:t xml:space="preserve">аправени от бенефициента или не </w:t>
      </w:r>
      <w:r w:rsidRPr="001715CC">
        <w:rPr>
          <w:rFonts w:ascii="Times New Roman" w:eastAsia="Calibri" w:hAnsi="Times New Roman" w:cs="Times New Roman"/>
          <w:sz w:val="24"/>
          <w:szCs w:val="24"/>
          <w:lang w:eastAsia="bg-BG"/>
        </w:rPr>
        <w:t>(съгласно чл. 65, параграф 6 от Регламент (ЕС) № 1303/2013)</w:t>
      </w:r>
      <w:r w:rsidRPr="008410C7">
        <w:rPr>
          <w:rFonts w:ascii="Times New Roman" w:eastAsia="Calibri" w:hAnsi="Times New Roman" w:cs="Times New Roman"/>
          <w:sz w:val="24"/>
          <w:szCs w:val="24"/>
          <w:lang w:eastAsia="bg-BG"/>
        </w:rPr>
        <w:t>;</w:t>
      </w:r>
    </w:p>
    <w:p w14:paraId="0E3E08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д</w:t>
      </w:r>
      <w:r w:rsidRPr="008410C7">
        <w:rPr>
          <w:rFonts w:ascii="Times New Roman" w:eastAsia="Calibri" w:hAnsi="Times New Roman" w:cs="Times New Roman"/>
          <w:sz w:val="24"/>
          <w:szCs w:val="24"/>
          <w:lang w:eastAsia="bg-BG"/>
        </w:rPr>
        <w:t>руги разходи, недопустими</w:t>
      </w:r>
      <w:r>
        <w:rPr>
          <w:rFonts w:ascii="Times New Roman" w:eastAsia="Calibri" w:hAnsi="Times New Roman" w:cs="Times New Roman"/>
          <w:sz w:val="24"/>
          <w:szCs w:val="24"/>
          <w:lang w:eastAsia="bg-BG"/>
        </w:rPr>
        <w:t xml:space="preserve"> съгласно ПМС № 18</w:t>
      </w:r>
      <w:r w:rsidRPr="008410C7">
        <w:rPr>
          <w:rFonts w:ascii="Times New Roman" w:eastAsia="Calibri" w:hAnsi="Times New Roman" w:cs="Times New Roman"/>
          <w:sz w:val="24"/>
          <w:szCs w:val="24"/>
          <w:lang w:eastAsia="bg-BG"/>
        </w:rPr>
        <w:t>9/201</w:t>
      </w:r>
      <w:r>
        <w:rPr>
          <w:rFonts w:ascii="Times New Roman" w:eastAsia="Calibri" w:hAnsi="Times New Roman" w:cs="Times New Roman"/>
          <w:sz w:val="24"/>
          <w:szCs w:val="24"/>
          <w:lang w:eastAsia="bg-BG"/>
        </w:rPr>
        <w:t>6</w:t>
      </w:r>
      <w:r w:rsidRPr="008410C7">
        <w:rPr>
          <w:rFonts w:ascii="Times New Roman" w:eastAsia="Calibri" w:hAnsi="Times New Roman" w:cs="Times New Roman"/>
          <w:sz w:val="24"/>
          <w:szCs w:val="24"/>
          <w:lang w:eastAsia="bg-BG"/>
        </w:rPr>
        <w:t xml:space="preserve"> г.</w:t>
      </w:r>
    </w:p>
    <w:p w14:paraId="7CEA44C4" w14:textId="77777777" w:rsidR="00AD3F00" w:rsidRDefault="00AD3F00" w:rsidP="00AD3F00">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792897">
        <w:rPr>
          <w:rFonts w:ascii="Times New Roman" w:eastAsia="Calibri" w:hAnsi="Times New Roman" w:cs="Times New Roman"/>
          <w:sz w:val="24"/>
          <w:szCs w:val="24"/>
          <w:lang w:eastAsia="bg-BG"/>
        </w:rPr>
        <w:t>Недопустими за финансиране разходи, неправомерно одобрени и платени от бенефициента, остават за негова сметка и не подлежат на възстановяване.</w:t>
      </w:r>
      <w:r>
        <w:rPr>
          <w:rFonts w:ascii="Times New Roman" w:eastAsia="Calibri" w:hAnsi="Times New Roman" w:cs="Times New Roman"/>
          <w:sz w:val="24"/>
          <w:szCs w:val="24"/>
          <w:lang w:eastAsia="bg-BG"/>
        </w:rPr>
        <w:t xml:space="preserve"> </w:t>
      </w:r>
      <w:r w:rsidRPr="00A44D2D">
        <w:rPr>
          <w:rFonts w:ascii="Times New Roman" w:hAnsi="Times New Roman" w:cs="Times New Roman"/>
          <w:sz w:val="24"/>
          <w:szCs w:val="24"/>
        </w:rPr>
        <w:t xml:space="preserve">Ако е приложимо, в бюджета на проектното предложение </w:t>
      </w:r>
      <w:r>
        <w:rPr>
          <w:rFonts w:ascii="Times New Roman" w:hAnsi="Times New Roman" w:cs="Times New Roman"/>
          <w:sz w:val="24"/>
          <w:szCs w:val="24"/>
        </w:rPr>
        <w:t>може</w:t>
      </w:r>
      <w:r w:rsidRPr="00A44D2D">
        <w:rPr>
          <w:rFonts w:ascii="Times New Roman" w:hAnsi="Times New Roman" w:cs="Times New Roman"/>
          <w:sz w:val="24"/>
          <w:szCs w:val="24"/>
        </w:rPr>
        <w:t xml:space="preserve"> да с</w:t>
      </w:r>
      <w:r>
        <w:rPr>
          <w:rFonts w:ascii="Times New Roman" w:hAnsi="Times New Roman" w:cs="Times New Roman"/>
          <w:sz w:val="24"/>
          <w:szCs w:val="24"/>
        </w:rPr>
        <w:t>е</w:t>
      </w:r>
      <w:r w:rsidRPr="00A44D2D">
        <w:rPr>
          <w:rFonts w:ascii="Times New Roman" w:hAnsi="Times New Roman" w:cs="Times New Roman"/>
          <w:sz w:val="24"/>
          <w:szCs w:val="24"/>
        </w:rPr>
        <w:t xml:space="preserve"> посоч</w:t>
      </w:r>
      <w:r>
        <w:rPr>
          <w:rFonts w:ascii="Times New Roman" w:hAnsi="Times New Roman" w:cs="Times New Roman"/>
          <w:sz w:val="24"/>
          <w:szCs w:val="24"/>
        </w:rPr>
        <w:t>ат</w:t>
      </w:r>
      <w:r w:rsidRPr="00A44D2D">
        <w:rPr>
          <w:rFonts w:ascii="Times New Roman" w:hAnsi="Times New Roman" w:cs="Times New Roman"/>
          <w:sz w:val="24"/>
          <w:szCs w:val="24"/>
        </w:rPr>
        <w:t xml:space="preserve"> разходи, които са недопустими, </w:t>
      </w:r>
      <w:r>
        <w:rPr>
          <w:rFonts w:ascii="Times New Roman" w:hAnsi="Times New Roman" w:cs="Times New Roman"/>
          <w:sz w:val="24"/>
          <w:szCs w:val="24"/>
        </w:rPr>
        <w:t>но са</w:t>
      </w:r>
      <w:r w:rsidRPr="00A44D2D">
        <w:rPr>
          <w:rFonts w:ascii="Times New Roman" w:hAnsi="Times New Roman" w:cs="Times New Roman"/>
          <w:sz w:val="24"/>
          <w:szCs w:val="24"/>
        </w:rPr>
        <w:t xml:space="preserve"> свързани с изпълнението на проект</w:t>
      </w:r>
      <w:r>
        <w:rPr>
          <w:rFonts w:ascii="Times New Roman" w:hAnsi="Times New Roman" w:cs="Times New Roman"/>
          <w:sz w:val="24"/>
          <w:szCs w:val="24"/>
        </w:rPr>
        <w:t>а и за ко</w:t>
      </w:r>
      <w:r w:rsidRPr="00A44D2D">
        <w:rPr>
          <w:rFonts w:ascii="Times New Roman" w:hAnsi="Times New Roman" w:cs="Times New Roman"/>
          <w:sz w:val="24"/>
          <w:szCs w:val="24"/>
        </w:rPr>
        <w:t>ито кандидат</w:t>
      </w:r>
      <w:r>
        <w:rPr>
          <w:rFonts w:ascii="Times New Roman" w:hAnsi="Times New Roman" w:cs="Times New Roman"/>
          <w:sz w:val="24"/>
          <w:szCs w:val="24"/>
        </w:rPr>
        <w:t>а</w:t>
      </w:r>
      <w:r w:rsidRPr="00A44D2D">
        <w:rPr>
          <w:rFonts w:ascii="Times New Roman" w:hAnsi="Times New Roman" w:cs="Times New Roman"/>
          <w:sz w:val="24"/>
          <w:szCs w:val="24"/>
        </w:rPr>
        <w:t xml:space="preserve"> </w:t>
      </w:r>
      <w:r>
        <w:rPr>
          <w:rFonts w:ascii="Times New Roman" w:hAnsi="Times New Roman" w:cs="Times New Roman"/>
          <w:sz w:val="24"/>
          <w:szCs w:val="24"/>
        </w:rPr>
        <w:t>е</w:t>
      </w:r>
      <w:r w:rsidRPr="00A44D2D">
        <w:rPr>
          <w:rFonts w:ascii="Times New Roman" w:hAnsi="Times New Roman" w:cs="Times New Roman"/>
          <w:sz w:val="24"/>
          <w:szCs w:val="24"/>
        </w:rPr>
        <w:t xml:space="preserve"> осигурил финансиране</w:t>
      </w:r>
      <w:r>
        <w:rPr>
          <w:rFonts w:ascii="Times New Roman" w:hAnsi="Times New Roman" w:cs="Times New Roman"/>
          <w:sz w:val="24"/>
          <w:szCs w:val="24"/>
        </w:rPr>
        <w:t>.</w:t>
      </w:r>
      <w:r w:rsidRPr="00A44D2D">
        <w:rPr>
          <w:rFonts w:ascii="Times New Roman" w:hAnsi="Times New Roman" w:cs="Times New Roman"/>
          <w:sz w:val="24"/>
          <w:szCs w:val="24"/>
        </w:rPr>
        <w:t xml:space="preserve"> При изготвянето на бюджета </w:t>
      </w:r>
      <w:r>
        <w:rPr>
          <w:rFonts w:ascii="Times New Roman" w:hAnsi="Times New Roman" w:cs="Times New Roman"/>
          <w:noProof/>
          <w:sz w:val="24"/>
          <w:szCs w:val="24"/>
        </w:rPr>
        <w:t xml:space="preserve">всеки </w:t>
      </w:r>
      <w:r w:rsidRPr="00AE72D5">
        <w:rPr>
          <w:rFonts w:ascii="Times New Roman" w:hAnsi="Times New Roman" w:cs="Times New Roman"/>
          <w:noProof/>
          <w:sz w:val="24"/>
          <w:szCs w:val="24"/>
        </w:rPr>
        <w:t xml:space="preserve">кандидат </w:t>
      </w:r>
      <w:r w:rsidRPr="00A44D2D">
        <w:rPr>
          <w:rFonts w:ascii="Times New Roman" w:hAnsi="Times New Roman" w:cs="Times New Roman"/>
          <w:sz w:val="24"/>
          <w:szCs w:val="24"/>
        </w:rPr>
        <w:t xml:space="preserve">следва да има предвид нормативно определените ограничения </w:t>
      </w:r>
      <w:r>
        <w:rPr>
          <w:rFonts w:ascii="Times New Roman" w:hAnsi="Times New Roman" w:cs="Times New Roman"/>
          <w:sz w:val="24"/>
          <w:szCs w:val="24"/>
        </w:rPr>
        <w:t>за</w:t>
      </w:r>
      <w:r w:rsidRPr="00A44D2D">
        <w:rPr>
          <w:rFonts w:ascii="Times New Roman" w:hAnsi="Times New Roman" w:cs="Times New Roman"/>
          <w:sz w:val="24"/>
          <w:szCs w:val="24"/>
        </w:rPr>
        <w:t xml:space="preserve"> размера на някои категории разходи</w:t>
      </w:r>
      <w:r>
        <w:rPr>
          <w:rFonts w:ascii="Times New Roman" w:hAnsi="Times New Roman" w:cs="Times New Roman"/>
          <w:sz w:val="24"/>
          <w:szCs w:val="24"/>
        </w:rPr>
        <w:t xml:space="preserve">, </w:t>
      </w:r>
      <w:r w:rsidRPr="00A44D2D">
        <w:rPr>
          <w:rFonts w:ascii="Times New Roman" w:hAnsi="Times New Roman" w:cs="Times New Roman"/>
          <w:sz w:val="24"/>
          <w:szCs w:val="24"/>
        </w:rPr>
        <w:t>въведени с ПМС № 1</w:t>
      </w:r>
      <w:r>
        <w:rPr>
          <w:rFonts w:ascii="Times New Roman" w:hAnsi="Times New Roman" w:cs="Times New Roman"/>
          <w:sz w:val="24"/>
          <w:szCs w:val="24"/>
        </w:rPr>
        <w:t>8</w:t>
      </w:r>
      <w:r w:rsidRPr="00A44D2D">
        <w:rPr>
          <w:rFonts w:ascii="Times New Roman" w:hAnsi="Times New Roman" w:cs="Times New Roman"/>
          <w:sz w:val="24"/>
          <w:szCs w:val="24"/>
        </w:rPr>
        <w:t>9/201</w:t>
      </w:r>
      <w:r>
        <w:rPr>
          <w:rFonts w:ascii="Times New Roman" w:hAnsi="Times New Roman" w:cs="Times New Roman"/>
          <w:sz w:val="24"/>
          <w:szCs w:val="24"/>
        </w:rPr>
        <w:t>6</w:t>
      </w:r>
      <w:r w:rsidRPr="00A44D2D">
        <w:rPr>
          <w:rFonts w:ascii="Times New Roman" w:hAnsi="Times New Roman" w:cs="Times New Roman"/>
          <w:sz w:val="24"/>
          <w:szCs w:val="24"/>
        </w:rPr>
        <w:t xml:space="preserve"> г. </w:t>
      </w:r>
    </w:p>
    <w:p w14:paraId="34F7E671" w14:textId="77777777" w:rsidR="00051B15" w:rsidRPr="004770DA" w:rsidRDefault="00CB14EE" w:rsidP="004524A5">
      <w:pPr>
        <w:pStyle w:val="1"/>
      </w:pPr>
      <w:bookmarkStart w:id="23" w:name="_Toc494709521"/>
      <w:r w:rsidRPr="004770DA">
        <w:t>1</w:t>
      </w:r>
      <w:r w:rsidR="00F7626C" w:rsidRPr="004770DA">
        <w:t>5</w:t>
      </w:r>
      <w:r w:rsidRPr="004770DA">
        <w:t>. Допустими целеви групи</w:t>
      </w:r>
      <w:r w:rsidR="00051B15" w:rsidRPr="004770DA">
        <w:t>:</w:t>
      </w:r>
      <w:bookmarkEnd w:id="23"/>
    </w:p>
    <w:p w14:paraId="036AF0ED" w14:textId="5FDBE35C" w:rsidR="005134C5" w:rsidRPr="005134C5" w:rsidRDefault="002D17D1" w:rsidP="005134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5134C5">
        <w:rPr>
          <w:rFonts w:ascii="Times New Roman" w:hAnsi="Times New Roman" w:cs="Times New Roman"/>
          <w:sz w:val="24"/>
          <w:szCs w:val="24"/>
        </w:rPr>
        <w:t>Допустимите целеви групи  по настоящата процедура са малки и средни предприятия, съгласно ЗМСП на територията на МИГ „</w:t>
      </w:r>
      <w:r w:rsidR="00A53448">
        <w:rPr>
          <w:rFonts w:ascii="Times New Roman" w:hAnsi="Times New Roman" w:cs="Times New Roman"/>
          <w:sz w:val="24"/>
          <w:szCs w:val="24"/>
        </w:rPr>
        <w:t>Свиленград ареал</w:t>
      </w:r>
      <w:r w:rsidRPr="005134C5">
        <w:rPr>
          <w:rFonts w:ascii="Times New Roman" w:hAnsi="Times New Roman" w:cs="Times New Roman"/>
          <w:sz w:val="24"/>
          <w:szCs w:val="24"/>
        </w:rPr>
        <w:t>“, които отговарят на критериите за допустимост, описани подробно в т. 11.1 от настоящите Условия за кандидатстване</w:t>
      </w:r>
      <w:bookmarkStart w:id="24" w:name="_Toc494709522"/>
      <w:r w:rsidR="005134C5">
        <w:rPr>
          <w:rFonts w:ascii="Times New Roman" w:hAnsi="Times New Roman" w:cs="Times New Roman"/>
          <w:sz w:val="24"/>
          <w:szCs w:val="24"/>
        </w:rPr>
        <w:t>.</w:t>
      </w:r>
    </w:p>
    <w:p w14:paraId="168F7597" w14:textId="38A956CA" w:rsidR="00F7626C" w:rsidRPr="004770DA" w:rsidRDefault="00F7626C" w:rsidP="004524A5">
      <w:pPr>
        <w:pStyle w:val="1"/>
      </w:pPr>
      <w:r w:rsidRPr="004770DA">
        <w:lastRenderedPageBreak/>
        <w:t>16. Приложим режим на минимални/държавни помощи:</w:t>
      </w:r>
      <w:bookmarkEnd w:id="24"/>
    </w:p>
    <w:p w14:paraId="189ED1BD" w14:textId="77777777" w:rsidR="00A412A2" w:rsidRPr="000A3DFA" w:rsidRDefault="003262C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Приложимият режим на държавна помощ по настоящата процедура за подбор на проекти </w:t>
      </w:r>
      <w:r w:rsidR="00302260" w:rsidRPr="000A3DFA">
        <w:rPr>
          <w:rFonts w:ascii="Times New Roman" w:hAnsi="Times New Roman" w:cs="Times New Roman"/>
          <w:color w:val="000000" w:themeColor="text1"/>
          <w:sz w:val="24"/>
          <w:szCs w:val="24"/>
        </w:rPr>
        <w:t xml:space="preserve">е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02260" w:rsidRPr="00FA4DDA">
        <w:rPr>
          <w:rFonts w:ascii="Times New Roman" w:hAnsi="Times New Roman" w:cs="Times New Roman"/>
          <w:b/>
          <w:color w:val="000000" w:themeColor="text1"/>
          <w:sz w:val="24"/>
          <w:szCs w:val="24"/>
        </w:rPr>
        <w:t>de minimis</w:t>
      </w:r>
      <w:r w:rsidR="00302260" w:rsidRPr="000A3DFA">
        <w:rPr>
          <w:rFonts w:ascii="Times New Roman" w:hAnsi="Times New Roman" w:cs="Times New Roman"/>
          <w:color w:val="000000" w:themeColor="text1"/>
          <w:sz w:val="24"/>
          <w:szCs w:val="24"/>
        </w:rPr>
        <w:t>, публикуван в Официален вестник на ЕС L 352 от 24.12.2013 г.</w:t>
      </w:r>
    </w:p>
    <w:p w14:paraId="1FE0F5C3" w14:textId="565E67B2" w:rsidR="00DE2A45" w:rsidRPr="00326474" w:rsidRDefault="00DE2A45" w:rsidP="00DE2A45">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Ще се проследява натрупването на минимални помощи за всеки бенефициент, чрез</w:t>
      </w:r>
      <w:r w:rsidRPr="00326474">
        <w:rPr>
          <w:rFonts w:ascii="Times New Roman" w:hAnsi="Times New Roman"/>
          <w:bCs/>
          <w:lang w:val="bg-BG"/>
        </w:rPr>
        <w:t xml:space="preserve"> система за наблюдение на натрупването на помощи, която съдържа следното</w:t>
      </w:r>
      <w:r w:rsidRPr="00326474">
        <w:rPr>
          <w:rFonts w:ascii="Times New Roman" w:hAnsi="Times New Roman"/>
          <w:lang w:val="bg-BG"/>
        </w:rPr>
        <w:t>:</w:t>
      </w:r>
    </w:p>
    <w:p w14:paraId="5261BB07" w14:textId="1D673270" w:rsidR="009C1ADB" w:rsidRPr="00096F27"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Да не се допуска общият размер на минималната помощ, предоставяна на „едно и също предприятие</w:t>
      </w:r>
      <w:r w:rsidR="00D167FD" w:rsidRPr="000A3DFA">
        <w:rPr>
          <w:rStyle w:val="a8"/>
          <w:rFonts w:ascii="Times New Roman" w:hAnsi="Times New Roman" w:cs="Times New Roman"/>
          <w:color w:val="000000" w:themeColor="text1"/>
          <w:sz w:val="24"/>
          <w:szCs w:val="24"/>
        </w:rPr>
        <w:footnoteReference w:id="17"/>
      </w:r>
      <w:r w:rsidRPr="000A3DFA">
        <w:rPr>
          <w:rFonts w:ascii="Times New Roman" w:hAnsi="Times New Roman" w:cs="Times New Roman"/>
          <w:color w:val="000000" w:themeColor="text1"/>
          <w:sz w:val="24"/>
          <w:szCs w:val="24"/>
        </w:rPr>
        <w:t xml:space="preserve">“ в България след натрупване с други минимални помощи, получени от предприятието за три </w:t>
      </w:r>
      <w:r w:rsidR="00EC617F">
        <w:rPr>
          <w:rFonts w:ascii="Times New Roman" w:hAnsi="Times New Roman" w:cs="Times New Roman"/>
          <w:color w:val="000000" w:themeColor="text1"/>
          <w:sz w:val="24"/>
          <w:szCs w:val="24"/>
        </w:rPr>
        <w:t xml:space="preserve">бюджетни </w:t>
      </w:r>
      <w:r w:rsidRPr="000A3DFA">
        <w:rPr>
          <w:rFonts w:ascii="Times New Roman" w:hAnsi="Times New Roman" w:cs="Times New Roman"/>
          <w:color w:val="000000" w:themeColor="text1"/>
          <w:sz w:val="24"/>
          <w:szCs w:val="24"/>
        </w:rPr>
        <w:t>години да надхвърли левовата равностойност на 200 000 евро, а за отрасъл „</w:t>
      </w:r>
      <w:r w:rsidR="000434EB">
        <w:rPr>
          <w:rFonts w:ascii="Times New Roman" w:hAnsi="Times New Roman" w:cs="Times New Roman"/>
          <w:color w:val="000000" w:themeColor="text1"/>
          <w:sz w:val="24"/>
          <w:szCs w:val="24"/>
        </w:rPr>
        <w:t>автомобилен транспорт</w:t>
      </w:r>
      <w:r w:rsidRPr="000A3DFA">
        <w:rPr>
          <w:rFonts w:ascii="Times New Roman" w:hAnsi="Times New Roman" w:cs="Times New Roman"/>
          <w:color w:val="000000" w:themeColor="text1"/>
          <w:sz w:val="24"/>
          <w:szCs w:val="24"/>
        </w:rPr>
        <w:t>” - левовата равностойност на 100 000 евро.</w:t>
      </w:r>
      <w:r w:rsidR="000933E3">
        <w:rPr>
          <w:rStyle w:val="a8"/>
          <w:rFonts w:ascii="Times New Roman" w:hAnsi="Times New Roman" w:cs="Times New Roman"/>
          <w:color w:val="000000" w:themeColor="text1"/>
          <w:sz w:val="24"/>
          <w:szCs w:val="24"/>
        </w:rPr>
        <w:footnoteReference w:id="18"/>
      </w:r>
      <w:r w:rsidR="009C1ADB" w:rsidRPr="00096F27">
        <w:rPr>
          <w:rFonts w:ascii="Times New Roman" w:hAnsi="Times New Roman" w:cs="Times New Roman"/>
          <w:color w:val="000000" w:themeColor="text1"/>
          <w:sz w:val="24"/>
          <w:szCs w:val="24"/>
        </w:rPr>
        <w:t xml:space="preserve"> </w:t>
      </w:r>
      <w:r w:rsidR="009C1ADB">
        <w:rPr>
          <w:rFonts w:ascii="Times New Roman" w:hAnsi="Times New Roman" w:cs="Times New Roman"/>
          <w:color w:val="000000" w:themeColor="text1"/>
          <w:sz w:val="24"/>
          <w:szCs w:val="24"/>
        </w:rPr>
        <w:t xml:space="preserve"> </w:t>
      </w:r>
      <w:r w:rsidR="009C1ADB" w:rsidRPr="00053ED3">
        <w:rPr>
          <w:rFonts w:ascii="Times New Roman" w:hAnsi="Times New Roman" w:cs="Times New Roman"/>
          <w:sz w:val="24"/>
          <w:szCs w:val="24"/>
        </w:rPr>
        <w:t xml:space="preserve">Съгласно чл.3, пар.4 на Регламент (ЕС) №1407/2013 Помощта de minimis се смята за отпусната </w:t>
      </w:r>
      <w:r w:rsidR="00053ED3" w:rsidRPr="00053ED3">
        <w:rPr>
          <w:rFonts w:ascii="Times New Roman" w:hAnsi="Times New Roman" w:cs="Times New Roman"/>
          <w:sz w:val="24"/>
          <w:szCs w:val="24"/>
        </w:rPr>
        <w:t>от</w:t>
      </w:r>
      <w:r w:rsidR="009C1ADB" w:rsidRPr="00053ED3">
        <w:rPr>
          <w:rFonts w:ascii="Times New Roman" w:hAnsi="Times New Roman" w:cs="Times New Roman"/>
          <w:sz w:val="24"/>
          <w:szCs w:val="24"/>
        </w:rPr>
        <w:t xml:space="preserve"> момента</w:t>
      </w:r>
      <w:r w:rsidR="00053ED3" w:rsidRPr="00053ED3">
        <w:rPr>
          <w:rFonts w:ascii="Times New Roman" w:hAnsi="Times New Roman" w:cs="Times New Roman"/>
          <w:sz w:val="24"/>
          <w:szCs w:val="24"/>
        </w:rPr>
        <w:t xml:space="preserve"> на подписване на договора за предоставяне на безвъзмездна финансова помощ, независимо от датата на плащане на помощта </w:t>
      </w:r>
      <w:r w:rsidR="00053ED3" w:rsidRPr="00053ED3">
        <w:rPr>
          <w:rFonts w:ascii="Times New Roman" w:hAnsi="Times New Roman" w:cs="Times New Roman"/>
          <w:sz w:val="24"/>
          <w:szCs w:val="24"/>
          <w:lang w:val="en-US"/>
        </w:rPr>
        <w:t>de</w:t>
      </w:r>
      <w:r w:rsidR="00053ED3" w:rsidRPr="00096F27">
        <w:rPr>
          <w:rFonts w:ascii="Times New Roman" w:hAnsi="Times New Roman" w:cs="Times New Roman"/>
          <w:sz w:val="24"/>
          <w:szCs w:val="24"/>
        </w:rPr>
        <w:t xml:space="preserve"> </w:t>
      </w:r>
      <w:r w:rsidR="00053ED3" w:rsidRPr="00053ED3">
        <w:rPr>
          <w:rFonts w:ascii="Times New Roman" w:hAnsi="Times New Roman" w:cs="Times New Roman"/>
          <w:sz w:val="24"/>
          <w:szCs w:val="24"/>
          <w:lang w:val="en-US"/>
        </w:rPr>
        <w:t>minimis</w:t>
      </w:r>
      <w:r w:rsidR="00053ED3" w:rsidRPr="00096F27">
        <w:rPr>
          <w:rFonts w:ascii="Times New Roman" w:hAnsi="Times New Roman" w:cs="Times New Roman"/>
          <w:sz w:val="24"/>
          <w:szCs w:val="24"/>
        </w:rPr>
        <w:t>.</w:t>
      </w:r>
      <w:r w:rsidR="00053ED3" w:rsidRPr="00096F27">
        <w:rPr>
          <w:rFonts w:ascii="Times New Roman" w:hAnsi="Times New Roman" w:cs="Times New Roman"/>
          <w:sz w:val="18"/>
          <w:szCs w:val="18"/>
        </w:rPr>
        <w:t xml:space="preserve"> </w:t>
      </w:r>
    </w:p>
    <w:p w14:paraId="1AB1C48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Последствията при неспазване на забраната по т.„1” – отказване на помощта, служебно намаляване на помощта или възстановяване на неправомерно предоставена помощ по реда на </w:t>
      </w:r>
      <w:r w:rsidR="00DE2A45">
        <w:rPr>
          <w:rFonts w:ascii="Times New Roman" w:hAnsi="Times New Roman" w:cs="Times New Roman"/>
          <w:color w:val="000000" w:themeColor="text1"/>
          <w:sz w:val="24"/>
          <w:szCs w:val="24"/>
        </w:rPr>
        <w:t xml:space="preserve">Данъчно-осигурителния процесуален кодекс / </w:t>
      </w:r>
      <w:r w:rsidR="00980E5F">
        <w:rPr>
          <w:rFonts w:ascii="Times New Roman" w:hAnsi="Times New Roman" w:cs="Times New Roman"/>
          <w:color w:val="000000" w:themeColor="text1"/>
          <w:sz w:val="24"/>
          <w:szCs w:val="24"/>
        </w:rPr>
        <w:t xml:space="preserve"> и </w:t>
      </w:r>
      <w:r w:rsidR="003E30A2" w:rsidRPr="00980E5F">
        <w:rPr>
          <w:rFonts w:ascii="Times New Roman" w:hAnsi="Times New Roman" w:cs="Times New Roman"/>
          <w:color w:val="000000" w:themeColor="text1"/>
          <w:sz w:val="24"/>
          <w:szCs w:val="24"/>
        </w:rPr>
        <w:t xml:space="preserve">чл. </w:t>
      </w:r>
      <w:r w:rsidR="003E30A2" w:rsidRPr="00A55D5B">
        <w:rPr>
          <w:rFonts w:ascii="Times New Roman" w:hAnsi="Times New Roman" w:cs="Times New Roman"/>
          <w:color w:val="000000" w:themeColor="text1"/>
          <w:sz w:val="24"/>
          <w:szCs w:val="24"/>
        </w:rPr>
        <w:t>37</w:t>
      </w:r>
      <w:r w:rsidR="003E30A2" w:rsidRPr="00980E5F">
        <w:rPr>
          <w:rFonts w:ascii="Times New Roman" w:hAnsi="Times New Roman" w:cs="Times New Roman"/>
          <w:color w:val="000000" w:themeColor="text1"/>
          <w:sz w:val="24"/>
          <w:szCs w:val="24"/>
        </w:rPr>
        <w:t xml:space="preserve"> от </w:t>
      </w:r>
      <w:r w:rsidRPr="00980E5F">
        <w:rPr>
          <w:rFonts w:ascii="Times New Roman" w:hAnsi="Times New Roman" w:cs="Times New Roman"/>
          <w:color w:val="000000" w:themeColor="text1"/>
          <w:sz w:val="24"/>
          <w:szCs w:val="24"/>
        </w:rPr>
        <w:t>Закона за държавните помощи.</w:t>
      </w:r>
    </w:p>
    <w:p w14:paraId="30CD4A62" w14:textId="7AA79D10"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3. Изискване за представяне от кандидата (при кандидатстване и преди сключване на договора, в случай че кандидатът бъде одобрен и в случай, че е настъпила промяна в декларираните при кандидатстване обстоятелства) на декларация по образец в писмена форма относно получаването на други минимални помощи през двете предшестващи </w:t>
      </w:r>
      <w:r w:rsidR="00AF6A6E">
        <w:rPr>
          <w:rFonts w:ascii="Times New Roman" w:hAnsi="Times New Roman" w:cs="Times New Roman"/>
          <w:color w:val="000000" w:themeColor="text1"/>
          <w:sz w:val="24"/>
          <w:szCs w:val="24"/>
        </w:rPr>
        <w:t>бюджетни</w:t>
      </w:r>
      <w:r w:rsidRPr="000A3DFA">
        <w:rPr>
          <w:rFonts w:ascii="Times New Roman" w:hAnsi="Times New Roman" w:cs="Times New Roman"/>
          <w:color w:val="000000" w:themeColor="text1"/>
          <w:sz w:val="24"/>
          <w:szCs w:val="24"/>
        </w:rPr>
        <w:t xml:space="preserve"> години и през текущата година.</w:t>
      </w:r>
    </w:p>
    <w:p w14:paraId="4EAB5530"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Проекта на административен договор за безвъзмездна финансова помощ, приложение</w:t>
      </w:r>
      <w:r w:rsidR="00D636F2">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към условията за изпълнение, следва задължително да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w:t>
      </w:r>
      <w:r w:rsidRPr="000A3DFA">
        <w:rPr>
          <w:rFonts w:ascii="Times New Roman" w:hAnsi="Times New Roman" w:cs="Times New Roman"/>
          <w:color w:val="000000" w:themeColor="text1"/>
          <w:sz w:val="24"/>
          <w:szCs w:val="24"/>
        </w:rPr>
        <w:lastRenderedPageBreak/>
        <w:t xml:space="preserve">предоставена помощ по реда </w:t>
      </w:r>
      <w:r w:rsidRPr="000A3256">
        <w:rPr>
          <w:rFonts w:ascii="Times New Roman" w:hAnsi="Times New Roman" w:cs="Times New Roman"/>
          <w:color w:val="000000" w:themeColor="text1"/>
          <w:sz w:val="24"/>
          <w:szCs w:val="24"/>
        </w:rPr>
        <w:t>на</w:t>
      </w:r>
      <w:r w:rsidR="000A3256" w:rsidRPr="000A3256">
        <w:rPr>
          <w:rFonts w:ascii="Times New Roman" w:hAnsi="Times New Roman" w:cs="Times New Roman"/>
          <w:color w:val="000000" w:themeColor="text1"/>
          <w:sz w:val="24"/>
          <w:szCs w:val="24"/>
        </w:rPr>
        <w:t xml:space="preserve"> Данъчно</w:t>
      </w:r>
      <w:r w:rsidR="000A3256">
        <w:rPr>
          <w:rFonts w:ascii="Times New Roman" w:hAnsi="Times New Roman" w:cs="Times New Roman"/>
          <w:color w:val="000000" w:themeColor="text1"/>
          <w:sz w:val="24"/>
          <w:szCs w:val="24"/>
        </w:rPr>
        <w:t>-ос</w:t>
      </w:r>
      <w:r w:rsidR="00980E5F">
        <w:rPr>
          <w:rFonts w:ascii="Times New Roman" w:hAnsi="Times New Roman" w:cs="Times New Roman"/>
          <w:color w:val="000000" w:themeColor="text1"/>
          <w:sz w:val="24"/>
          <w:szCs w:val="24"/>
        </w:rPr>
        <w:t xml:space="preserve">игурителния процесуален кодекс  и </w:t>
      </w:r>
      <w:r w:rsidR="003E30A2" w:rsidRPr="00980E5F">
        <w:rPr>
          <w:rFonts w:ascii="Times New Roman" w:hAnsi="Times New Roman" w:cs="Times New Roman"/>
          <w:color w:val="000000" w:themeColor="text1"/>
          <w:sz w:val="24"/>
          <w:szCs w:val="24"/>
        </w:rPr>
        <w:t>чл. 37</w:t>
      </w:r>
      <w:r w:rsidRPr="00980E5F">
        <w:rPr>
          <w:rFonts w:ascii="Times New Roman" w:hAnsi="Times New Roman" w:cs="Times New Roman"/>
          <w:color w:val="000000" w:themeColor="text1"/>
          <w:sz w:val="24"/>
          <w:szCs w:val="24"/>
        </w:rPr>
        <w:t xml:space="preserve"> от Закона за държавните помощи</w:t>
      </w:r>
    </w:p>
    <w:p w14:paraId="1DEFE623" w14:textId="2859BED3"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5. Изисквания при оценка на проектните предложения задължително да се проверява дали предприятията (в рамките на дефиницията за „едно и също предприятие“) са получили други минимални помощи през текущата данъчна година и през двете предшестващи </w:t>
      </w:r>
      <w:r w:rsidR="00AF6A6E">
        <w:rPr>
          <w:rFonts w:ascii="Times New Roman" w:hAnsi="Times New Roman" w:cs="Times New Roman"/>
          <w:color w:val="000000" w:themeColor="text1"/>
          <w:sz w:val="24"/>
          <w:szCs w:val="24"/>
        </w:rPr>
        <w:t>бюджетни</w:t>
      </w:r>
      <w:r w:rsidRPr="000A3DFA">
        <w:rPr>
          <w:rFonts w:ascii="Times New Roman" w:hAnsi="Times New Roman" w:cs="Times New Roman"/>
          <w:color w:val="000000" w:themeColor="text1"/>
          <w:sz w:val="24"/>
          <w:szCs w:val="24"/>
        </w:rPr>
        <w:t xml:space="preserve"> години и дали с настоящата безвъзмездна помощ ще бъде надхвърлен тавана за помощта de minimis.</w:t>
      </w:r>
    </w:p>
    <w:p w14:paraId="175C7C1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Мерките/операциите, включени в стратегиите за местно развитие, които ще се финансират по ОПИК, се изпълняват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публикуван в Официален вестник на ЕС L 352 от 24.12.2013 г.</w:t>
      </w:r>
    </w:p>
    <w:p w14:paraId="52109096" w14:textId="0292E66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2D17D1">
        <w:rPr>
          <w:rFonts w:ascii="Times New Roman" w:hAnsi="Times New Roman" w:cs="Times New Roman"/>
          <w:color w:val="000000" w:themeColor="text1"/>
          <w:sz w:val="24"/>
          <w:szCs w:val="24"/>
        </w:rPr>
        <w:t xml:space="preserve"> автомобилни</w:t>
      </w:r>
      <w:r w:rsidR="002D17D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товарни превози за чужда сметка за период от три бюджетни години.</w:t>
      </w:r>
    </w:p>
    <w:p w14:paraId="6087A05C"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4E1FC96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предприятието кандидат;</w:t>
      </w:r>
    </w:p>
    <w:p w14:paraId="347E6868" w14:textId="77777777" w:rsidR="001D79C3"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предприятията, с които предприятието кандидат образува „едно и също предприятие“ по смисъла на чл. 2, пар. 2 на Регламент (ЕС) № 1407/2013 ;</w:t>
      </w:r>
      <w:r w:rsidR="001D79C3" w:rsidRPr="000A3DFA">
        <w:rPr>
          <w:rFonts w:ascii="Times New Roman" w:hAnsi="Times New Roman" w:cs="Times New Roman"/>
          <w:b/>
          <w:color w:val="000000" w:themeColor="text1"/>
          <w:sz w:val="24"/>
          <w:szCs w:val="24"/>
        </w:rPr>
        <w:t xml:space="preserve">  </w:t>
      </w:r>
    </w:p>
    <w:p w14:paraId="70783E8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50031489"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2137A9CF" w14:textId="72B43010"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проверка на горните обстоятелства МИГ</w:t>
      </w:r>
      <w:r w:rsid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изисква данните за получени минимални помощи да бъдат надлежно посочени от кандидатите в </w:t>
      </w:r>
      <w:r w:rsidRPr="0002305D">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Pr="0002305D">
        <w:rPr>
          <w:rFonts w:ascii="Times New Roman" w:hAnsi="Times New Roman" w:cs="Times New Roman"/>
          <w:color w:val="000000" w:themeColor="text1"/>
          <w:sz w:val="24"/>
          <w:szCs w:val="24"/>
        </w:rPr>
        <w:t>помощи</w:t>
      </w:r>
      <w:r w:rsidR="0002305D" w:rsidRPr="00A55D5B">
        <w:rPr>
          <w:rFonts w:ascii="Times New Roman" w:hAnsi="Times New Roman" w:cs="Times New Roman"/>
          <w:color w:val="000000" w:themeColor="text1"/>
          <w:sz w:val="24"/>
          <w:szCs w:val="24"/>
        </w:rPr>
        <w:t>,</w:t>
      </w:r>
      <w:r w:rsidR="0002305D" w:rsidRPr="00A55D5B">
        <w:rPr>
          <w:rFonts w:ascii="Times New Roman" w:hAnsi="Times New Roman" w:cs="Times New Roman"/>
          <w:b/>
          <w:color w:val="000000" w:themeColor="text1"/>
          <w:sz w:val="24"/>
          <w:szCs w:val="24"/>
        </w:rPr>
        <w:t xml:space="preserve"> </w:t>
      </w:r>
      <w:r w:rsidRPr="000A3DFA">
        <w:rPr>
          <w:rFonts w:ascii="Times New Roman" w:hAnsi="Times New Roman" w:cs="Times New Roman"/>
          <w:color w:val="000000" w:themeColor="text1"/>
          <w:sz w:val="24"/>
          <w:szCs w:val="24"/>
        </w:rPr>
        <w:t xml:space="preserve">попълнена по образец, част от Условията за кандидатстване.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 се представя от кандидатите на етап кандидатстване и преди сключване на Административния договор за безвъзмездна финансова помощ.</w:t>
      </w:r>
    </w:p>
    <w:p w14:paraId="6F7A1C19" w14:textId="3B77E4A8"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Праговете, посочени по-горе не могат да бъдат заобикаляни</w:t>
      </w:r>
      <w:r w:rsidR="00323E0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изкуствено разделяне на проекти със сходни характеристики и бенефициенти. Спазването на праговете освен чрез Декларацията за минимални</w:t>
      </w:r>
      <w:r w:rsidR="006324F4">
        <w:rPr>
          <w:rFonts w:ascii="Times New Roman" w:hAnsi="Times New Roman" w:cs="Times New Roman"/>
          <w:color w:val="000000" w:themeColor="text1"/>
          <w:sz w:val="24"/>
          <w:szCs w:val="24"/>
        </w:rPr>
        <w:t xml:space="preserve"> и държавни</w:t>
      </w:r>
      <w:r w:rsidRPr="000A3DFA">
        <w:rPr>
          <w:rFonts w:ascii="Times New Roman" w:hAnsi="Times New Roman" w:cs="Times New Roman"/>
          <w:color w:val="000000" w:themeColor="text1"/>
          <w:sz w:val="24"/>
          <w:szCs w:val="24"/>
        </w:rPr>
        <w:t xml:space="preserve"> помощи ще бъде проверявано и чрез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(ИСУН 2020) и Търговския регистър</w:t>
      </w:r>
      <w:r w:rsidR="000F7F5B">
        <w:rPr>
          <w:rFonts w:ascii="Times New Roman" w:hAnsi="Times New Roman" w:cs="Times New Roman"/>
          <w:color w:val="000000" w:themeColor="text1"/>
          <w:sz w:val="24"/>
          <w:szCs w:val="24"/>
        </w:rPr>
        <w:t xml:space="preserve"> и регистъра на ЮЛНЦ</w:t>
      </w:r>
      <w:r w:rsidRPr="000A3DFA">
        <w:rPr>
          <w:rFonts w:ascii="Times New Roman" w:hAnsi="Times New Roman" w:cs="Times New Roman"/>
          <w:color w:val="000000" w:themeColor="text1"/>
          <w:sz w:val="24"/>
          <w:szCs w:val="24"/>
        </w:rPr>
        <w:t>.</w:t>
      </w:r>
    </w:p>
    <w:p w14:paraId="3A94EA3C" w14:textId="77777777" w:rsidR="003E6CCF"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При определяне дали е спазен максимално допустимият размер и съответно интензитет на помощта се взема предвид общия размер на получената минимална помощ за подпомаганата дейност, проект или предприятие, независимо от това дали тази подкрепа е финансирана от местни, регионални, национални или общностни финансови инструменти.</w:t>
      </w:r>
      <w:r w:rsidR="00A9355E" w:rsidRPr="000A3DFA">
        <w:rPr>
          <w:color w:val="000000" w:themeColor="text1"/>
          <w:sz w:val="23"/>
          <w:szCs w:val="23"/>
        </w:rPr>
        <w:t xml:space="preserve"> </w:t>
      </w:r>
      <w:r w:rsidR="00A9355E" w:rsidRPr="000A3DFA">
        <w:rPr>
          <w:rFonts w:ascii="Times New Roman" w:hAnsi="Times New Roman" w:cs="Times New Roman"/>
          <w:color w:val="000000" w:themeColor="text1"/>
          <w:sz w:val="24"/>
          <w:szCs w:val="24"/>
        </w:rPr>
        <w:t>Допълнително,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DEAE313" w14:textId="27B99A85" w:rsidR="00302260"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административния договор за предоставяне на безвъзмездна финансова помощ, Управляващият орган ще извършва документална проверка на декларираните данни от одобрените кандидати в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w:t>
      </w:r>
    </w:p>
    <w:p w14:paraId="37164398" w14:textId="04386457"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Администраторът на помощ информира министъра на финансите в срок до три дни от предоставянето на всяка помощ, попадаща в обхвата на минимална помощ</w:t>
      </w:r>
      <w:r w:rsidR="0072784B">
        <w:rPr>
          <w:rFonts w:ascii="Times New Roman" w:hAnsi="Times New Roman" w:cs="Times New Roman"/>
          <w:color w:val="000000" w:themeColor="text1"/>
          <w:sz w:val="24"/>
          <w:szCs w:val="24"/>
        </w:rPr>
        <w:t>, чрез въвеждането на информацията в Информационната система „Регистър на минималните помощи“</w:t>
      </w:r>
      <w:r w:rsidRPr="000A3DFA">
        <w:rPr>
          <w:rFonts w:ascii="Times New Roman" w:hAnsi="Times New Roman" w:cs="Times New Roman"/>
          <w:color w:val="000000" w:themeColor="text1"/>
          <w:sz w:val="24"/>
          <w:szCs w:val="24"/>
        </w:rPr>
        <w:t>.</w:t>
      </w:r>
      <w:r w:rsidR="0006283D" w:rsidRPr="0006283D">
        <w:t xml:space="preserve"> </w:t>
      </w:r>
      <w:r w:rsidR="0006283D" w:rsidRPr="0006283D">
        <w:rPr>
          <w:rFonts w:ascii="Times New Roman" w:hAnsi="Times New Roman" w:cs="Times New Roman"/>
          <w:color w:val="000000" w:themeColor="text1"/>
          <w:sz w:val="24"/>
          <w:szCs w:val="24"/>
        </w:rPr>
        <w:t>Администратор на помощта е УО на ОПИК.</w:t>
      </w:r>
    </w:p>
    <w:p w14:paraId="6C2BE313" w14:textId="7C9FCB7B"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Натрупването в рамките на едно и също предприятие (определените тавани на помощта) съгласно разпоредбите на чл. 3, ал. 5-6 на Регламент (ЕС) № 1407/2013 се контролира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ЕС. Периодът от три бюджетни години се определя съгласно националните правила.</w:t>
      </w:r>
      <w:r w:rsidR="003059EE">
        <w:rPr>
          <w:rStyle w:val="a8"/>
          <w:rFonts w:ascii="Times New Roman" w:hAnsi="Times New Roman" w:cs="Times New Roman"/>
          <w:color w:val="000000" w:themeColor="text1"/>
          <w:sz w:val="24"/>
          <w:szCs w:val="24"/>
        </w:rPr>
        <w:footnoteReference w:id="19"/>
      </w:r>
      <w:r w:rsidRPr="000A3DFA">
        <w:rPr>
          <w:rFonts w:ascii="Times New Roman" w:hAnsi="Times New Roman" w:cs="Times New Roman"/>
          <w:color w:val="000000" w:themeColor="text1"/>
          <w:sz w:val="24"/>
          <w:szCs w:val="24"/>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6AB34D54" w14:textId="7777777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Контролирането на натрупването в рамките на едно и също предприятие съгласно разпоредбите на чл. 5 на Регламент (ЕС) № 1407/2013 ще се извършва при спазване на следните условия:</w:t>
      </w:r>
    </w:p>
    <w:p w14:paraId="7BAA9269" w14:textId="6C2C9E2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дадено предприятие извършва дейност в сектора на рибарството и аквакултурите, както и в един или повече от секторите или извършва други дейности, попадащи в приложното поле на Регламент (ЕС) № 1407/2013</w:t>
      </w:r>
      <w:r w:rsidR="00DF0152">
        <w:rPr>
          <w:rStyle w:val="a8"/>
          <w:rFonts w:ascii="Times New Roman" w:hAnsi="Times New Roman" w:cs="Times New Roman"/>
          <w:color w:val="000000" w:themeColor="text1"/>
          <w:sz w:val="24"/>
          <w:szCs w:val="24"/>
        </w:rPr>
        <w:footnoteReference w:id="20"/>
      </w:r>
      <w:r w:rsidRPr="000A3DFA">
        <w:rPr>
          <w:rFonts w:ascii="Times New Roman" w:hAnsi="Times New Roman" w:cs="Times New Roman"/>
          <w:color w:val="000000" w:themeColor="text1"/>
          <w:sz w:val="24"/>
          <w:szCs w:val="24"/>
        </w:rPr>
        <w:t>, помощта de minimis,</w:t>
      </w:r>
      <w:r w:rsidRPr="000A3DFA">
        <w:rPr>
          <w:color w:val="000000" w:themeColor="text1"/>
        </w:rPr>
        <w:t xml:space="preserve"> </w:t>
      </w:r>
      <w:r w:rsidRPr="000A3DFA">
        <w:rPr>
          <w:rFonts w:ascii="Times New Roman" w:hAnsi="Times New Roman" w:cs="Times New Roman"/>
          <w:color w:val="000000" w:themeColor="text1"/>
          <w:sz w:val="24"/>
          <w:szCs w:val="24"/>
        </w:rPr>
        <w:t xml:space="preserve">отпусната за дейности в сектора на рибарството и аквакултурите </w:t>
      </w:r>
      <w:r w:rsidR="005B4F08">
        <w:rPr>
          <w:rFonts w:ascii="Times New Roman" w:hAnsi="Times New Roman" w:cs="Times New Roman"/>
          <w:color w:val="000000" w:themeColor="text1"/>
          <w:sz w:val="24"/>
          <w:szCs w:val="24"/>
        </w:rPr>
        <w:t xml:space="preserve">съгласно </w:t>
      </w:r>
      <w:r w:rsidR="005B4F08" w:rsidRPr="000A3DFA">
        <w:rPr>
          <w:rFonts w:ascii="Times New Roman" w:hAnsi="Times New Roman" w:cs="Times New Roman"/>
          <w:color w:val="000000" w:themeColor="text1"/>
          <w:sz w:val="24"/>
          <w:szCs w:val="24"/>
        </w:rPr>
        <w:t xml:space="preserve">Регламент (ЕС) № </w:t>
      </w:r>
      <w:r w:rsidR="005B4F08">
        <w:rPr>
          <w:rFonts w:ascii="Times New Roman" w:hAnsi="Times New Roman" w:cs="Times New Roman"/>
          <w:color w:val="000000" w:themeColor="text1"/>
          <w:sz w:val="24"/>
          <w:szCs w:val="24"/>
        </w:rPr>
        <w:t>717</w:t>
      </w:r>
      <w:r w:rsidR="005B4F08" w:rsidRPr="000A3DFA">
        <w:rPr>
          <w:rFonts w:ascii="Times New Roman" w:hAnsi="Times New Roman" w:cs="Times New Roman"/>
          <w:color w:val="000000" w:themeColor="text1"/>
          <w:sz w:val="24"/>
          <w:szCs w:val="24"/>
        </w:rPr>
        <w:t>/201</w:t>
      </w:r>
      <w:r w:rsidR="005B4F08">
        <w:rPr>
          <w:rFonts w:ascii="Times New Roman" w:hAnsi="Times New Roman" w:cs="Times New Roman"/>
          <w:color w:val="000000" w:themeColor="text1"/>
          <w:sz w:val="24"/>
          <w:szCs w:val="24"/>
        </w:rPr>
        <w:t xml:space="preserve">4 </w:t>
      </w:r>
      <w:r w:rsidRPr="000A3DFA">
        <w:rPr>
          <w:rFonts w:ascii="Times New Roman" w:hAnsi="Times New Roman" w:cs="Times New Roman"/>
          <w:color w:val="000000" w:themeColor="text1"/>
          <w:sz w:val="24"/>
          <w:szCs w:val="24"/>
        </w:rPr>
        <w:t xml:space="preserve">може да се кумулира с помощ de minimis, предоставена за последния посочен </w:t>
      </w:r>
      <w:r w:rsidRPr="000A3DFA">
        <w:rPr>
          <w:rFonts w:ascii="Times New Roman" w:hAnsi="Times New Roman" w:cs="Times New Roman"/>
          <w:color w:val="000000" w:themeColor="text1"/>
          <w:sz w:val="24"/>
          <w:szCs w:val="24"/>
        </w:rPr>
        <w:lastRenderedPageBreak/>
        <w:t>сектор/последните посочени сектори или дейности до съответния таван, определен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на рибарството и аквакултурите не се ползват от помощи de minimis, предоставени в съответствие с Регламент (ЕС) № 1407/2013.</w:t>
      </w:r>
    </w:p>
    <w:p w14:paraId="622D6F4E" w14:textId="03696C16" w:rsidR="00BA70FC"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предприятие участва в сектора на рибарството и аквакултурите, както и в първичното производство на селскостопански продукти, помощта de minimis, предоставена съгласно Регламент (ЕС) № 1408/2013, може да се кумулира с помощ de minimis, предоставена в сектора на рибарството и аквакултурите </w:t>
      </w:r>
      <w:r w:rsidR="009C45C8" w:rsidRPr="00BA70FC">
        <w:rPr>
          <w:rFonts w:ascii="Times New Roman" w:hAnsi="Times New Roman" w:cs="Times New Roman"/>
          <w:color w:val="000000" w:themeColor="text1"/>
          <w:sz w:val="24"/>
          <w:szCs w:val="24"/>
        </w:rPr>
        <w:t xml:space="preserve">съгласно 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 xml:space="preserve">4, </w:t>
      </w:r>
      <w:r w:rsidRPr="000A3DFA">
        <w:rPr>
          <w:rFonts w:ascii="Times New Roman" w:hAnsi="Times New Roman" w:cs="Times New Roman"/>
          <w:color w:val="000000" w:themeColor="text1"/>
          <w:sz w:val="24"/>
          <w:szCs w:val="24"/>
        </w:rPr>
        <w:t xml:space="preserve">до тавана, определен в </w:t>
      </w:r>
      <w:r w:rsidR="009C45C8" w:rsidRPr="00BA70FC">
        <w:rPr>
          <w:rFonts w:ascii="Times New Roman" w:hAnsi="Times New Roman" w:cs="Times New Roman"/>
          <w:color w:val="000000" w:themeColor="text1"/>
          <w:sz w:val="24"/>
          <w:szCs w:val="24"/>
        </w:rPr>
        <w:t xml:space="preserve">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при условие че се гарантира посредством подходящи средства, като например разделение/демаркация на дейностите или разграничаване на разходите, че първичното производство на селскостопански продукти не се ползва от помощ de minimis, предоставяна при условията на </w:t>
      </w:r>
      <w:r w:rsidR="009C45C8" w:rsidRPr="00BA70FC">
        <w:rPr>
          <w:rFonts w:ascii="Times New Roman" w:hAnsi="Times New Roman" w:cs="Times New Roman"/>
          <w:color w:val="000000" w:themeColor="text1"/>
          <w:sz w:val="24"/>
          <w:szCs w:val="24"/>
        </w:rPr>
        <w:t xml:space="preserve">Регламент № </w:t>
      </w:r>
      <w:r w:rsidR="009C45C8">
        <w:rPr>
          <w:rFonts w:ascii="Times New Roman" w:hAnsi="Times New Roman" w:cs="Times New Roman"/>
          <w:color w:val="000000" w:themeColor="text1"/>
          <w:sz w:val="24"/>
          <w:szCs w:val="24"/>
        </w:rPr>
        <w:t>717</w:t>
      </w:r>
      <w:r w:rsidR="009C45C8" w:rsidRPr="00BA70FC">
        <w:rPr>
          <w:rFonts w:ascii="Times New Roman" w:hAnsi="Times New Roman" w:cs="Times New Roman"/>
          <w:color w:val="000000" w:themeColor="text1"/>
          <w:sz w:val="24"/>
          <w:szCs w:val="24"/>
        </w:rPr>
        <w:t>/201</w:t>
      </w:r>
      <w:r w:rsidR="009C45C8">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w:t>
      </w:r>
      <w:r w:rsidR="00BA70FC" w:rsidRPr="00BA70FC">
        <w:rPr>
          <w:rFonts w:ascii="Times New Roman" w:hAnsi="Times New Roman" w:cs="Times New Roman"/>
          <w:color w:val="000000" w:themeColor="text1"/>
          <w:sz w:val="24"/>
          <w:szCs w:val="24"/>
        </w:rPr>
        <w:t xml:space="preserve"> </w:t>
      </w:r>
      <w:r w:rsidR="009C45C8">
        <w:rPr>
          <w:rFonts w:ascii="Times New Roman" w:hAnsi="Times New Roman" w:cs="Times New Roman"/>
          <w:color w:val="000000" w:themeColor="text1"/>
          <w:sz w:val="24"/>
          <w:szCs w:val="24"/>
        </w:rPr>
        <w:t xml:space="preserve"> </w:t>
      </w:r>
    </w:p>
    <w:p w14:paraId="59BFD2DC" w14:textId="1FE24B29"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70FC">
        <w:rPr>
          <w:rFonts w:ascii="Times New Roman" w:hAnsi="Times New Roman" w:cs="Times New Roman"/>
          <w:color w:val="000000" w:themeColor="text1"/>
          <w:sz w:val="24"/>
          <w:szCs w:val="24"/>
        </w:rPr>
        <w:t xml:space="preserve"> Когато дадено предприятие извършва дейност в селскостопанския сектор съгласно Регламент (ЕС) № 140</w:t>
      </w:r>
      <w:r w:rsidR="009C45C8">
        <w:rPr>
          <w:rFonts w:ascii="Times New Roman" w:hAnsi="Times New Roman" w:cs="Times New Roman"/>
          <w:color w:val="000000" w:themeColor="text1"/>
          <w:sz w:val="24"/>
          <w:szCs w:val="24"/>
        </w:rPr>
        <w:t>8</w:t>
      </w:r>
      <w:r w:rsidRPr="00BA70FC">
        <w:rPr>
          <w:rFonts w:ascii="Times New Roman" w:hAnsi="Times New Roman" w:cs="Times New Roman"/>
          <w:color w:val="000000" w:themeColor="text1"/>
          <w:sz w:val="24"/>
          <w:szCs w:val="24"/>
        </w:rPr>
        <w:t>/2013, както и в един или повече от секторите, попадащи в приложното поле на Регламент (ЕС) № 1407/2013, помощта de minimis, отпусната за дейности в селскостопанския сектор може да се кумулира с помощ de minimis, предоставена по Регламент (ЕС) № 1407/2013 до съответния таван, определен в член 3, параграф 2 от Регламента, при условие, че се гарантира чрез подходящи средства – чрез разделение/демаркация на дейностите или разграничаване на разходите, че извършваните дейности в селскостопанския сектор не се ползват от помощи de minimis, предоставени в съответствие с Регламент (ЕС) № 1407/2013.</w:t>
      </w:r>
      <w:r w:rsidR="009C45C8">
        <w:rPr>
          <w:rFonts w:ascii="Times New Roman" w:hAnsi="Times New Roman" w:cs="Times New Roman"/>
          <w:color w:val="000000" w:themeColor="text1"/>
          <w:sz w:val="24"/>
          <w:szCs w:val="24"/>
        </w:rPr>
        <w:t xml:space="preserve"> </w:t>
      </w:r>
    </w:p>
    <w:p w14:paraId="0B509242" w14:textId="77777777" w:rsidR="00125113"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DB6E586" w14:textId="77777777" w:rsid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xml:space="preserve">- </w:t>
      </w:r>
      <w:bookmarkStart w:id="25" w:name="_Hlk48901390"/>
      <w:r w:rsidRPr="00125113">
        <w:rPr>
          <w:rFonts w:ascii="Times New Roman" w:hAnsi="Times New Roman" w:cs="Times New Roman"/>
          <w:color w:val="000000" w:themeColor="text1"/>
          <w:sz w:val="24"/>
          <w:szCs w:val="24"/>
        </w:rPr>
        <w:t>че освен получените до момента минимални помощи, ще се следи и за получените до момента държавни помощи за същите допустими разходи, с цел ненарушаването на условието на чл. 5, пар. 2 на Регламент (ЕС) № 1407/2013.</w:t>
      </w:r>
      <w:bookmarkEnd w:id="25"/>
    </w:p>
    <w:p w14:paraId="055A8A2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5C9022D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2D07B1DD" w14:textId="77777777" w:rsidR="00125113" w:rsidRPr="000A3DFA"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C32D13D" w14:textId="1280B7FB"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355E" w:rsidRPr="000A3DFA">
        <w:rPr>
          <w:rFonts w:ascii="Times New Roman" w:hAnsi="Times New Roman" w:cs="Times New Roman"/>
          <w:color w:val="000000" w:themeColor="text1"/>
          <w:sz w:val="24"/>
          <w:szCs w:val="24"/>
        </w:rPr>
        <w:t xml:space="preserve">В изпълнение на разпоредбите на чл. 6, ал. 4-5 на Регламент (ЕС) № 1407/2013 се документира и събира цялата информация относно прилагането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Съставените документи съдържат цялата информация, която е необходима, за да се докаже, че са спазени условията по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Документацията относно индивидуалните помощи de minimis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считано от датата на </w:t>
      </w:r>
      <w:r w:rsidR="00A9355E" w:rsidRPr="000A3DFA">
        <w:rPr>
          <w:rFonts w:ascii="Times New Roman" w:hAnsi="Times New Roman" w:cs="Times New Roman"/>
          <w:color w:val="000000" w:themeColor="text1"/>
          <w:sz w:val="24"/>
          <w:szCs w:val="24"/>
        </w:rPr>
        <w:lastRenderedPageBreak/>
        <w:t xml:space="preserve">тяхното предоставяне. Документацията относно схемите за помощ de minimis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от датата, на която е предоставена последната индивидуална помощ по такава схема. По писмено искане съответната държава членка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по </w:t>
      </w:r>
      <w:r w:rsidR="00636A6D">
        <w:rPr>
          <w:rFonts w:ascii="Times New Roman" w:hAnsi="Times New Roman" w:cs="Times New Roman"/>
          <w:color w:val="000000" w:themeColor="text1"/>
          <w:sz w:val="24"/>
          <w:szCs w:val="24"/>
        </w:rPr>
        <w:t>Р</w:t>
      </w:r>
      <w:r w:rsidR="004000A8">
        <w:rPr>
          <w:rFonts w:ascii="Times New Roman" w:hAnsi="Times New Roman" w:cs="Times New Roman"/>
          <w:color w:val="000000" w:themeColor="text1"/>
          <w:sz w:val="24"/>
          <w:szCs w:val="24"/>
        </w:rPr>
        <w:t>егламента</w:t>
      </w:r>
      <w:r w:rsidR="00A9355E" w:rsidRPr="000A3DFA">
        <w:rPr>
          <w:rFonts w:ascii="Times New Roman" w:hAnsi="Times New Roman" w:cs="Times New Roman"/>
          <w:color w:val="000000" w:themeColor="text1"/>
          <w:sz w:val="24"/>
          <w:szCs w:val="24"/>
        </w:rPr>
        <w:t xml:space="preserve">, и по-специално относно общия размер на помощта de minimis по смисъла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и на други регламенти за помощ de minimis, получена от всяко предприятие.</w:t>
      </w:r>
      <w:r w:rsidR="00A00F71">
        <w:rPr>
          <w:rFonts w:ascii="Times New Roman" w:hAnsi="Times New Roman" w:cs="Times New Roman"/>
          <w:color w:val="000000" w:themeColor="text1"/>
          <w:sz w:val="24"/>
          <w:szCs w:val="24"/>
        </w:rPr>
        <w:t xml:space="preserve"> </w:t>
      </w:r>
    </w:p>
    <w:p w14:paraId="2AC866C2" w14:textId="5ACA70FD" w:rsidR="00A00F71" w:rsidRDefault="00B84A9B"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84A9B">
        <w:rPr>
          <w:rFonts w:ascii="Times New Roman" w:hAnsi="Times New Roman" w:cs="Times New Roman"/>
          <w:color w:val="000000" w:themeColor="text1"/>
          <w:sz w:val="24"/>
          <w:szCs w:val="24"/>
        </w:rPr>
        <w:t>Администратор на минимална помощ е УО на ОПИК.</w:t>
      </w:r>
    </w:p>
    <w:p w14:paraId="235D74A7" w14:textId="4DC5F0AA" w:rsidR="00A00F71" w:rsidRPr="00A00F71" w:rsidRDefault="00A00F71"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sz w:val="24"/>
          <w:szCs w:val="24"/>
        </w:rPr>
      </w:pPr>
      <w:r w:rsidRPr="00A00F71">
        <w:rPr>
          <w:rFonts w:ascii="Times New Roman" w:hAnsi="Times New Roman" w:cs="Times New Roman"/>
          <w:b/>
          <w:bCs/>
          <w:color w:val="000000" w:themeColor="text1"/>
          <w:sz w:val="24"/>
          <w:szCs w:val="24"/>
        </w:rPr>
        <w:t xml:space="preserve">ВАЖНО! </w:t>
      </w:r>
      <w:r>
        <w:rPr>
          <w:rFonts w:ascii="Times New Roman" w:hAnsi="Times New Roman" w:cs="Times New Roman"/>
          <w:b/>
          <w:bCs/>
          <w:color w:val="000000" w:themeColor="text1"/>
          <w:sz w:val="24"/>
          <w:szCs w:val="24"/>
        </w:rPr>
        <w:t>Администраторът на помощта ще прилага подходящи контролни механизми, така че да се гарантира изпълнението на всички условия на Регламента.</w:t>
      </w:r>
    </w:p>
    <w:p w14:paraId="37D82B63" w14:textId="77777777" w:rsidR="00C82FC1" w:rsidRPr="00C82FC1" w:rsidRDefault="00C82FC1"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82FC1">
        <w:rPr>
          <w:rFonts w:ascii="Times New Roman" w:hAnsi="Times New Roman" w:cs="Times New Roman"/>
          <w:sz w:val="24"/>
          <w:szCs w:val="24"/>
        </w:rPr>
        <w:t xml:space="preserve">Възстановяването на неправомерно предоставена минимална помощ, която представлява публично вземане, се извършва по реда на </w:t>
      </w:r>
      <w:r w:rsidR="007A154D">
        <w:rPr>
          <w:rFonts w:ascii="Times New Roman" w:hAnsi="Times New Roman" w:cs="Times New Roman"/>
          <w:sz w:val="24"/>
          <w:szCs w:val="24"/>
        </w:rPr>
        <w:t xml:space="preserve">чл. </w:t>
      </w:r>
      <w:r w:rsidR="0006283D" w:rsidRPr="0006283D">
        <w:rPr>
          <w:rFonts w:ascii="Times New Roman" w:hAnsi="Times New Roman" w:cs="Times New Roman"/>
          <w:sz w:val="24"/>
          <w:szCs w:val="24"/>
        </w:rPr>
        <w:t>37 на Закона за държавните помощи</w:t>
      </w:r>
      <w:r w:rsidRPr="00C82FC1">
        <w:rPr>
          <w:rFonts w:ascii="Times New Roman" w:hAnsi="Times New Roman" w:cs="Times New Roman"/>
          <w:sz w:val="24"/>
          <w:szCs w:val="24"/>
        </w:rPr>
        <w:t>.</w:t>
      </w:r>
    </w:p>
    <w:p w14:paraId="7B054582" w14:textId="0080B58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публикуване от МИГ</w:t>
      </w:r>
      <w:r w:rsidR="008C55DC">
        <w:rPr>
          <w:rFonts w:ascii="Times New Roman" w:hAnsi="Times New Roman" w:cs="Times New Roman"/>
          <w:color w:val="000000" w:themeColor="text1"/>
          <w:sz w:val="24"/>
          <w:szCs w:val="24"/>
        </w:rPr>
        <w:t xml:space="preserve"> </w:t>
      </w:r>
      <w:r w:rsidR="008C55DC" w:rsidRPr="008C55DC">
        <w:rPr>
          <w:rFonts w:ascii="Times New Roman" w:hAnsi="Times New Roman" w:cs="Times New Roman"/>
          <w:color w:val="000000" w:themeColor="text1"/>
          <w:sz w:val="24"/>
          <w:szCs w:val="24"/>
        </w:rPr>
        <w:t>„</w:t>
      </w:r>
      <w:r w:rsidR="00A53448">
        <w:rPr>
          <w:rFonts w:ascii="Times New Roman" w:hAnsi="Times New Roman" w:cs="Times New Roman"/>
          <w:color w:val="000000" w:themeColor="text1"/>
          <w:sz w:val="24"/>
          <w:szCs w:val="24"/>
        </w:rPr>
        <w:t>Свиленград ареал</w:t>
      </w:r>
      <w:r w:rsidR="008C55DC" w:rsidRPr="008C55DC">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на Условията за кандидатстване не са допустими изменения, които могат да повлияят на съответствието на процедурата с изискванията на Регламент на Комисията (ЕС) № 1407/2013.</w:t>
      </w:r>
    </w:p>
    <w:p w14:paraId="1448968C" w14:textId="77777777" w:rsidR="00302260" w:rsidRPr="004524A5" w:rsidRDefault="00302260"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B0F0"/>
          <w:sz w:val="24"/>
          <w:szCs w:val="24"/>
        </w:rPr>
      </w:pPr>
      <w:r w:rsidRPr="000A3DFA">
        <w:rPr>
          <w:rFonts w:ascii="Times New Roman" w:hAnsi="Times New Roman" w:cs="Times New Roman"/>
          <w:color w:val="000000" w:themeColor="text1"/>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w:t>
      </w:r>
      <w:r w:rsidR="00173CA2" w:rsidRPr="000A3DFA">
        <w:rPr>
          <w:rFonts w:ascii="Times New Roman" w:hAnsi="Times New Roman" w:cs="Times New Roman"/>
          <w:color w:val="000000" w:themeColor="text1"/>
          <w:sz w:val="24"/>
          <w:szCs w:val="24"/>
        </w:rPr>
        <w:t xml:space="preserve">та на Министерство на финансите </w:t>
      </w:r>
      <w:r w:rsidRPr="008A6B49">
        <w:rPr>
          <w:rFonts w:ascii="Times New Roman" w:hAnsi="Times New Roman" w:cs="Times New Roman"/>
          <w:color w:val="00B0F0"/>
          <w:sz w:val="24"/>
          <w:szCs w:val="24"/>
        </w:rPr>
        <w:t>http://stateaid.minfin.bg/</w:t>
      </w:r>
      <w:r w:rsidR="008A6B49">
        <w:rPr>
          <w:rFonts w:ascii="Times New Roman" w:hAnsi="Times New Roman" w:cs="Times New Roman"/>
          <w:color w:val="00B0F0"/>
          <w:sz w:val="24"/>
          <w:szCs w:val="24"/>
        </w:rPr>
        <w:t>.</w:t>
      </w:r>
    </w:p>
    <w:p w14:paraId="3FC43853" w14:textId="77777777" w:rsidR="001D79C3" w:rsidRPr="004770DA" w:rsidRDefault="001D79C3" w:rsidP="004524A5">
      <w:pPr>
        <w:pStyle w:val="1"/>
      </w:pPr>
      <w:bookmarkStart w:id="26" w:name="_Toc494709523"/>
      <w:r w:rsidRPr="004770DA">
        <w:t>17.</w:t>
      </w:r>
      <w:r w:rsidR="008D1FB2" w:rsidRPr="004770DA">
        <w:t xml:space="preserve"> </w:t>
      </w:r>
      <w:r w:rsidRPr="004770DA">
        <w:t>Хоризонтални политики:</w:t>
      </w:r>
      <w:bookmarkEnd w:id="26"/>
    </w:p>
    <w:p w14:paraId="65B19C38" w14:textId="77777777" w:rsidR="003568A8" w:rsidRPr="000A3DFA" w:rsidRDefault="003215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w:t>
      </w:r>
      <w:r w:rsidR="00522BE3" w:rsidRPr="000A3DFA">
        <w:rPr>
          <w:rFonts w:ascii="Times New Roman" w:hAnsi="Times New Roman" w:cs="Times New Roman"/>
          <w:color w:val="000000" w:themeColor="text1"/>
          <w:sz w:val="24"/>
          <w:szCs w:val="24"/>
        </w:rPr>
        <w:t xml:space="preserve">о настоящата процедура следва да </w:t>
      </w:r>
      <w:r w:rsidRPr="000A3DFA">
        <w:rPr>
          <w:rFonts w:ascii="Times New Roman" w:hAnsi="Times New Roman" w:cs="Times New Roman"/>
          <w:color w:val="000000" w:themeColor="text1"/>
          <w:sz w:val="24"/>
          <w:szCs w:val="24"/>
        </w:rPr>
        <w:t>е налице съответствие на проектните предложения с</w:t>
      </w:r>
      <w:r w:rsidR="0006283D">
        <w:rPr>
          <w:rFonts w:ascii="Times New Roman" w:hAnsi="Times New Roman" w:cs="Times New Roman"/>
          <w:color w:val="000000" w:themeColor="text1"/>
          <w:sz w:val="24"/>
          <w:szCs w:val="24"/>
        </w:rPr>
        <w:t>ъс</w:t>
      </w:r>
      <w:r w:rsidRPr="000A3DFA">
        <w:rPr>
          <w:rFonts w:ascii="Times New Roman" w:hAnsi="Times New Roman" w:cs="Times New Roman"/>
          <w:color w:val="000000" w:themeColor="text1"/>
          <w:sz w:val="24"/>
          <w:szCs w:val="24"/>
        </w:rPr>
        <w:t xml:space="preserve"> </w:t>
      </w:r>
      <w:r w:rsidR="000B0A30" w:rsidRPr="000A3DFA">
        <w:rPr>
          <w:rFonts w:ascii="Times New Roman" w:hAnsi="Times New Roman" w:cs="Times New Roman"/>
          <w:color w:val="000000" w:themeColor="text1"/>
          <w:sz w:val="24"/>
          <w:szCs w:val="24"/>
        </w:rPr>
        <w:t>следните принцип</w:t>
      </w:r>
      <w:r w:rsidR="006B6465" w:rsidRPr="000A3DFA">
        <w:rPr>
          <w:rFonts w:ascii="Times New Roman" w:hAnsi="Times New Roman" w:cs="Times New Roman"/>
          <w:color w:val="000000" w:themeColor="text1"/>
          <w:sz w:val="24"/>
          <w:szCs w:val="24"/>
        </w:rPr>
        <w:t>и</w:t>
      </w:r>
      <w:r w:rsidR="000B0A30" w:rsidRPr="000A3DFA">
        <w:rPr>
          <w:rFonts w:ascii="Times New Roman" w:hAnsi="Times New Roman" w:cs="Times New Roman"/>
          <w:color w:val="000000" w:themeColor="text1"/>
          <w:sz w:val="24"/>
          <w:szCs w:val="24"/>
        </w:rPr>
        <w:t xml:space="preserve"> на </w:t>
      </w:r>
      <w:r w:rsidRPr="000A3DFA">
        <w:rPr>
          <w:rFonts w:ascii="Times New Roman" w:hAnsi="Times New Roman" w:cs="Times New Roman"/>
          <w:color w:val="000000" w:themeColor="text1"/>
          <w:sz w:val="24"/>
          <w:szCs w:val="24"/>
        </w:rPr>
        <w:t>хоризонталните политики на ЕС</w:t>
      </w:r>
      <w:r w:rsidR="00F3570C" w:rsidRPr="000A3DFA">
        <w:rPr>
          <w:rFonts w:ascii="Times New Roman" w:hAnsi="Times New Roman" w:cs="Times New Roman"/>
          <w:color w:val="000000" w:themeColor="text1"/>
          <w:sz w:val="24"/>
          <w:szCs w:val="24"/>
        </w:rPr>
        <w:t>:</w:t>
      </w:r>
    </w:p>
    <w:p w14:paraId="69C308E7" w14:textId="77777777" w:rsidR="008A1195"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175F55"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равнопоставеност и недопускане на дискриминация</w:t>
      </w:r>
      <w:r w:rsidRPr="000A3DFA">
        <w:rPr>
          <w:rFonts w:ascii="Times New Roman" w:hAnsi="Times New Roman" w:cs="Times New Roman"/>
          <w:color w:val="000000" w:themeColor="text1"/>
          <w:sz w:val="24"/>
          <w:szCs w:val="24"/>
        </w:rPr>
        <w:t xml:space="preserve"> - насърчаване на равните възможности за всички, включително възможностите за достъп за хора с увреждания чрез интегрирането</w:t>
      </w:r>
      <w:r w:rsidR="00175F55" w:rsidRPr="000A3DFA">
        <w:rPr>
          <w:rFonts w:ascii="Times New Roman" w:hAnsi="Times New Roman" w:cs="Times New Roman"/>
          <w:color w:val="000000" w:themeColor="text1"/>
          <w:sz w:val="24"/>
          <w:szCs w:val="24"/>
        </w:rPr>
        <w:t xml:space="preserve"> на принципа на недискриминация. </w:t>
      </w:r>
      <w:r w:rsidR="008A1195" w:rsidRPr="000A3DFA">
        <w:rPr>
          <w:rFonts w:ascii="Times New Roman" w:hAnsi="Times New Roman" w:cs="Times New Roman"/>
          <w:color w:val="000000" w:themeColor="text1"/>
          <w:sz w:val="24"/>
          <w:szCs w:val="24"/>
        </w:rPr>
        <w:t xml:space="preserve">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w:t>
      </w:r>
      <w:r w:rsidR="00021A5F">
        <w:rPr>
          <w:rFonts w:ascii="Times New Roman" w:hAnsi="Times New Roman" w:cs="Times New Roman"/>
          <w:color w:val="000000" w:themeColor="text1"/>
          <w:sz w:val="24"/>
          <w:szCs w:val="24"/>
        </w:rPr>
        <w:t>Условията за кандидатстване</w:t>
      </w:r>
      <w:r w:rsidR="008A1195" w:rsidRPr="000A3DFA">
        <w:rPr>
          <w:rFonts w:ascii="Times New Roman" w:hAnsi="Times New Roman" w:cs="Times New Roman"/>
          <w:color w:val="000000" w:themeColor="text1"/>
          <w:sz w:val="24"/>
          <w:szCs w:val="24"/>
        </w:rPr>
        <w:t>, независимо от техния пол, етническа принадлежност или вид увреждане.</w:t>
      </w:r>
    </w:p>
    <w:p w14:paraId="7A3969B8" w14:textId="77777777" w:rsidR="00464FCC"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0B0A30"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устойчиво развитие</w:t>
      </w:r>
      <w:r w:rsidRPr="000A3DFA">
        <w:rPr>
          <w:rFonts w:ascii="Times New Roman" w:hAnsi="Times New Roman" w:cs="Times New Roman"/>
          <w:color w:val="000000" w:themeColor="text1"/>
          <w:sz w:val="24"/>
          <w:szCs w:val="24"/>
        </w:rPr>
        <w:t xml:space="preserve"> – подкрепа за </w:t>
      </w:r>
      <w:r w:rsidR="000B0A30" w:rsidRPr="000A3DFA">
        <w:rPr>
          <w:rFonts w:ascii="Times New Roman" w:hAnsi="Times New Roman" w:cs="Times New Roman"/>
          <w:color w:val="000000" w:themeColor="text1"/>
          <w:sz w:val="24"/>
          <w:szCs w:val="24"/>
        </w:rPr>
        <w:t>проекти</w:t>
      </w:r>
      <w:r w:rsidRPr="000A3DFA">
        <w:rPr>
          <w:rFonts w:ascii="Times New Roman" w:hAnsi="Times New Roman" w:cs="Times New Roman"/>
          <w:color w:val="000000" w:themeColor="text1"/>
          <w:sz w:val="24"/>
          <w:szCs w:val="24"/>
        </w:rPr>
        <w:t xml:space="preserve">, които допринасят за опазване на околната среда, </w:t>
      </w:r>
      <w:r w:rsidR="008A3D61" w:rsidRPr="000A3DFA">
        <w:rPr>
          <w:rFonts w:ascii="Times New Roman" w:hAnsi="Times New Roman" w:cs="Times New Roman"/>
          <w:color w:val="000000" w:themeColor="text1"/>
          <w:sz w:val="24"/>
          <w:szCs w:val="24"/>
        </w:rPr>
        <w:t xml:space="preserve">повишаване на </w:t>
      </w:r>
      <w:r w:rsidRPr="000A3DFA">
        <w:rPr>
          <w:rFonts w:ascii="Times New Roman" w:hAnsi="Times New Roman" w:cs="Times New Roman"/>
          <w:color w:val="000000" w:themeColor="text1"/>
          <w:sz w:val="24"/>
          <w:szCs w:val="24"/>
        </w:rPr>
        <w:t>ресурсна</w:t>
      </w:r>
      <w:r w:rsidR="008A3D61" w:rsidRPr="000A3DFA">
        <w:rPr>
          <w:rFonts w:ascii="Times New Roman" w:hAnsi="Times New Roman" w:cs="Times New Roman"/>
          <w:color w:val="000000" w:themeColor="text1"/>
          <w:sz w:val="24"/>
          <w:szCs w:val="24"/>
        </w:rPr>
        <w:t>та</w:t>
      </w:r>
      <w:r w:rsidRPr="000A3DFA">
        <w:rPr>
          <w:rFonts w:ascii="Times New Roman" w:hAnsi="Times New Roman" w:cs="Times New Roman"/>
          <w:color w:val="000000" w:themeColor="text1"/>
          <w:sz w:val="24"/>
          <w:szCs w:val="24"/>
        </w:rPr>
        <w:t xml:space="preserve"> ефективност и смекчаване на последиците от изменение на кли</w:t>
      </w:r>
      <w:r w:rsidR="008A3D61" w:rsidRPr="000A3DFA">
        <w:rPr>
          <w:rFonts w:ascii="Times New Roman" w:hAnsi="Times New Roman" w:cs="Times New Roman"/>
          <w:color w:val="000000" w:themeColor="text1"/>
          <w:sz w:val="24"/>
          <w:szCs w:val="24"/>
        </w:rPr>
        <w:t>мата и приспособяване към тях.</w:t>
      </w:r>
      <w:r w:rsidR="00AC4EEA" w:rsidRPr="000A3DFA">
        <w:rPr>
          <w:rFonts w:ascii="Times New Roman" w:hAnsi="Times New Roman" w:cs="Times New Roman"/>
          <w:color w:val="000000" w:themeColor="text1"/>
          <w:sz w:val="24"/>
          <w:szCs w:val="24"/>
        </w:rPr>
        <w:t xml:space="preserve"> </w:t>
      </w:r>
    </w:p>
    <w:p w14:paraId="0799B5F4" w14:textId="77777777" w:rsidR="00464FCC" w:rsidRPr="000A3DFA" w:rsidRDefault="008A3D6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w:t>
      </w:r>
      <w:r w:rsidR="00421B5B" w:rsidRPr="000A3DFA">
        <w:rPr>
          <w:rFonts w:ascii="Times New Roman" w:hAnsi="Times New Roman" w:cs="Times New Roman"/>
          <w:b/>
          <w:color w:val="000000" w:themeColor="text1"/>
          <w:sz w:val="24"/>
          <w:szCs w:val="24"/>
        </w:rPr>
        <w:t xml:space="preserve"> </w:t>
      </w:r>
      <w:r w:rsidRPr="000A3DFA">
        <w:rPr>
          <w:rFonts w:ascii="Times New Roman" w:hAnsi="Times New Roman" w:cs="Times New Roman"/>
          <w:b/>
          <w:color w:val="000000" w:themeColor="text1"/>
          <w:sz w:val="24"/>
          <w:szCs w:val="24"/>
        </w:rPr>
        <w:t>т</w:t>
      </w:r>
      <w:r w:rsidR="00421B5B" w:rsidRPr="000A3DFA">
        <w:rPr>
          <w:rFonts w:ascii="Times New Roman" w:hAnsi="Times New Roman" w:cs="Times New Roman"/>
          <w:b/>
          <w:color w:val="000000" w:themeColor="text1"/>
          <w:sz w:val="24"/>
          <w:szCs w:val="24"/>
        </w:rPr>
        <w:t xml:space="preserve">. 11 </w:t>
      </w:r>
      <w:r w:rsidRPr="000A3DFA">
        <w:rPr>
          <w:rFonts w:ascii="Times New Roman" w:hAnsi="Times New Roman" w:cs="Times New Roman"/>
          <w:b/>
          <w:color w:val="000000" w:themeColor="text1"/>
          <w:sz w:val="24"/>
          <w:szCs w:val="24"/>
        </w:rPr>
        <w:t xml:space="preserve">от Формуляра за кандидатстване кандидатите следва да представят информация за съответствието на проектното предложение с </w:t>
      </w:r>
      <w:r w:rsidR="00A743AD" w:rsidRPr="000A3DFA">
        <w:rPr>
          <w:rFonts w:ascii="Times New Roman" w:hAnsi="Times New Roman" w:cs="Times New Roman"/>
          <w:b/>
          <w:color w:val="000000" w:themeColor="text1"/>
          <w:sz w:val="24"/>
          <w:szCs w:val="24"/>
        </w:rPr>
        <w:t>посочените принципи.</w:t>
      </w:r>
    </w:p>
    <w:p w14:paraId="2EE5F9BB" w14:textId="39B9C8EE" w:rsidR="00AE5BA2" w:rsidRPr="000A3DFA" w:rsidRDefault="004D20B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Прилагането на заложените в проекта принципи ще се проследява </w:t>
      </w:r>
      <w:r w:rsidR="00625217" w:rsidRPr="00625217">
        <w:rPr>
          <w:rFonts w:ascii="Times New Roman" w:hAnsi="Times New Roman" w:cs="Times New Roman"/>
          <w:color w:val="000000" w:themeColor="text1"/>
          <w:sz w:val="24"/>
          <w:szCs w:val="24"/>
        </w:rPr>
        <w:t>както на етап оценка на проектните предложения, така и на етап изпълнение на проектите.</w:t>
      </w:r>
    </w:p>
    <w:p w14:paraId="47AA353A" w14:textId="77777777" w:rsidR="00BA2E00" w:rsidRPr="004770DA" w:rsidRDefault="00BA2E00" w:rsidP="004524A5">
      <w:pPr>
        <w:pStyle w:val="1"/>
      </w:pPr>
      <w:bookmarkStart w:id="27" w:name="_Toc494709524"/>
      <w:r w:rsidRPr="004770DA">
        <w:lastRenderedPageBreak/>
        <w:t>1</w:t>
      </w:r>
      <w:r w:rsidR="001D79C3" w:rsidRPr="004770DA">
        <w:t>8</w:t>
      </w:r>
      <w:r w:rsidRPr="004770DA">
        <w:t>. Минимален и максимален срок за изпълнение на проекта:</w:t>
      </w:r>
      <w:bookmarkEnd w:id="27"/>
    </w:p>
    <w:p w14:paraId="67C8D80C" w14:textId="0B039864" w:rsidR="002325A3" w:rsidRPr="004524A5" w:rsidRDefault="00B1282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Продължителността на изпълнение на всеки проект не следва да надвишава </w:t>
      </w:r>
      <w:r w:rsidRPr="00747C47">
        <w:rPr>
          <w:rFonts w:ascii="Times New Roman" w:hAnsi="Times New Roman" w:cs="Times New Roman"/>
          <w:b/>
          <w:color w:val="000000" w:themeColor="text1"/>
          <w:sz w:val="24"/>
          <w:szCs w:val="24"/>
        </w:rPr>
        <w:t>1</w:t>
      </w:r>
      <w:r w:rsidR="00937783" w:rsidRPr="00937783">
        <w:rPr>
          <w:rFonts w:ascii="Times New Roman" w:hAnsi="Times New Roman" w:cs="Times New Roman"/>
          <w:b/>
          <w:color w:val="000000" w:themeColor="text1"/>
          <w:sz w:val="24"/>
          <w:szCs w:val="24"/>
        </w:rPr>
        <w:t>2</w:t>
      </w:r>
      <w:r w:rsidRPr="00747C47">
        <w:rPr>
          <w:rFonts w:ascii="Times New Roman" w:hAnsi="Times New Roman" w:cs="Times New Roman"/>
          <w:b/>
          <w:color w:val="000000" w:themeColor="text1"/>
          <w:sz w:val="24"/>
          <w:szCs w:val="24"/>
        </w:rPr>
        <w:t xml:space="preserve"> /</w:t>
      </w:r>
      <w:r w:rsidR="00937783">
        <w:rPr>
          <w:rFonts w:ascii="Times New Roman" w:hAnsi="Times New Roman" w:cs="Times New Roman"/>
          <w:b/>
          <w:color w:val="000000" w:themeColor="text1"/>
          <w:sz w:val="24"/>
          <w:szCs w:val="24"/>
        </w:rPr>
        <w:t>два</w:t>
      </w:r>
      <w:bookmarkStart w:id="28" w:name="_GoBack"/>
      <w:bookmarkEnd w:id="28"/>
      <w:r w:rsidR="008676A0" w:rsidRPr="00747C47">
        <w:rPr>
          <w:rFonts w:ascii="Times New Roman" w:hAnsi="Times New Roman" w:cs="Times New Roman"/>
          <w:b/>
          <w:color w:val="000000" w:themeColor="text1"/>
          <w:sz w:val="24"/>
          <w:szCs w:val="24"/>
        </w:rPr>
        <w:t>на</w:t>
      </w:r>
      <w:r w:rsidR="00951B13" w:rsidRPr="00747C47">
        <w:rPr>
          <w:rFonts w:ascii="Times New Roman" w:hAnsi="Times New Roman" w:cs="Times New Roman"/>
          <w:b/>
          <w:color w:val="000000" w:themeColor="text1"/>
          <w:sz w:val="24"/>
          <w:szCs w:val="24"/>
        </w:rPr>
        <w:t>де</w:t>
      </w:r>
      <w:r w:rsidR="001311CA" w:rsidRPr="00747C47">
        <w:rPr>
          <w:rFonts w:ascii="Times New Roman" w:hAnsi="Times New Roman" w:cs="Times New Roman"/>
          <w:b/>
          <w:color w:val="000000" w:themeColor="text1"/>
          <w:sz w:val="24"/>
          <w:szCs w:val="24"/>
        </w:rPr>
        <w:t>сет</w:t>
      </w:r>
      <w:r w:rsidRPr="00747C47">
        <w:rPr>
          <w:rFonts w:ascii="Times New Roman" w:hAnsi="Times New Roman" w:cs="Times New Roman"/>
          <w:b/>
          <w:color w:val="000000" w:themeColor="text1"/>
          <w:sz w:val="24"/>
          <w:szCs w:val="24"/>
        </w:rPr>
        <w:t>/ месеца</w:t>
      </w:r>
      <w:r w:rsidRPr="00747C47">
        <w:rPr>
          <w:rFonts w:ascii="Times New Roman" w:hAnsi="Times New Roman" w:cs="Times New Roman"/>
          <w:color w:val="000000" w:themeColor="text1"/>
          <w:sz w:val="24"/>
          <w:szCs w:val="24"/>
        </w:rPr>
        <w:t>, считано от датата на влизане в сила на договора за предоставяне н</w:t>
      </w:r>
      <w:r w:rsidR="004524A5">
        <w:rPr>
          <w:rFonts w:ascii="Times New Roman" w:hAnsi="Times New Roman" w:cs="Times New Roman"/>
          <w:color w:val="000000" w:themeColor="text1"/>
          <w:sz w:val="24"/>
          <w:szCs w:val="24"/>
        </w:rPr>
        <w:t>а безвъзмездна финансова помощ.</w:t>
      </w:r>
      <w:r w:rsidR="002325A3" w:rsidRPr="000A3DFA">
        <w:rPr>
          <w:rFonts w:ascii="Times New Roman" w:hAnsi="Times New Roman" w:cs="Times New Roman"/>
          <w:b/>
          <w:color w:val="000000" w:themeColor="text1"/>
          <w:sz w:val="24"/>
          <w:szCs w:val="24"/>
        </w:rPr>
        <w:t xml:space="preserve">  </w:t>
      </w:r>
    </w:p>
    <w:p w14:paraId="1F15265E" w14:textId="77777777" w:rsidR="002325A3" w:rsidRPr="004770DA" w:rsidRDefault="00CB14EE" w:rsidP="004524A5">
      <w:pPr>
        <w:pStyle w:val="1"/>
      </w:pPr>
      <w:bookmarkStart w:id="29" w:name="_Toc494709525"/>
      <w:r w:rsidRPr="004770DA">
        <w:t>1</w:t>
      </w:r>
      <w:r w:rsidR="001D79C3" w:rsidRPr="004770DA">
        <w:t>9</w:t>
      </w:r>
      <w:r w:rsidR="002325A3" w:rsidRPr="004770DA">
        <w:t xml:space="preserve">. </w:t>
      </w:r>
      <w:r w:rsidR="001228EF" w:rsidRPr="004770DA">
        <w:t>Ред за оценяване на концепциите за проектни предложения</w:t>
      </w:r>
      <w:r w:rsidR="002325A3" w:rsidRPr="004770DA">
        <w:t>:</w:t>
      </w:r>
      <w:bookmarkEnd w:id="29"/>
    </w:p>
    <w:p w14:paraId="096DAE1B" w14:textId="77777777" w:rsidR="00D1465A" w:rsidRDefault="001228E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Неприложимо</w:t>
      </w:r>
    </w:p>
    <w:p w14:paraId="4FBD0000" w14:textId="77777777" w:rsidR="002C08E5" w:rsidRPr="004770DA" w:rsidRDefault="001D79C3" w:rsidP="004524A5">
      <w:pPr>
        <w:pStyle w:val="1"/>
      </w:pPr>
      <w:bookmarkStart w:id="30" w:name="_Toc494709526"/>
      <w:r w:rsidRPr="004770DA">
        <w:t>20</w:t>
      </w:r>
      <w:r w:rsidR="002325A3" w:rsidRPr="004770DA">
        <w:t xml:space="preserve">. </w:t>
      </w:r>
      <w:r w:rsidR="001228EF" w:rsidRPr="004770DA">
        <w:t>Критерии и методика за оценка на концепциите за проектни предложения</w:t>
      </w:r>
      <w:r w:rsidR="002C08E5" w:rsidRPr="004770DA">
        <w:t>:</w:t>
      </w:r>
      <w:bookmarkEnd w:id="30"/>
    </w:p>
    <w:p w14:paraId="20B5D0B3" w14:textId="77777777" w:rsidR="002C08E5" w:rsidRPr="000A3DFA" w:rsidRDefault="004973F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Неприложимо</w:t>
      </w:r>
    </w:p>
    <w:p w14:paraId="7A142E8D" w14:textId="77777777" w:rsidR="002325A3" w:rsidRPr="00EF590D" w:rsidRDefault="002C08E5" w:rsidP="004524A5">
      <w:pPr>
        <w:pStyle w:val="1"/>
      </w:pPr>
      <w:r w:rsidRPr="000A3DFA">
        <w:rPr>
          <w:color w:val="000000" w:themeColor="text1"/>
        </w:rPr>
        <w:t xml:space="preserve">  </w:t>
      </w:r>
      <w:bookmarkStart w:id="31" w:name="_Toc418791462"/>
      <w:bookmarkStart w:id="32" w:name="_Toc494709527"/>
      <w:r w:rsidR="00CB14EE" w:rsidRPr="00EF590D">
        <w:t>2</w:t>
      </w:r>
      <w:r w:rsidR="001D79C3" w:rsidRPr="00EF590D">
        <w:t>1</w:t>
      </w:r>
      <w:r w:rsidRPr="00EF590D">
        <w:t xml:space="preserve">. </w:t>
      </w:r>
      <w:r w:rsidR="001228EF" w:rsidRPr="00EF590D">
        <w:t>Ред за оценяване на проектните предложения</w:t>
      </w:r>
      <w:r w:rsidR="002325A3" w:rsidRPr="00EF590D">
        <w:t>:</w:t>
      </w:r>
      <w:bookmarkEnd w:id="31"/>
      <w:bookmarkEnd w:id="32"/>
    </w:p>
    <w:p w14:paraId="734ADB05" w14:textId="016ABA9B"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 xml:space="preserve">МИГ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 xml:space="preserve">“ </w:t>
      </w:r>
      <w:r w:rsidRPr="00326474">
        <w:rPr>
          <w:rFonts w:ascii="Times New Roman" w:hAnsi="Times New Roman"/>
          <w:u w:val="single"/>
          <w:lang w:val="bg-BG"/>
        </w:rPr>
        <w:t>прилага</w:t>
      </w:r>
      <w:r w:rsidRPr="00326474">
        <w:rPr>
          <w:rFonts w:ascii="Times New Roman" w:hAnsi="Times New Roman"/>
          <w:lang w:val="bg-BG"/>
        </w:rPr>
        <w:t xml:space="preserve"> процедура на подбор на проекти в съответствие с разпоредбите на чл. 25, ал. 1, т. 1 от Закона за управление на средствата от Европейските структурни и инвестиционни фондове, Глава пета Координация във връзка с одобрение на проекти към стратегия за ВОМР, Раздел І Подбор на проекти към стратегия за ВОМР на ПМС № 161/2016.</w:t>
      </w:r>
    </w:p>
    <w:p w14:paraId="19C13C24" w14:textId="537B974F"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МИГ</w:t>
      </w:r>
      <w:r w:rsidR="008C55DC">
        <w:rPr>
          <w:rFonts w:ascii="Times New Roman" w:hAnsi="Times New Roman"/>
          <w:lang w:val="bg-BG"/>
        </w:rPr>
        <w:t xml:space="preserve"> </w:t>
      </w:r>
      <w:r w:rsidRPr="00326474">
        <w:rPr>
          <w:rFonts w:ascii="Times New Roman" w:hAnsi="Times New Roman"/>
          <w:lang w:val="bg-BG"/>
        </w:rPr>
        <w:t>провежда недискриминационна и прозрачна процедура за подбор на проекти, спазвайки следните основни принципи:</w:t>
      </w:r>
    </w:p>
    <w:p w14:paraId="252CE528"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1.избягване на конфликт на интереси при избора на проекти;</w:t>
      </w:r>
    </w:p>
    <w:p w14:paraId="465FEC39"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2.че поне 50 на сто от гласовете при решения за подбор са дадени от членове, които не са представители на публичния сектор;</w:t>
      </w:r>
    </w:p>
    <w:p w14:paraId="68F6257D"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3.резултатите от подбора се документират.</w:t>
      </w:r>
    </w:p>
    <w:p w14:paraId="460923FF" w14:textId="77777777" w:rsidR="00A3757C" w:rsidRDefault="00A3757C"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7B6C394" w14:textId="69EF14FB" w:rsidR="00BA607D" w:rsidRDefault="001228EF"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Подбор на проектни предложения към стратегии за ВОМР се извършва от Комисия за подбор, назначена от Председателя на УС на МИГ</w:t>
      </w:r>
      <w:r w:rsidR="008C55DC">
        <w:rPr>
          <w:rFonts w:ascii="Times New Roman" w:hAnsi="Times New Roman" w:cs="Times New Roman"/>
          <w:color w:val="000000" w:themeColor="text1"/>
          <w:sz w:val="24"/>
          <w:szCs w:val="24"/>
        </w:rPr>
        <w:t xml:space="preserve"> </w:t>
      </w:r>
      <w:r w:rsidR="001112E7">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съгласно разпоредбите на чл. 44, ал. 1 на ПМС 161 от 4 юли 2016 г.</w:t>
      </w:r>
    </w:p>
    <w:p w14:paraId="6979EBB7" w14:textId="6181C648"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Комисията за подбор на проектни предложения (КППП</w:t>
      </w:r>
      <w:r w:rsidR="009568B0">
        <w:rPr>
          <w:rFonts w:ascii="Times New Roman" w:hAnsi="Times New Roman"/>
          <w:lang w:val="bg-BG"/>
        </w:rPr>
        <w:t xml:space="preserve"> </w:t>
      </w:r>
      <w:r w:rsidR="009A6113">
        <w:rPr>
          <w:rFonts w:ascii="Times New Roman" w:hAnsi="Times New Roman"/>
          <w:lang w:val="bg-BG"/>
        </w:rPr>
        <w:t xml:space="preserve"> </w:t>
      </w:r>
      <w:r w:rsidRPr="00326474">
        <w:rPr>
          <w:rFonts w:ascii="Times New Roman" w:hAnsi="Times New Roman"/>
          <w:lang w:val="bg-BG"/>
        </w:rPr>
        <w:t>)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членовете на общото събрание на МИГ</w:t>
      </w:r>
      <w:r w:rsidR="008C55DC">
        <w:rPr>
          <w:rFonts w:ascii="Times New Roman" w:hAnsi="Times New Roman"/>
          <w:lang w:val="bg-BG"/>
        </w:rPr>
        <w:t xml:space="preserve">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w:t>
      </w:r>
      <w:r w:rsidRPr="00326474">
        <w:rPr>
          <w:rFonts w:ascii="Times New Roman" w:hAnsi="Times New Roman"/>
          <w:lang w:val="bg-BG"/>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w:t>
      </w:r>
      <w:r w:rsidRPr="00326474">
        <w:rPr>
          <w:rFonts w:ascii="Times New Roman" w:hAnsi="Times New Roman"/>
          <w:lang w:val="bg-BG"/>
        </w:rPr>
        <w:lastRenderedPageBreak/>
        <w:t>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0554BB5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Те не могат:</w:t>
      </w:r>
    </w:p>
    <w:p w14:paraId="1EA42671" w14:textId="2CC1A006"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1.</w:t>
      </w:r>
      <w:r w:rsidRPr="00326474">
        <w:rPr>
          <w:rFonts w:ascii="Times New Roman" w:hAnsi="Times New Roman"/>
          <w:lang w:val="bg-BG"/>
        </w:rPr>
        <w:tab/>
      </w:r>
      <w:r w:rsidR="000F395B" w:rsidRPr="000F395B">
        <w:rPr>
          <w:rFonts w:ascii="Times New Roman" w:hAnsi="Times New Roman"/>
          <w:lang w:val="bg-BG"/>
        </w:rPr>
        <w:t>да са в конфликт на интереси по смисъла на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с някой от кандидатите или партньорите в процедурата за предоставяне на безвъзмездна помощ</w:t>
      </w:r>
      <w:r w:rsidRPr="00326474">
        <w:rPr>
          <w:rFonts w:ascii="Times New Roman" w:hAnsi="Times New Roman"/>
          <w:lang w:val="bg-BG"/>
        </w:rPr>
        <w:t xml:space="preserve">; </w:t>
      </w:r>
    </w:p>
    <w:p w14:paraId="1A63801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2.</w:t>
      </w:r>
      <w:r w:rsidRPr="00326474">
        <w:rPr>
          <w:rFonts w:ascii="Times New Roman" w:hAnsi="Times New Roman"/>
          <w:lang w:val="bg-BG"/>
        </w:rPr>
        <w:tab/>
        <w:t xml:space="preserve">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14:paraId="7636A1D0"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3.</w:t>
      </w:r>
      <w:r w:rsidRPr="00326474">
        <w:rPr>
          <w:rFonts w:ascii="Times New Roman" w:hAnsi="Times New Roman"/>
          <w:lang w:val="bg-BG"/>
        </w:rPr>
        <w:tab/>
        <w:t>да са свързани лица по смисъла на § 1, т. 1 от допълнителните разпоредби на Закона за предотвратяване и установяване на конфликт на интереси с кандидат или партньор в процедурата;</w:t>
      </w:r>
    </w:p>
    <w:p w14:paraId="28EA9B21"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4.</w:t>
      </w:r>
      <w:r w:rsidRPr="00326474">
        <w:rPr>
          <w:rFonts w:ascii="Times New Roman" w:hAnsi="Times New Roman"/>
          <w:lang w:val="bg-BG"/>
        </w:rPr>
        <w:tab/>
        <w:t>да са лица, които се намират помежду си в йерархична зависимост.</w:t>
      </w:r>
    </w:p>
    <w:p w14:paraId="4B4E107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0CDB5A8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В хода на оценителния процес по аналогия се спазват и ал. 4  - 9 на чл.16 от ПМС № 162 от 2016 г.</w:t>
      </w:r>
    </w:p>
    <w:p w14:paraId="562D0C6A" w14:textId="49A3D95C" w:rsidR="004F75B6" w:rsidRDefault="004F75B6"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Подаването на проектни предложения, както и процесът на оценка от МИГ</w:t>
      </w:r>
      <w:r w:rsidR="008C55DC">
        <w:rPr>
          <w:rFonts w:ascii="Times New Roman" w:hAnsi="Times New Roman"/>
          <w:lang w:val="bg-BG"/>
        </w:rPr>
        <w:t xml:space="preserve"> </w:t>
      </w:r>
      <w:r w:rsidR="008C55DC" w:rsidRPr="00A55D5B">
        <w:rPr>
          <w:rFonts w:ascii="Times New Roman" w:hAnsi="Times New Roman"/>
          <w:color w:val="000000" w:themeColor="text1"/>
          <w:lang w:val="bg-BG"/>
        </w:rPr>
        <w:t>„</w:t>
      </w:r>
      <w:r w:rsidR="00F442F1">
        <w:rPr>
          <w:rFonts w:ascii="Times New Roman" w:hAnsi="Times New Roman"/>
          <w:color w:val="000000" w:themeColor="text1"/>
          <w:lang w:val="bg-BG"/>
        </w:rPr>
        <w:t>Свиленград ареал</w:t>
      </w:r>
      <w:r w:rsidR="008C55DC" w:rsidRPr="00A55D5B">
        <w:rPr>
          <w:rFonts w:ascii="Times New Roman" w:hAnsi="Times New Roman"/>
          <w:color w:val="000000" w:themeColor="text1"/>
          <w:lang w:val="bg-BG"/>
        </w:rPr>
        <w:t>“</w:t>
      </w:r>
      <w:r w:rsidRPr="00326474">
        <w:rPr>
          <w:rFonts w:ascii="Times New Roman" w:hAnsi="Times New Roman"/>
          <w:lang w:val="bg-BG"/>
        </w:rPr>
        <w:t xml:space="preserve">, се провежда в системата ИСУН 2020. Проектните предложения се подават в рамките на срока, посочен в поканата. Оценяват се само проектни предложения, подадени с квалифициран електронен подпис (КЕП). Комисията за подбор на проектни предложения назначена от МИГ, </w:t>
      </w:r>
      <w:r w:rsidRPr="00326474">
        <w:rPr>
          <w:rFonts w:ascii="Times New Roman" w:hAnsi="Times New Roman"/>
          <w:u w:val="single"/>
          <w:lang w:val="bg-BG"/>
        </w:rPr>
        <w:t>спазва ред</w:t>
      </w:r>
      <w:r w:rsidRPr="00326474">
        <w:rPr>
          <w:rFonts w:ascii="Times New Roman" w:hAnsi="Times New Roman"/>
          <w:lang w:val="bg-BG"/>
        </w:rPr>
        <w:t xml:space="preserve"> за оценка на проектните предложения.</w:t>
      </w:r>
    </w:p>
    <w:p w14:paraId="194225C3" w14:textId="14C59660" w:rsidR="00DA648E" w:rsidRPr="00326474" w:rsidRDefault="00780FFA" w:rsidP="00DA648E">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rFonts w:ascii="Times New Roman" w:hAnsi="Times New Roman"/>
          <w:lang w:val="bg-BG"/>
        </w:rPr>
        <w:t>К</w:t>
      </w:r>
      <w:r w:rsidR="00DA648E" w:rsidRPr="00326474">
        <w:rPr>
          <w:rFonts w:ascii="Times New Roman" w:hAnsi="Times New Roman"/>
          <w:lang w:val="bg-BG"/>
        </w:rPr>
        <w:t>омисия</w:t>
      </w:r>
      <w:r>
        <w:rPr>
          <w:rFonts w:ascii="Times New Roman" w:hAnsi="Times New Roman"/>
          <w:lang w:val="bg-BG"/>
        </w:rPr>
        <w:t>та за подбор</w:t>
      </w:r>
      <w:r w:rsidR="00DA648E" w:rsidRPr="00326474">
        <w:rPr>
          <w:rFonts w:ascii="Times New Roman" w:hAnsi="Times New Roman"/>
          <w:lang w:val="bg-BG"/>
        </w:rPr>
        <w:t xml:space="preserve"> в своята работа се ръководи от следните принципи:</w:t>
      </w:r>
    </w:p>
    <w:p w14:paraId="19AF68DB"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1.</w:t>
      </w:r>
      <w:r w:rsidRPr="00326474">
        <w:rPr>
          <w:rFonts w:ascii="Times New Roman" w:hAnsi="Times New Roman"/>
          <w:sz w:val="24"/>
          <w:szCs w:val="24"/>
        </w:rPr>
        <w:tab/>
        <w:t>добро финансово управление;</w:t>
      </w:r>
    </w:p>
    <w:p w14:paraId="79566A2E"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2.</w:t>
      </w:r>
      <w:r w:rsidRPr="00326474">
        <w:rPr>
          <w:rFonts w:ascii="Times New Roman" w:hAnsi="Times New Roman"/>
          <w:sz w:val="24"/>
          <w:szCs w:val="24"/>
        </w:rPr>
        <w:tab/>
        <w:t>публичност и прозрачност;</w:t>
      </w:r>
    </w:p>
    <w:p w14:paraId="033451A3"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3.</w:t>
      </w:r>
      <w:r w:rsidRPr="00326474">
        <w:rPr>
          <w:rFonts w:ascii="Times New Roman" w:hAnsi="Times New Roman"/>
          <w:sz w:val="24"/>
          <w:szCs w:val="24"/>
        </w:rPr>
        <w:tab/>
        <w:t>не се допуска въвеждането на допълнителни критерии за оценка или изменение на критериите по време на провеждането на процедурата;</w:t>
      </w:r>
    </w:p>
    <w:p w14:paraId="092C957D"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4.</w:t>
      </w:r>
      <w:r w:rsidRPr="00326474">
        <w:rPr>
          <w:rFonts w:ascii="Times New Roman" w:hAnsi="Times New Roman"/>
          <w:sz w:val="24"/>
          <w:szCs w:val="24"/>
        </w:rPr>
        <w:tab/>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0E6F8387"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5.</w:t>
      </w:r>
      <w:r w:rsidRPr="00326474">
        <w:rPr>
          <w:rFonts w:ascii="Times New Roman" w:hAnsi="Times New Roman"/>
          <w:sz w:val="24"/>
          <w:szCs w:val="24"/>
        </w:rPr>
        <w:tab/>
        <w:t>равнопоставеност и недопускане на дискриминация - еднакво прилагане на правилата спрямо всички кандидати;</w:t>
      </w:r>
    </w:p>
    <w:p w14:paraId="67159578"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6.</w:t>
      </w:r>
      <w:r w:rsidRPr="00326474">
        <w:rPr>
          <w:rFonts w:ascii="Times New Roman" w:hAnsi="Times New Roman"/>
          <w:sz w:val="24"/>
          <w:szCs w:val="24"/>
        </w:rPr>
        <w:tab/>
        <w:t>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 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4213F978" w14:textId="3E37465E"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7.</w:t>
      </w:r>
      <w:r w:rsidRPr="00326474">
        <w:rPr>
          <w:rFonts w:ascii="Times New Roman" w:hAnsi="Times New Roman"/>
          <w:sz w:val="24"/>
          <w:szCs w:val="24"/>
        </w:rPr>
        <w:tab/>
        <w:t>съобразяване с прага на допустимите минимални помощи;</w:t>
      </w:r>
    </w:p>
    <w:p w14:paraId="13563CB9"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8.</w:t>
      </w:r>
      <w:r w:rsidRPr="00326474">
        <w:rPr>
          <w:rFonts w:ascii="Times New Roman" w:hAnsi="Times New Roman"/>
          <w:sz w:val="24"/>
          <w:szCs w:val="24"/>
        </w:rPr>
        <w:tab/>
        <w:t>спазване на срока, определен в чл. 44, ал. 1 от ПМС 161/2016 г.</w:t>
      </w:r>
    </w:p>
    <w:p w14:paraId="6E644DA9" w14:textId="48FCC93B" w:rsidR="00DB5997" w:rsidRPr="00326474"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eastAsia="bg-BG"/>
        </w:rPr>
      </w:pPr>
      <w:r w:rsidRPr="00326474">
        <w:rPr>
          <w:rFonts w:ascii="Times New Roman" w:hAnsi="Times New Roman"/>
          <w:lang w:val="bg-BG" w:eastAsia="bg-BG"/>
        </w:rPr>
        <w:t xml:space="preserve">Комисията за подбор на проектни предложения, назначена от МИГ, спазва Единната </w:t>
      </w:r>
      <w:r w:rsidRPr="00326474">
        <w:rPr>
          <w:rFonts w:ascii="Times New Roman" w:hAnsi="Times New Roman"/>
          <w:lang w:val="bg-BG" w:eastAsia="bg-BG"/>
        </w:rPr>
        <w:lastRenderedPageBreak/>
        <w:t>недискриминационна и прозрачна процедура за подбор на проекти на база разработените за всяка процедура за подбор Критерии и методология за оценка на проектните предложения в съответствие с одобрените от КН на ОПИК и ОПИМСП Методология и критерии за подбор на операции</w:t>
      </w:r>
      <w:r w:rsidR="006D3991">
        <w:rPr>
          <w:rFonts w:ascii="Times New Roman" w:hAnsi="Times New Roman"/>
          <w:lang w:val="bg-BG" w:eastAsia="bg-BG"/>
        </w:rPr>
        <w:t xml:space="preserve"> и параметрите, заложени в стратегията за местно развитие</w:t>
      </w:r>
      <w:r w:rsidRPr="00326474">
        <w:rPr>
          <w:rFonts w:ascii="Times New Roman" w:hAnsi="Times New Roman"/>
          <w:lang w:val="bg-BG" w:eastAsia="bg-BG"/>
        </w:rPr>
        <w:t xml:space="preserve">. </w:t>
      </w:r>
    </w:p>
    <w:p w14:paraId="19043F0A" w14:textId="77777777" w:rsidR="00DB5997"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2F312D0" w14:textId="77777777" w:rsidR="000A1B86"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711EFEEE" wp14:editId="4D26E02E">
                <wp:extent cx="1828800" cy="1828800"/>
                <wp:effectExtent l="0" t="0" r="15240" b="16510"/>
                <wp:docPr id="20" name="Текстово поле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DB0271" w14:textId="77777777" w:rsidR="005B4F08" w:rsidRPr="00A55D5B" w:rsidRDefault="005B4F08"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1EFEEE" id="Текстово поле 20"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sWWh1oICAADs&#10;BAAADgAAAAAAAAAAAAAAAAAuAgAAZHJzL2Uyb0RvYy54bWxQSwECLQAUAAYACAAAACEAsD8FedkA&#10;AAAFAQAADwAAAAAAAAAAAAAAAADcBAAAZHJzL2Rvd25yZXYueG1sUEsFBgAAAAAEAAQA8wAAAOIF&#10;AAAAAA==&#10;" fillcolor="#d8d8d8 [2732]" strokeweight=".5pt">
                <v:textbox style="mso-fit-shape-to-text:t">
                  <w:txbxContent>
                    <w:p w14:paraId="3EDB0271" w14:textId="77777777" w:rsidR="005B4F08" w:rsidRPr="00A55D5B" w:rsidRDefault="005B4F08"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v:textbox>
                <w10:anchorlock/>
              </v:shape>
            </w:pict>
          </mc:Fallback>
        </mc:AlternateContent>
      </w:r>
    </w:p>
    <w:p w14:paraId="52258789"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Оценката на проектните предложения включва:</w:t>
      </w:r>
    </w:p>
    <w:p w14:paraId="04CD61AC"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1:</w:t>
      </w:r>
      <w:r w:rsidRPr="00326474">
        <w:rPr>
          <w:rFonts w:ascii="Times New Roman" w:hAnsi="Times New Roman"/>
          <w:lang w:val="bg-BG"/>
        </w:rPr>
        <w:t xml:space="preserve"> Оценка на административното съответствие и допустимостта;</w:t>
      </w:r>
    </w:p>
    <w:p w14:paraId="5628C139" w14:textId="77777777" w:rsidR="000A1B86" w:rsidRDefault="000A1B86"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2</w:t>
      </w:r>
      <w:r w:rsidRPr="00326474">
        <w:rPr>
          <w:rFonts w:ascii="Times New Roman" w:hAnsi="Times New Roman"/>
          <w:lang w:val="bg-BG"/>
        </w:rPr>
        <w:t>: Техническа и финансова оценка</w:t>
      </w:r>
    </w:p>
    <w:p w14:paraId="74899B52" w14:textId="77777777" w:rsidR="00E03F95" w:rsidRPr="00326474"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E187D0B" w14:textId="77777777" w:rsidR="00DA648E"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677317F4" wp14:editId="456AE446">
                <wp:extent cx="5941060" cy="1886474"/>
                <wp:effectExtent l="0" t="0" r="15240" b="16510"/>
                <wp:docPr id="21" name="Текстово поле 21"/>
                <wp:cNvGraphicFramePr/>
                <a:graphic xmlns:a="http://schemas.openxmlformats.org/drawingml/2006/main">
                  <a:graphicData uri="http://schemas.microsoft.com/office/word/2010/wordprocessingShape">
                    <wps:wsp>
                      <wps:cNvSpPr txBox="1"/>
                      <wps:spPr>
                        <a:xfrm>
                          <a:off x="0" y="0"/>
                          <a:ext cx="5941060" cy="1886474"/>
                        </a:xfrm>
                        <a:prstGeom prst="rect">
                          <a:avLst/>
                        </a:prstGeom>
                        <a:solidFill>
                          <a:schemeClr val="bg1">
                            <a:lumMod val="85000"/>
                          </a:schemeClr>
                        </a:solidFill>
                        <a:ln w="6350">
                          <a:solidFill>
                            <a:prstClr val="black"/>
                          </a:solidFill>
                        </a:ln>
                        <a:effectLst/>
                      </wps:spPr>
                      <wps:txbx>
                        <w:txbxContent>
                          <w:p w14:paraId="6B529D26" w14:textId="3249BB1E" w:rsidR="005B4F08" w:rsidRPr="00A55D5B" w:rsidRDefault="005B4F08"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обн.,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7317F4" id="Текстово поле 21" o:spid="_x0000_s1035" type="#_x0000_t202" style="width:467.8pt;height:148.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" fillcolor="#d8d8d8 [2732]" strokeweight=".5pt">
                <v:textbox style="mso-fit-shape-to-text:t">
                  <w:txbxContent>
                    <w:p w14:paraId="6B529D26" w14:textId="3249BB1E" w:rsidR="005B4F08" w:rsidRPr="00A55D5B" w:rsidRDefault="005B4F08"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обн.,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v:textbox>
                <w10:anchorlock/>
              </v:shape>
            </w:pict>
          </mc:Fallback>
        </mc:AlternateContent>
      </w:r>
    </w:p>
    <w:p w14:paraId="6C81EA55" w14:textId="77777777" w:rsidR="00E03F95"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4F07A8D4" w14:textId="77777777" w:rsidR="00D1465A" w:rsidRPr="00422728" w:rsidRDefault="00D1465A" w:rsidP="004524A5">
      <w:pPr>
        <w:pStyle w:val="2"/>
        <w:rPr>
          <w:sz w:val="24"/>
          <w:szCs w:val="24"/>
        </w:rPr>
      </w:pPr>
      <w:bookmarkStart w:id="33" w:name="_Toc489431905"/>
      <w:bookmarkStart w:id="34" w:name="_Toc494709528"/>
      <w:r w:rsidRPr="00422728">
        <w:rPr>
          <w:sz w:val="24"/>
          <w:szCs w:val="24"/>
        </w:rPr>
        <w:t>21.1. Оценка на  административното съответствие и допустимостта</w:t>
      </w:r>
      <w:bookmarkEnd w:id="33"/>
      <w:bookmarkEnd w:id="34"/>
    </w:p>
    <w:p w14:paraId="73E4A0DC" w14:textId="77777777" w:rsidR="00D1465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Оценката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24FBFB94" w14:textId="4CEEF65C" w:rsidR="00BE793D" w:rsidRDefault="00BE793D"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E793D">
        <w:rPr>
          <w:rFonts w:ascii="Times New Roman" w:hAnsi="Times New Roman" w:cs="Times New Roman"/>
          <w:color w:val="000000" w:themeColor="text1"/>
          <w:sz w:val="24"/>
          <w:szCs w:val="24"/>
        </w:rPr>
        <w:t>Комисията за подбор, назначена от МИГ,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71EF26B8"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 xml:space="preserve">В процеса на оценка на административното съответствие и допустимостта </w:t>
      </w:r>
      <w:r>
        <w:rPr>
          <w:rFonts w:ascii="Times New Roman" w:hAnsi="Times New Roman"/>
          <w:sz w:val="24"/>
          <w:szCs w:val="24"/>
        </w:rPr>
        <w:t>Комисията за подбор проверява дали:</w:t>
      </w:r>
    </w:p>
    <w:p w14:paraId="7EAD4565"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A60922">
        <w:rPr>
          <w:rFonts w:ascii="Times New Roman" w:hAnsi="Times New Roman"/>
          <w:sz w:val="24"/>
          <w:szCs w:val="24"/>
        </w:rPr>
        <w:t xml:space="preserve">проектното предложение се отнася за обявената процедура за подбор на проекти;  </w:t>
      </w:r>
    </w:p>
    <w:p w14:paraId="584C2AE7"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пълнота на проектното предложение – на основа на Формуляра за кандидатстване се проверява дали са попълнени всички раздели, за които е указано, че са задължителни – са налице всички документи, представени и попълнени съгласно изискванията, посочени в Условията за кандидатстване; декларациите са попълнени по образец и подписани;</w:t>
      </w:r>
    </w:p>
    <w:p w14:paraId="7D16B974"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 xml:space="preserve">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w:t>
      </w:r>
      <w:r w:rsidRPr="00BE793D">
        <w:rPr>
          <w:rFonts w:ascii="Times New Roman" w:hAnsi="Times New Roman"/>
          <w:sz w:val="24"/>
          <w:szCs w:val="24"/>
        </w:rPr>
        <w:lastRenderedPageBreak/>
        <w:t>посочени в Условията за кандидатстване. – продължителността на проекта е в рамките на максималната продължителност, съобразно изискванията на съответната процедура;</w:t>
      </w:r>
    </w:p>
    <w:p w14:paraId="6BD599AA"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други административни изисквания, определени в Условията за кандидатстване по съответната процедура.</w:t>
      </w:r>
    </w:p>
    <w:p w14:paraId="7C74F8C7" w14:textId="77777777" w:rsidR="00BE793D" w:rsidRDefault="00FD5A3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FD5A3A">
        <w:rPr>
          <w:rFonts w:ascii="Times New Roman" w:hAnsi="Times New Roman" w:cs="Times New Roman"/>
          <w:color w:val="000000" w:themeColor="text1"/>
          <w:sz w:val="24"/>
          <w:szCs w:val="24"/>
        </w:rPr>
        <w:t>Оценката за административно съответствие и допустимостта се извършва най-малко от двама членове на комисията, като членовете, представляващи публичния сектор</w:t>
      </w:r>
      <w:r w:rsidR="00640D58">
        <w:rPr>
          <w:rStyle w:val="a8"/>
          <w:rFonts w:ascii="Times New Roman" w:hAnsi="Times New Roman" w:cs="Times New Roman"/>
          <w:color w:val="000000" w:themeColor="text1"/>
          <w:sz w:val="24"/>
          <w:szCs w:val="24"/>
        </w:rPr>
        <w:footnoteReference w:id="21"/>
      </w:r>
      <w:r w:rsidRPr="00FD5A3A">
        <w:rPr>
          <w:rFonts w:ascii="Times New Roman" w:hAnsi="Times New Roman" w:cs="Times New Roman"/>
          <w:color w:val="000000" w:themeColor="text1"/>
          <w:sz w:val="24"/>
          <w:szCs w:val="24"/>
        </w:rPr>
        <w:t xml:space="preserve">  не трябва да са повече от 50%. Те могат да бъдат подпомагани от помощник-оценители.</w:t>
      </w:r>
    </w:p>
    <w:p w14:paraId="2E78EB65" w14:textId="77777777" w:rsidR="00540624" w:rsidRPr="00540624"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Когато при оценката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14:paraId="32F54426" w14:textId="77777777" w:rsidR="00540624" w:rsidRPr="000A3DFA"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p>
    <w:p w14:paraId="0644348F" w14:textId="77777777" w:rsidR="00D1465A" w:rsidRPr="00422728" w:rsidRDefault="00D1465A" w:rsidP="004524A5">
      <w:pPr>
        <w:pStyle w:val="2"/>
        <w:rPr>
          <w:sz w:val="24"/>
          <w:szCs w:val="24"/>
        </w:rPr>
      </w:pPr>
      <w:bookmarkStart w:id="35" w:name="_Toc489431906"/>
      <w:bookmarkStart w:id="36" w:name="_Toc494709529"/>
      <w:r w:rsidRPr="00422728">
        <w:rPr>
          <w:sz w:val="24"/>
          <w:szCs w:val="24"/>
        </w:rPr>
        <w:t>21.2. Техническа и финансова оценка</w:t>
      </w:r>
      <w:bookmarkEnd w:id="35"/>
      <w:bookmarkEnd w:id="36"/>
    </w:p>
    <w:p w14:paraId="01A101C2"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Техническа и финансова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Водено от общностите местно развитие, съгласно документите по чл. 42, ал. 3 на ПМС 161 от 4 юли 2016 г.</w:t>
      </w:r>
    </w:p>
    <w:p w14:paraId="18CD1E9C" w14:textId="77777777" w:rsidR="00D1465A" w:rsidRPr="000A3DF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Когато при оценката се установи липса на документи и/или друга нередовност Комисията за подбор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w:t>
      </w:r>
      <w:r w:rsidRPr="000A3DFA">
        <w:rPr>
          <w:rFonts w:ascii="Times New Roman" w:hAnsi="Times New Roman" w:cs="Times New Roman"/>
          <w:color w:val="000000" w:themeColor="text1"/>
          <w:sz w:val="24"/>
          <w:szCs w:val="24"/>
        </w:rPr>
        <w:lastRenderedPageBreak/>
        <w:t>2020. Кандидатът представя допълнителните разяснения и/или документи по електронен път чрез ИСУН 2020.</w:t>
      </w:r>
    </w:p>
    <w:p w14:paraId="101C03D1"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w:t>
      </w:r>
      <w:r w:rsidR="00487E46">
        <w:rPr>
          <w:rFonts w:ascii="Times New Roman" w:hAnsi="Times New Roman" w:cs="Times New Roman"/>
          <w:color w:val="000000" w:themeColor="text1"/>
          <w:sz w:val="24"/>
          <w:szCs w:val="24"/>
        </w:rPr>
        <w:t>” в ИСУН 2020 от 14 май 2016 г.</w:t>
      </w:r>
    </w:p>
    <w:p w14:paraId="1DCB304C" w14:textId="77777777" w:rsidR="00487E46"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Критериите за техническа и финансова оценка на проектните предложения са обособени в раздели и подраздели</w:t>
      </w:r>
      <w:r w:rsidR="00487E46">
        <w:rPr>
          <w:rFonts w:ascii="Times New Roman" w:hAnsi="Times New Roman" w:cs="Times New Roman"/>
          <w:color w:val="000000" w:themeColor="text1"/>
          <w:sz w:val="24"/>
          <w:szCs w:val="24"/>
        </w:rPr>
        <w:t xml:space="preserve"> </w:t>
      </w:r>
      <w:r w:rsidR="00487E46" w:rsidRPr="00487E46">
        <w:rPr>
          <w:rFonts w:ascii="Times New Roman" w:hAnsi="Times New Roman" w:cs="Times New Roman"/>
          <w:color w:val="000000" w:themeColor="text1"/>
          <w:sz w:val="24"/>
          <w:szCs w:val="24"/>
        </w:rPr>
        <w:t>и са задължителни при оценка на проектните предложения от Комисията за подбор</w:t>
      </w:r>
      <w:r w:rsidR="00487E46">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17089AC2" w14:textId="77777777" w:rsidR="004C08F1"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5B6B7" w14:textId="77777777" w:rsidR="00D1465A" w:rsidRDefault="001674B9"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568B0">
        <w:rPr>
          <w:rFonts w:ascii="Times New Roman" w:hAnsi="Times New Roman" w:cs="Times New Roman"/>
          <w:b/>
          <w:color w:val="000000" w:themeColor="text1"/>
          <w:sz w:val="24"/>
          <w:szCs w:val="24"/>
        </w:rPr>
        <w:t xml:space="preserve">ВАЖНО: </w:t>
      </w:r>
      <w:r w:rsidR="00D1465A" w:rsidRPr="009568B0">
        <w:rPr>
          <w:rFonts w:ascii="Times New Roman" w:hAnsi="Times New Roman" w:cs="Times New Roman"/>
          <w:b/>
          <w:color w:val="000000" w:themeColor="text1"/>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01DF6F73" w14:textId="77777777" w:rsidR="004C08F1" w:rsidRPr="009568B0"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73C34C37" w14:textId="77777777" w:rsidR="005E29A7" w:rsidRPr="000A3DFA" w:rsidRDefault="005E29A7"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E29A7">
        <w:rPr>
          <w:rFonts w:ascii="Times New Roman" w:hAnsi="Times New Roman" w:cs="Times New Roman"/>
          <w:color w:val="000000" w:themeColor="text1"/>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64FD817" w14:textId="77777777" w:rsidR="005E29A7"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 за подбор установи наличието на обстоятелства </w:t>
      </w:r>
      <w:r w:rsidR="005E29A7">
        <w:rPr>
          <w:rFonts w:ascii="Times New Roman" w:hAnsi="Times New Roman" w:cs="Times New Roman"/>
          <w:color w:val="000000" w:themeColor="text1"/>
          <w:sz w:val="24"/>
          <w:szCs w:val="24"/>
        </w:rPr>
        <w:t>като</w:t>
      </w:r>
      <w:r w:rsidRPr="000A3DFA">
        <w:rPr>
          <w:rFonts w:ascii="Times New Roman" w:hAnsi="Times New Roman" w:cs="Times New Roman"/>
          <w:color w:val="000000" w:themeColor="text1"/>
          <w:sz w:val="24"/>
          <w:szCs w:val="24"/>
        </w:rPr>
        <w:t xml:space="preserve"> включени в проектното предложение недопустими дейности, недопустими и/или нереалистични разходи, дублиране на заложе</w:t>
      </w:r>
      <w:r w:rsidR="005E29A7">
        <w:rPr>
          <w:rFonts w:ascii="Times New Roman" w:hAnsi="Times New Roman" w:cs="Times New Roman"/>
          <w:color w:val="000000" w:themeColor="text1"/>
          <w:sz w:val="24"/>
          <w:szCs w:val="24"/>
        </w:rPr>
        <w:t>ни дейности и/или разходи и др.</w:t>
      </w:r>
      <w:r w:rsidRPr="000A3DFA">
        <w:rPr>
          <w:rFonts w:ascii="Times New Roman" w:hAnsi="Times New Roman" w:cs="Times New Roman"/>
          <w:color w:val="000000" w:themeColor="text1"/>
          <w:sz w:val="24"/>
          <w:szCs w:val="24"/>
        </w:rPr>
        <w:t xml:space="preserve">, </w:t>
      </w:r>
      <w:r w:rsidR="005E29A7">
        <w:rPr>
          <w:rFonts w:ascii="Times New Roman" w:hAnsi="Times New Roman" w:cs="Times New Roman"/>
          <w:color w:val="000000" w:themeColor="text1"/>
          <w:sz w:val="24"/>
          <w:szCs w:val="24"/>
        </w:rPr>
        <w:t>бюджетът на проектното предложение се променя</w:t>
      </w:r>
      <w:r w:rsidRPr="000A3DFA">
        <w:rPr>
          <w:rFonts w:ascii="Times New Roman" w:hAnsi="Times New Roman" w:cs="Times New Roman"/>
          <w:color w:val="000000" w:themeColor="text1"/>
          <w:sz w:val="24"/>
          <w:szCs w:val="24"/>
        </w:rPr>
        <w:t xml:space="preserve">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6021A95E"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 време на оценката Комисията за подбор проверява предложените индикативни цени за инвестиции в активи по отношение на реалистичност спрямо посочените цени в приложените оферти. В случай че по време на финансовата оценка се установи надвишаване на интензитета на безвъзмездната финансова помощ и/или максималния размер на безвъзмездната финансова помощ и/или максималният размер за извършване на дадена дейност, определени в Условията за кандидатстване, Комисията за подбор служебно го намалява до максимално допустимия интензитет и/или размер.</w:t>
      </w:r>
    </w:p>
    <w:p w14:paraId="066B7223"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3066D46" w14:textId="77777777" w:rsidR="00D1465A" w:rsidRPr="000A3DFA" w:rsidRDefault="00D1465A" w:rsidP="00EB4A4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В случай че по време на финансовата оценка се установи наличие на недопустими разходи или на разходи, които не са съпоставими с пазарните цени за аналогични активи, Комисията за подбор служебно коригира/премахва съответните разходи от бюджета на проекта (т. 5 о</w:t>
      </w:r>
      <w:r w:rsidR="00EB4A43">
        <w:rPr>
          <w:rFonts w:ascii="Times New Roman" w:hAnsi="Times New Roman" w:cs="Times New Roman"/>
          <w:color w:val="000000" w:themeColor="text1"/>
          <w:sz w:val="24"/>
          <w:szCs w:val="24"/>
        </w:rPr>
        <w:t>т Формуляра за кандидатстване).</w:t>
      </w:r>
    </w:p>
    <w:p w14:paraId="089AF7FD"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водят до: увеличаване на размера или на интензитета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3C286B6B" w14:textId="316A413D" w:rsidR="00EB4A43" w:rsidRPr="00326474" w:rsidRDefault="004C130D"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C130D">
        <w:rPr>
          <w:rFonts w:ascii="Times New Roman" w:hAnsi="Times New Roman"/>
          <w:b/>
          <w:sz w:val="24"/>
          <w:szCs w:val="24"/>
        </w:rPr>
        <w:t>ВАЖНО:</w:t>
      </w:r>
      <w:r>
        <w:rPr>
          <w:rFonts w:ascii="Times New Roman" w:hAnsi="Times New Roman"/>
          <w:sz w:val="24"/>
          <w:szCs w:val="24"/>
        </w:rPr>
        <w:t xml:space="preserve"> </w:t>
      </w:r>
      <w:r w:rsidR="00C47E76">
        <w:rPr>
          <w:rFonts w:ascii="Times New Roman" w:hAnsi="Times New Roman"/>
          <w:sz w:val="24"/>
          <w:szCs w:val="24"/>
        </w:rPr>
        <w:t>К</w:t>
      </w:r>
      <w:r w:rsidR="00EB4A43" w:rsidRPr="00326474">
        <w:rPr>
          <w:rFonts w:ascii="Times New Roman" w:hAnsi="Times New Roman"/>
          <w:sz w:val="24"/>
          <w:szCs w:val="24"/>
        </w:rPr>
        <w:t>омисия</w:t>
      </w:r>
      <w:r w:rsidR="00C47E76">
        <w:rPr>
          <w:rFonts w:ascii="Times New Roman" w:hAnsi="Times New Roman"/>
          <w:sz w:val="24"/>
          <w:szCs w:val="24"/>
        </w:rPr>
        <w:t>та за подбор</w:t>
      </w:r>
      <w:r w:rsidR="00EB4A43" w:rsidRPr="00326474">
        <w:rPr>
          <w:rFonts w:ascii="Times New Roman" w:hAnsi="Times New Roman"/>
          <w:sz w:val="24"/>
          <w:szCs w:val="24"/>
        </w:rPr>
        <w:t xml:space="preserve"> може да извършва корекции в бюджета на проектно предложение, в случай че при оценката се установи: </w:t>
      </w:r>
    </w:p>
    <w:p w14:paraId="75ADBE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наличие на недопустими дейности и/или разходи; </w:t>
      </w:r>
    </w:p>
    <w:p w14:paraId="257D19D6"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несъответствие между предвидените дейности и видовете заложени разходи; </w:t>
      </w:r>
    </w:p>
    <w:p w14:paraId="4B54E11C"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3.</w:t>
      </w:r>
      <w:r>
        <w:rPr>
          <w:rFonts w:ascii="Times New Roman" w:hAnsi="Times New Roman"/>
          <w:sz w:val="24"/>
          <w:szCs w:val="24"/>
        </w:rPr>
        <w:t xml:space="preserve"> </w:t>
      </w:r>
      <w:r w:rsidRPr="00326474">
        <w:rPr>
          <w:rFonts w:ascii="Times New Roman" w:hAnsi="Times New Roman"/>
          <w:sz w:val="24"/>
          <w:szCs w:val="24"/>
        </w:rPr>
        <w:t xml:space="preserve">дублиране на разходи; </w:t>
      </w:r>
    </w:p>
    <w:p w14:paraId="124CDC1F"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4.</w:t>
      </w:r>
      <w:r>
        <w:rPr>
          <w:rFonts w:ascii="Times New Roman" w:hAnsi="Times New Roman"/>
          <w:sz w:val="24"/>
          <w:szCs w:val="24"/>
        </w:rPr>
        <w:t xml:space="preserve"> </w:t>
      </w:r>
      <w:r w:rsidRPr="00326474">
        <w:rPr>
          <w:rFonts w:ascii="Times New Roman" w:hAnsi="Times New Roman"/>
          <w:sz w:val="24"/>
          <w:szCs w:val="24"/>
        </w:rPr>
        <w:t xml:space="preserve">неспазване на заложените в Насоките за кандидатстване правила или ограничения по отношение на заложени процентни съотношения/прагове на разходите; </w:t>
      </w:r>
    </w:p>
    <w:p w14:paraId="29A548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5.</w:t>
      </w:r>
      <w:r>
        <w:rPr>
          <w:rFonts w:ascii="Times New Roman" w:hAnsi="Times New Roman"/>
          <w:sz w:val="24"/>
          <w:szCs w:val="24"/>
        </w:rPr>
        <w:t xml:space="preserve"> </w:t>
      </w:r>
      <w:r w:rsidRPr="00326474">
        <w:rPr>
          <w:rFonts w:ascii="Times New Roman" w:hAnsi="Times New Roman"/>
          <w:sz w:val="24"/>
          <w:szCs w:val="24"/>
        </w:rPr>
        <w:t xml:space="preserve">несъответствие с правилата за минималните помощи. </w:t>
      </w:r>
    </w:p>
    <w:p w14:paraId="44E6115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934645D" w14:textId="77777777" w:rsidR="00EB4A43" w:rsidRPr="004C130D"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sz w:val="24"/>
          <w:szCs w:val="24"/>
        </w:rPr>
      </w:pPr>
      <w:r w:rsidRPr="004C130D">
        <w:rPr>
          <w:rFonts w:ascii="Times New Roman" w:hAnsi="Times New Roman"/>
          <w:b/>
          <w:sz w:val="24"/>
          <w:szCs w:val="24"/>
        </w:rPr>
        <w:t xml:space="preserve">Направените корекциите не могат да водят до: </w:t>
      </w:r>
    </w:p>
    <w:p w14:paraId="79FB263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увеличаване на размера или на интензитета на безвъзмездната финансова помощ, предвидени в подаденото проектно предложение; </w:t>
      </w:r>
    </w:p>
    <w:p w14:paraId="32F6E5E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подобряване на качеството на проектното предложение и нарушаване на принципите по чл. 29, ал. 1, т. 1 и 2 ЗУСЕСИФ. </w:t>
      </w:r>
    </w:p>
    <w:p w14:paraId="44DF8100"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D64B6EA"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color w:val="000000"/>
          <w:sz w:val="24"/>
          <w:szCs w:val="24"/>
          <w:u w:val="single"/>
        </w:rPr>
      </w:pPr>
      <w:r w:rsidRPr="00326474">
        <w:rPr>
          <w:rFonts w:ascii="Times New Roman" w:hAnsi="Times New Roman"/>
          <w:b/>
          <w:color w:val="000000"/>
          <w:sz w:val="24"/>
          <w:szCs w:val="24"/>
          <w:u w:val="single"/>
        </w:rPr>
        <w:t>Комисията задължително извършва проверка за наличие/липса на двойно финансиране.</w:t>
      </w:r>
    </w:p>
    <w:p w14:paraId="2BCA07A6"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944094" w14:textId="77777777" w:rsidR="009373C2" w:rsidRDefault="00575825"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0C43C34" wp14:editId="73466A82">
                <wp:extent cx="1828800" cy="1828800"/>
                <wp:effectExtent l="0" t="0" r="15240" b="23495"/>
                <wp:docPr id="27" name="Текстово поле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1BAE119D" w14:textId="77777777" w:rsidR="005B4F08" w:rsidRPr="00114CC1" w:rsidRDefault="005B4F08"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C43C34" id="Текстово поле 27"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wcGpmIICAADt&#10;BAAADgAAAAAAAAAAAAAAAAAuAgAAZHJzL2Uyb0RvYy54bWxQSwECLQAUAAYACAAAACEAsD8FedkA&#10;AAAFAQAADwAAAAAAAAAAAAAAAADcBAAAZHJzL2Rvd25yZXYueG1sUEsFBgAAAAAEAAQA8wAAAOIF&#10;AAAAAA==&#10;" fillcolor="#d8d8d8 [2732]" strokeweight=".5pt">
                <v:textbox style="mso-fit-shape-to-text:t">
                  <w:txbxContent>
                    <w:p w14:paraId="1BAE119D" w14:textId="77777777" w:rsidR="005B4F08" w:rsidRPr="00114CC1" w:rsidRDefault="005B4F08"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v:textbox>
                <w10:anchorlock/>
              </v:shape>
            </w:pict>
          </mc:Fallback>
        </mc:AlternateContent>
      </w:r>
    </w:p>
    <w:p w14:paraId="527E1600"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lastRenderedPageBreak/>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r w:rsidRPr="000A3DFA">
        <w:rPr>
          <w:rFonts w:ascii="Times New Roman" w:hAnsi="Times New Roman" w:cs="Times New Roman"/>
          <w:b/>
          <w:color w:val="000000" w:themeColor="text1"/>
          <w:sz w:val="24"/>
          <w:szCs w:val="24"/>
        </w:rPr>
        <w:t xml:space="preserve"> </w:t>
      </w:r>
    </w:p>
    <w:p w14:paraId="4A1EEC98" w14:textId="77777777" w:rsidR="00D1465A" w:rsidRPr="005F308E"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5F308E">
        <w:rPr>
          <w:rFonts w:ascii="Times New Roman" w:hAnsi="Times New Roman" w:cs="Times New Roman"/>
          <w:color w:val="000000" w:themeColor="text1"/>
          <w:sz w:val="24"/>
          <w:szCs w:val="24"/>
        </w:rPr>
        <w:t>Проектното предложение се отхвърля когато:</w:t>
      </w:r>
    </w:p>
    <w:p w14:paraId="1F676C6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предложението е непълно или не отговаря в други отношения на поставените условия за административно съответствие;</w:t>
      </w:r>
    </w:p>
    <w:p w14:paraId="5DB71F9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не отговаря на условията за допустимост;</w:t>
      </w:r>
    </w:p>
    <w:p w14:paraId="55447C3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проектът не отговаря на условията за допустимост;</w:t>
      </w:r>
    </w:p>
    <w:p w14:paraId="3F5EFE76"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3A54C797"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6179B3B6" w14:textId="77777777" w:rsidR="0006283D" w:rsidRPr="005F308E" w:rsidRDefault="00D1465A"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Работата на Комисията за подбор приключва с оценителен доклад до Ръководителя</w:t>
      </w:r>
      <w:bookmarkStart w:id="37" w:name="_Toc494709530"/>
      <w:r w:rsidR="004524A5" w:rsidRPr="005F308E">
        <w:rPr>
          <w:rFonts w:ascii="Times New Roman" w:hAnsi="Times New Roman" w:cs="Times New Roman"/>
          <w:color w:val="000000" w:themeColor="text1"/>
          <w:sz w:val="24"/>
          <w:szCs w:val="24"/>
        </w:rPr>
        <w:t xml:space="preserve"> на Управляващия орган на ОПИК.</w:t>
      </w:r>
    </w:p>
    <w:p w14:paraId="14F02E61" w14:textId="77777777" w:rsidR="001B1012" w:rsidRPr="004770DA" w:rsidRDefault="005B224F" w:rsidP="004524A5">
      <w:pPr>
        <w:pStyle w:val="1"/>
      </w:pPr>
      <w:r w:rsidRPr="004770DA">
        <w:t>22</w:t>
      </w:r>
      <w:r w:rsidR="001B1012" w:rsidRPr="004770DA">
        <w:t>. Критерии и методика за оценка на проектните предложения</w:t>
      </w:r>
      <w:bookmarkEnd w:id="37"/>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5"/>
        <w:gridCol w:w="1388"/>
      </w:tblGrid>
      <w:tr w:rsidR="000A3DFA" w:rsidRPr="00B179EB" w14:paraId="3BBF6A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6A6A6"/>
          </w:tcPr>
          <w:p w14:paraId="5D2FE9DF"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Критерии</w:t>
            </w:r>
          </w:p>
        </w:tc>
        <w:tc>
          <w:tcPr>
            <w:tcW w:w="703" w:type="pct"/>
            <w:tcBorders>
              <w:top w:val="single" w:sz="4" w:space="0" w:color="auto"/>
              <w:left w:val="single" w:sz="4" w:space="0" w:color="auto"/>
              <w:bottom w:val="single" w:sz="4" w:space="0" w:color="auto"/>
              <w:right w:val="single" w:sz="4" w:space="0" w:color="auto"/>
            </w:tcBorders>
            <w:shd w:val="clear" w:color="auto" w:fill="A6A6A6"/>
            <w:vAlign w:val="center"/>
          </w:tcPr>
          <w:p w14:paraId="122BF76A" w14:textId="77777777" w:rsidR="00FB2003" w:rsidRPr="009D4828" w:rsidRDefault="00FB2003"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Макс. брой точки</w:t>
            </w:r>
          </w:p>
        </w:tc>
      </w:tr>
      <w:tr w:rsidR="000A3DFA" w:rsidRPr="00B179EB" w14:paraId="693D35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3963F940"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I. Икономическа и финансова стабилност на кандидата преди изпълнение на проекта</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4B5DD18F"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19</w:t>
            </w:r>
          </w:p>
        </w:tc>
      </w:tr>
      <w:tr w:rsidR="000A3DFA" w:rsidRPr="00B179EB" w14:paraId="4DC9E585"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8D9E3" w14:textId="1BCA17AC" w:rsidR="007C7103" w:rsidRPr="009D4828" w:rsidRDefault="004171D6" w:rsidP="00726002">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Коефициент на рентабилност на печалбата преди лихви,  данъци  и амортизации – EBITDA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726002"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BDA7D" w14:textId="3E9D9B20" w:rsidR="007C7103" w:rsidRPr="009D4828" w:rsidDel="009121CD" w:rsidRDefault="00C322CD" w:rsidP="00C322CD">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8</w:t>
            </w:r>
          </w:p>
        </w:tc>
      </w:tr>
      <w:tr w:rsidR="000A3DFA" w:rsidRPr="00B179EB" w14:paraId="6CF6B1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FFAC" w14:textId="7A65B465" w:rsidR="00726002" w:rsidRPr="009D4828" w:rsidRDefault="00360A1F" w:rsidP="00726002">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9653CD" w:rsidRPr="009D4828">
              <w:rPr>
                <w:rFonts w:ascii="Times New Roman" w:eastAsia="Times New Roman" w:hAnsi="Times New Roman" w:cs="Times New Roman"/>
                <w:color w:val="000000" w:themeColor="text1"/>
                <w:sz w:val="24"/>
                <w:szCs w:val="24"/>
                <w:lang w:eastAsia="pl-PL"/>
              </w:rPr>
              <w:t xml:space="preserve">. Производителност на кандидата </w:t>
            </w:r>
            <w:r w:rsidR="00C2179D" w:rsidRPr="009D4828">
              <w:rPr>
                <w:rFonts w:ascii="Times New Roman" w:eastAsia="Times New Roman" w:hAnsi="Times New Roman" w:cs="Times New Roman"/>
                <w:color w:val="000000" w:themeColor="text1"/>
                <w:sz w:val="24"/>
                <w:szCs w:val="24"/>
                <w:lang w:eastAsia="pl-PL"/>
              </w:rPr>
              <w:t>за последните три</w:t>
            </w:r>
            <w:r w:rsidR="00136993" w:rsidRPr="009D4828">
              <w:rPr>
                <w:rFonts w:ascii="Times New Roman" w:eastAsia="Times New Roman" w:hAnsi="Times New Roman" w:cs="Times New Roman"/>
                <w:color w:val="000000" w:themeColor="text1"/>
                <w:sz w:val="24"/>
                <w:szCs w:val="24"/>
                <w:lang w:eastAsia="pl-PL"/>
              </w:rPr>
              <w:t xml:space="preserve"> приключени</w:t>
            </w:r>
            <w:r w:rsidR="00C2179D" w:rsidRPr="009D4828">
              <w:rPr>
                <w:rFonts w:ascii="Times New Roman" w:eastAsia="Times New Roman" w:hAnsi="Times New Roman" w:cs="Times New Roman"/>
                <w:color w:val="000000" w:themeColor="text1"/>
                <w:sz w:val="24"/>
                <w:szCs w:val="24"/>
                <w:lang w:eastAsia="pl-PL"/>
              </w:rPr>
              <w:t xml:space="preserve"> 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B59F3" w14:textId="17F5B978" w:rsidR="00396501"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B179EB" w14:paraId="776D9B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4F0E9B05" w14:textId="268C0C20" w:rsidR="00726002" w:rsidRPr="009D4828" w:rsidRDefault="00360A1F" w:rsidP="00726002">
            <w:pPr>
              <w:spacing w:after="0" w:line="276" w:lineRule="auto"/>
              <w:jc w:val="both"/>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r w:rsidR="00FB2003" w:rsidRPr="009D4828">
              <w:rPr>
                <w:rFonts w:ascii="Times New Roman" w:eastAsia="Times New Roman" w:hAnsi="Times New Roman" w:cs="Times New Roman"/>
                <w:bCs/>
                <w:color w:val="000000" w:themeColor="text1"/>
                <w:sz w:val="24"/>
                <w:szCs w:val="24"/>
                <w:lang w:eastAsia="pl-PL"/>
              </w:rPr>
              <w:t xml:space="preserve">. Приходи от износ </w:t>
            </w:r>
            <w:r w:rsidR="00C2179D" w:rsidRPr="009D4828">
              <w:rPr>
                <w:rFonts w:ascii="Times New Roman" w:eastAsia="Times New Roman" w:hAnsi="Times New Roman" w:cs="Times New Roman"/>
                <w:bCs/>
                <w:color w:val="000000" w:themeColor="text1"/>
                <w:sz w:val="24"/>
                <w:szCs w:val="24"/>
                <w:lang w:eastAsia="pl-PL"/>
              </w:rPr>
              <w:t xml:space="preserve">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5E0187" w14:textId="444D913A" w:rsidR="00FB2003" w:rsidRPr="009D4828" w:rsidRDefault="008B1C40" w:rsidP="008B1C40">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val="en-US" w:eastAsia="pl-PL"/>
              </w:rPr>
              <w:t>2</w:t>
            </w:r>
          </w:p>
        </w:tc>
      </w:tr>
      <w:tr w:rsidR="000A3DFA" w:rsidRPr="00B179EB" w14:paraId="31C1DA04"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42FD94A1" w14:textId="7385C995" w:rsidR="00726002" w:rsidRPr="009D4828" w:rsidRDefault="00360A1F"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r w:rsidR="00A23275" w:rsidRPr="009D4828">
              <w:rPr>
                <w:rFonts w:ascii="Times New Roman" w:eastAsia="Times New Roman" w:hAnsi="Times New Roman" w:cs="Times New Roman"/>
                <w:color w:val="000000" w:themeColor="text1"/>
                <w:sz w:val="24"/>
                <w:szCs w:val="24"/>
                <w:lang w:eastAsia="pl-PL"/>
              </w:rPr>
              <w:t xml:space="preserve">. </w:t>
            </w:r>
            <w:r w:rsidR="00361438" w:rsidRPr="009D4828">
              <w:rPr>
                <w:rFonts w:ascii="Times New Roman" w:eastAsia="Times New Roman" w:hAnsi="Times New Roman" w:cs="Times New Roman"/>
                <w:color w:val="000000" w:themeColor="text1"/>
                <w:sz w:val="24"/>
                <w:szCs w:val="24"/>
                <w:lang w:eastAsia="pl-PL"/>
              </w:rPr>
              <w:t xml:space="preserve">Съпоставимост между средната стойност на EBITDA за </w:t>
            </w:r>
            <w:r w:rsidR="00C2179D" w:rsidRPr="009D4828">
              <w:rPr>
                <w:rFonts w:ascii="Times New Roman" w:eastAsia="Times New Roman" w:hAnsi="Times New Roman" w:cs="Times New Roman"/>
                <w:color w:val="000000" w:themeColor="text1"/>
                <w:sz w:val="24"/>
                <w:szCs w:val="24"/>
                <w:lang w:eastAsia="pl-PL"/>
              </w:rPr>
              <w:t xml:space="preserve">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r w:rsidR="00361438" w:rsidRPr="009D4828">
              <w:rPr>
                <w:rFonts w:ascii="Times New Roman" w:eastAsia="Times New Roman" w:hAnsi="Times New Roman" w:cs="Times New Roman"/>
                <w:color w:val="000000" w:themeColor="text1"/>
                <w:sz w:val="24"/>
                <w:szCs w:val="24"/>
                <w:lang w:eastAsia="pl-PL"/>
              </w:rPr>
              <w:t xml:space="preserve"> на кандидата и стойността на </w:t>
            </w:r>
            <w:r w:rsidR="00C62F59" w:rsidRPr="009D4828">
              <w:rPr>
                <w:rFonts w:ascii="Times New Roman" w:eastAsia="Times New Roman" w:hAnsi="Times New Roman" w:cs="Times New Roman"/>
                <w:color w:val="000000" w:themeColor="text1"/>
                <w:sz w:val="24"/>
                <w:szCs w:val="24"/>
                <w:lang w:eastAsia="pl-PL"/>
              </w:rPr>
              <w:t xml:space="preserve">заявените </w:t>
            </w:r>
            <w:r w:rsidR="00361438" w:rsidRPr="009D4828">
              <w:rPr>
                <w:rFonts w:ascii="Times New Roman" w:eastAsia="Times New Roman" w:hAnsi="Times New Roman" w:cs="Times New Roman"/>
                <w:color w:val="000000" w:themeColor="text1"/>
                <w:sz w:val="24"/>
                <w:szCs w:val="24"/>
                <w:lang w:eastAsia="pl-PL"/>
              </w:rPr>
              <w:t>общ</w:t>
            </w:r>
            <w:r w:rsidR="00AD21BF" w:rsidRPr="009D4828">
              <w:rPr>
                <w:rFonts w:ascii="Times New Roman" w:eastAsia="Times New Roman" w:hAnsi="Times New Roman" w:cs="Times New Roman"/>
                <w:color w:val="000000" w:themeColor="text1"/>
                <w:sz w:val="24"/>
                <w:szCs w:val="24"/>
                <w:lang w:eastAsia="pl-PL"/>
              </w:rPr>
              <w:t>и</w:t>
            </w:r>
            <w:r w:rsidR="00361438" w:rsidRPr="009D4828">
              <w:rPr>
                <w:rFonts w:ascii="Times New Roman" w:eastAsia="Times New Roman" w:hAnsi="Times New Roman" w:cs="Times New Roman"/>
                <w:color w:val="000000" w:themeColor="text1"/>
                <w:sz w:val="24"/>
                <w:szCs w:val="24"/>
                <w:lang w:eastAsia="pl-PL"/>
              </w:rPr>
              <w:t xml:space="preserve"> допустими разходи по проекта</w:t>
            </w:r>
          </w:p>
        </w:tc>
        <w:tc>
          <w:tcPr>
            <w:tcW w:w="703" w:type="pct"/>
            <w:tcBorders>
              <w:top w:val="single" w:sz="4" w:space="0" w:color="auto"/>
              <w:left w:val="single" w:sz="4" w:space="0" w:color="auto"/>
              <w:bottom w:val="single" w:sz="4" w:space="0" w:color="auto"/>
              <w:right w:val="single" w:sz="4" w:space="0" w:color="auto"/>
            </w:tcBorders>
            <w:vAlign w:val="center"/>
          </w:tcPr>
          <w:p w14:paraId="153BCA05" w14:textId="77777777" w:rsidR="00DA7D99"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B179EB" w14:paraId="5E31BAD6"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587C4" w14:textId="1DBC08AD" w:rsidR="002C57D9" w:rsidRPr="009D4828" w:rsidRDefault="00950AFB" w:rsidP="002C57D9">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r w:rsidR="00360A1F" w:rsidRPr="009D4828">
              <w:rPr>
                <w:rFonts w:ascii="Times New Roman" w:eastAsia="Times New Roman" w:hAnsi="Times New Roman" w:cs="Times New Roman"/>
                <w:color w:val="000000" w:themeColor="text1"/>
                <w:sz w:val="24"/>
                <w:szCs w:val="24"/>
                <w:lang w:eastAsia="pl-PL"/>
              </w:rPr>
              <w:t xml:space="preserve">. Коефициент на задлъжнялост </w:t>
            </w:r>
            <w:r w:rsidR="00C2179D" w:rsidRPr="009D4828">
              <w:rPr>
                <w:rFonts w:ascii="Times New Roman" w:eastAsia="Times New Roman" w:hAnsi="Times New Roman" w:cs="Times New Roman"/>
                <w:color w:val="000000" w:themeColor="text1"/>
                <w:sz w:val="24"/>
                <w:szCs w:val="24"/>
                <w:lang w:eastAsia="pl-PL"/>
              </w:rPr>
              <w:t xml:space="preserve">спрямо последната </w:t>
            </w:r>
            <w:r w:rsidR="00136993" w:rsidRPr="009D4828">
              <w:rPr>
                <w:rFonts w:ascii="Times New Roman" w:eastAsia="Times New Roman" w:hAnsi="Times New Roman" w:cs="Times New Roman"/>
                <w:color w:val="000000" w:themeColor="text1"/>
                <w:sz w:val="24"/>
                <w:szCs w:val="24"/>
                <w:lang w:eastAsia="pl-PL"/>
              </w:rPr>
              <w:t xml:space="preserve">приключена </w:t>
            </w:r>
            <w:r w:rsidR="00C2179D" w:rsidRPr="009D4828">
              <w:rPr>
                <w:rFonts w:ascii="Times New Roman" w:eastAsia="Times New Roman" w:hAnsi="Times New Roman" w:cs="Times New Roman"/>
                <w:color w:val="000000" w:themeColor="text1"/>
                <w:sz w:val="24"/>
                <w:szCs w:val="24"/>
                <w:lang w:eastAsia="pl-PL"/>
              </w:rPr>
              <w:t>финансова година</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672DF" w14:textId="77777777" w:rsidR="00360A1F"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B179EB" w14:paraId="6320164C" w14:textId="77777777" w:rsidTr="00B01A11">
        <w:trPr>
          <w:trHeight w:val="397"/>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34D99E2D" w14:textId="77777777" w:rsidR="00FB2003" w:rsidRPr="009D4828"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 xml:space="preserve">II. </w:t>
            </w:r>
            <w:r w:rsidR="009A7C72" w:rsidRPr="009D4828">
              <w:rPr>
                <w:rFonts w:ascii="Times New Roman" w:eastAsia="Times New Roman" w:hAnsi="Times New Roman" w:cs="Times New Roman"/>
                <w:b/>
                <w:bCs/>
                <w:color w:val="000000" w:themeColor="text1"/>
                <w:sz w:val="24"/>
                <w:szCs w:val="24"/>
                <w:lang w:eastAsia="pl-PL"/>
              </w:rPr>
              <w:t>Капацитет</w:t>
            </w:r>
            <w:r w:rsidRPr="009D4828">
              <w:rPr>
                <w:rFonts w:ascii="Times New Roman" w:eastAsia="Times New Roman" w:hAnsi="Times New Roman" w:cs="Times New Roman"/>
                <w:b/>
                <w:bCs/>
                <w:color w:val="000000" w:themeColor="text1"/>
                <w:sz w:val="24"/>
                <w:szCs w:val="24"/>
                <w:lang w:eastAsia="pl-PL"/>
              </w:rPr>
              <w:t xml:space="preserve"> на кандидата в инвестиционни проекти </w:t>
            </w:r>
            <w:r w:rsidR="00322699" w:rsidRPr="009D4828">
              <w:rPr>
                <w:rFonts w:ascii="Times New Roman" w:eastAsia="Times New Roman" w:hAnsi="Times New Roman" w:cs="Times New Roman"/>
                <w:b/>
                <w:bCs/>
                <w:color w:val="000000" w:themeColor="text1"/>
                <w:sz w:val="24"/>
                <w:szCs w:val="24"/>
                <w:lang w:eastAsia="pl-PL"/>
              </w:rPr>
              <w:t>и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1B95F68C" w14:textId="77777777" w:rsidR="00FB2003" w:rsidRPr="009D4828"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9D4828">
              <w:rPr>
                <w:rFonts w:ascii="Times New Roman" w:eastAsia="Times New Roman" w:hAnsi="Times New Roman" w:cs="Times New Roman"/>
                <w:b/>
                <w:bCs/>
                <w:color w:val="000000" w:themeColor="text1"/>
                <w:sz w:val="24"/>
                <w:szCs w:val="24"/>
                <w:lang w:eastAsia="pl-PL"/>
              </w:rPr>
              <w:t>6</w:t>
            </w:r>
          </w:p>
        </w:tc>
      </w:tr>
      <w:tr w:rsidR="000A3DFA" w:rsidRPr="00B179EB" w14:paraId="38F85440"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61045FB6" w14:textId="2A5DC202" w:rsidR="00220163" w:rsidRPr="009D4828" w:rsidRDefault="00FB2003" w:rsidP="00D1742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1. Инвестиционна дейност на кандидата </w:t>
            </w:r>
            <w:r w:rsidR="00C2179D" w:rsidRPr="009D4828">
              <w:rPr>
                <w:rFonts w:ascii="Times New Roman" w:eastAsia="Times New Roman" w:hAnsi="Times New Roman" w:cs="Times New Roman"/>
                <w:color w:val="000000" w:themeColor="text1"/>
                <w:sz w:val="24"/>
                <w:szCs w:val="24"/>
                <w:lang w:eastAsia="pl-PL"/>
              </w:rPr>
              <w:t xml:space="preserve">за последните три </w:t>
            </w:r>
            <w:r w:rsidR="00136993" w:rsidRPr="009D4828">
              <w:rPr>
                <w:rFonts w:ascii="Times New Roman" w:eastAsia="Times New Roman" w:hAnsi="Times New Roman" w:cs="Times New Roman"/>
                <w:color w:val="000000" w:themeColor="text1"/>
                <w:sz w:val="24"/>
                <w:szCs w:val="24"/>
                <w:lang w:eastAsia="pl-PL"/>
              </w:rPr>
              <w:t xml:space="preserve">приключени </w:t>
            </w:r>
            <w:r w:rsidR="00C2179D" w:rsidRPr="009D4828">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FD8BDDA" w14:textId="4A3203A2" w:rsidR="00FB2003"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B179EB" w14:paraId="34B65B1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9C4DF10" w14:textId="77777777" w:rsidR="004329D2" w:rsidRPr="009D4828" w:rsidRDefault="004329D2"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 xml:space="preserve">2. Внедрени </w:t>
            </w:r>
            <w:r w:rsidR="00A234EA" w:rsidRPr="009D4828">
              <w:rPr>
                <w:rFonts w:ascii="Times New Roman" w:eastAsia="Times New Roman" w:hAnsi="Times New Roman" w:cs="Times New Roman"/>
                <w:color w:val="000000" w:themeColor="text1"/>
                <w:sz w:val="24"/>
                <w:szCs w:val="24"/>
                <w:lang w:eastAsia="pl-PL"/>
              </w:rPr>
              <w:t>машини/стандарти/</w:t>
            </w:r>
            <w:r w:rsidRPr="009D4828">
              <w:rPr>
                <w:rFonts w:ascii="Times New Roman" w:eastAsia="Times New Roman" w:hAnsi="Times New Roman" w:cs="Times New Roman"/>
                <w:color w:val="000000" w:themeColor="text1"/>
                <w:sz w:val="24"/>
                <w:szCs w:val="24"/>
                <w:lang w:eastAsia="pl-PL"/>
              </w:rPr>
              <w:t>системи за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0AE2B0E" w14:textId="640D7C69" w:rsidR="004329D2" w:rsidRPr="009D4828"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w:t>
            </w:r>
          </w:p>
        </w:tc>
      </w:tr>
      <w:tr w:rsidR="000A3DFA" w:rsidRPr="009D4828" w14:paraId="759A24FD"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52D0E170" w14:textId="77777777" w:rsidR="00FB2003" w:rsidRPr="009D4828" w:rsidRDefault="00FB2003" w:rsidP="00C2179D">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lastRenderedPageBreak/>
              <w:t xml:space="preserve">III. </w:t>
            </w:r>
            <w:r w:rsidR="00A939D3" w:rsidRPr="009D4828">
              <w:rPr>
                <w:rFonts w:ascii="Times New Roman" w:eastAsia="Times New Roman" w:hAnsi="Times New Roman" w:cs="Times New Roman"/>
                <w:b/>
                <w:color w:val="000000" w:themeColor="text1"/>
                <w:sz w:val="24"/>
                <w:szCs w:val="24"/>
                <w:lang w:eastAsia="pl-PL"/>
              </w:rPr>
              <w:t>Е</w:t>
            </w:r>
            <w:r w:rsidRPr="009D4828">
              <w:rPr>
                <w:rFonts w:ascii="Times New Roman" w:eastAsia="Times New Roman" w:hAnsi="Times New Roman" w:cs="Times New Roman"/>
                <w:b/>
                <w:color w:val="000000" w:themeColor="text1"/>
                <w:sz w:val="24"/>
                <w:szCs w:val="24"/>
                <w:lang w:eastAsia="pl-PL"/>
              </w:rPr>
              <w:t>фект от изпълнението на проекта</w:t>
            </w:r>
            <w:r w:rsidR="00A2152F" w:rsidRPr="009D4828">
              <w:rPr>
                <w:rStyle w:val="a8"/>
                <w:rFonts w:ascii="Times New Roman" w:eastAsia="Times New Roman" w:hAnsi="Times New Roman" w:cs="Times New Roman"/>
                <w:b/>
                <w:color w:val="000000" w:themeColor="text1"/>
                <w:sz w:val="24"/>
                <w:szCs w:val="24"/>
                <w:lang w:eastAsia="pl-PL"/>
              </w:rPr>
              <w:footnoteReference w:id="22"/>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32655C7E" w14:textId="77777777" w:rsidR="00FB2003" w:rsidRPr="009D4828" w:rsidRDefault="00C2179D"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10</w:t>
            </w:r>
          </w:p>
        </w:tc>
      </w:tr>
      <w:tr w:rsidR="000A3DFA" w:rsidRPr="009D4828" w14:paraId="201D9271"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3589E83C" w14:textId="77777777" w:rsidR="008A261B" w:rsidRPr="009D4828" w:rsidRDefault="008A261B" w:rsidP="00C2179D">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1. Вътрешна норма на възвръщаемост</w:t>
            </w:r>
            <w:r w:rsidR="00D167FD" w:rsidRPr="009D4828">
              <w:rPr>
                <w:rStyle w:val="a8"/>
                <w:rFonts w:ascii="Times New Roman" w:eastAsia="Times New Roman" w:hAnsi="Times New Roman" w:cs="Times New Roman"/>
                <w:color w:val="000000" w:themeColor="text1"/>
                <w:sz w:val="24"/>
                <w:szCs w:val="24"/>
                <w:lang w:eastAsia="pl-PL"/>
              </w:rPr>
              <w:footnoteReference w:id="23"/>
            </w:r>
            <w:r w:rsidR="00C2179D" w:rsidRPr="009D4828">
              <w:rPr>
                <w:rFonts w:ascii="Times New Roman" w:hAnsi="Times New Roman" w:cs="Times New Roman"/>
                <w:color w:val="000000" w:themeColor="text1"/>
                <w:sz w:val="24"/>
                <w:szCs w:val="24"/>
              </w:rPr>
              <w:t xml:space="preserve"> </w:t>
            </w:r>
            <w:r w:rsidR="00C2179D" w:rsidRPr="009D4828">
              <w:rPr>
                <w:rFonts w:ascii="Times New Roman" w:eastAsia="Times New Roman" w:hAnsi="Times New Roman" w:cs="Times New Roman"/>
                <w:color w:val="000000" w:themeColor="text1"/>
                <w:sz w:val="24"/>
                <w:szCs w:val="24"/>
                <w:lang w:eastAsia="pl-PL"/>
              </w:rPr>
              <w:t xml:space="preserve"> </w:t>
            </w:r>
            <w:r w:rsidRPr="009D4828">
              <w:rPr>
                <w:rFonts w:ascii="Times New Roman" w:eastAsia="Times New Roman" w:hAnsi="Times New Roman" w:cs="Times New Roman"/>
                <w:color w:val="000000" w:themeColor="text1"/>
                <w:sz w:val="24"/>
                <w:szCs w:val="24"/>
                <w:lang w:eastAsia="pl-PL"/>
              </w:rPr>
              <w:t>(</w:t>
            </w:r>
            <w:r w:rsidR="00FD66BE" w:rsidRPr="009D4828">
              <w:rPr>
                <w:rFonts w:ascii="Times New Roman" w:eastAsia="Times New Roman" w:hAnsi="Times New Roman" w:cs="Times New Roman"/>
                <w:color w:val="000000" w:themeColor="text1"/>
                <w:sz w:val="24"/>
                <w:szCs w:val="24"/>
                <w:lang w:val="en-US" w:eastAsia="pl-PL"/>
              </w:rPr>
              <w:t>N</w:t>
            </w:r>
            <w:r w:rsidR="00FD66BE"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 xml:space="preserve"> 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69F160D" w14:textId="027C5173" w:rsidR="008A261B" w:rsidRPr="009D4828" w:rsidDel="008A261B" w:rsidRDefault="00C322CD" w:rsidP="00C322CD">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p>
        </w:tc>
      </w:tr>
      <w:tr w:rsidR="000A3DFA" w:rsidRPr="009D4828" w14:paraId="4B6C088A"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2987C8DA"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w:t>
            </w:r>
            <w:r w:rsidR="00FB2003" w:rsidRPr="009D4828">
              <w:rPr>
                <w:rFonts w:ascii="Times New Roman" w:eastAsia="Times New Roman" w:hAnsi="Times New Roman" w:cs="Times New Roman"/>
                <w:color w:val="000000" w:themeColor="text1"/>
                <w:sz w:val="24"/>
                <w:szCs w:val="24"/>
                <w:lang w:eastAsia="pl-PL"/>
              </w:rPr>
              <w:t>.</w:t>
            </w:r>
            <w:r w:rsidR="0029308D" w:rsidRPr="009D4828">
              <w:rPr>
                <w:rFonts w:ascii="Times New Roman" w:eastAsia="Times New Roman" w:hAnsi="Times New Roman" w:cs="Times New Roman"/>
                <w:color w:val="000000" w:themeColor="text1"/>
                <w:sz w:val="24"/>
                <w:szCs w:val="24"/>
                <w:lang w:eastAsia="pl-PL"/>
              </w:rPr>
              <w:t xml:space="preserve"> Нарастване на производителността (</w:t>
            </w:r>
            <w:r w:rsidR="00BA640F" w:rsidRPr="009D4828">
              <w:rPr>
                <w:rFonts w:ascii="Times New Roman" w:eastAsia="Times New Roman" w:hAnsi="Times New Roman" w:cs="Times New Roman"/>
                <w:color w:val="000000" w:themeColor="text1"/>
                <w:sz w:val="24"/>
                <w:szCs w:val="24"/>
                <w:lang w:eastAsia="pl-PL"/>
              </w:rPr>
              <w:t>N+1, N+2, N+3</w:t>
            </w:r>
            <w:r w:rsidR="0029308D"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93117D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646A9C9E"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0A907EE3" w14:textId="77777777" w:rsidR="00FB2003" w:rsidRPr="009D4828"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FB2003" w:rsidRPr="009D4828">
              <w:rPr>
                <w:rFonts w:ascii="Times New Roman" w:eastAsia="Times New Roman" w:hAnsi="Times New Roman" w:cs="Times New Roman"/>
                <w:color w:val="000000" w:themeColor="text1"/>
                <w:sz w:val="24"/>
                <w:szCs w:val="24"/>
                <w:lang w:eastAsia="pl-PL"/>
              </w:rPr>
              <w:t xml:space="preserve">. </w:t>
            </w:r>
            <w:r w:rsidR="00D81A46" w:rsidRPr="009D4828">
              <w:rPr>
                <w:rFonts w:ascii="Times New Roman" w:eastAsia="Times New Roman" w:hAnsi="Times New Roman" w:cs="Times New Roman"/>
                <w:color w:val="000000" w:themeColor="text1"/>
                <w:sz w:val="24"/>
                <w:szCs w:val="24"/>
                <w:lang w:eastAsia="pl-PL"/>
              </w:rPr>
              <w:t xml:space="preserve">Изменение на средните генерирани приходи от износ вследствие на инвестицията по проекта </w:t>
            </w:r>
            <w:r w:rsidR="00A53CC4" w:rsidRPr="009D4828">
              <w:rPr>
                <w:rFonts w:ascii="Times New Roman" w:eastAsia="Times New Roman" w:hAnsi="Times New Roman" w:cs="Times New Roman"/>
                <w:color w:val="000000" w:themeColor="text1"/>
                <w:sz w:val="24"/>
                <w:szCs w:val="24"/>
                <w:lang w:eastAsia="pl-PL"/>
              </w:rPr>
              <w:t>(</w:t>
            </w:r>
            <w:r w:rsidR="00BA640F" w:rsidRPr="009D4828">
              <w:rPr>
                <w:rFonts w:ascii="Times New Roman" w:eastAsia="Times New Roman" w:hAnsi="Times New Roman" w:cs="Times New Roman"/>
                <w:color w:val="000000" w:themeColor="text1"/>
                <w:sz w:val="24"/>
                <w:szCs w:val="24"/>
                <w:lang w:eastAsia="pl-PL"/>
              </w:rPr>
              <w:t>N+1, N+2, N+3</w:t>
            </w:r>
            <w:r w:rsidR="00A53CC4"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64607B64" w14:textId="77777777" w:rsidR="00FB2003" w:rsidRPr="009D4828"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2</w:t>
            </w:r>
          </w:p>
        </w:tc>
      </w:tr>
      <w:tr w:rsidR="000A3DFA" w:rsidRPr="009D4828" w14:paraId="530A7CE8"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69074BD0" w14:textId="77777777" w:rsidR="0026238D" w:rsidRPr="009D4828" w:rsidRDefault="0026238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4. Повишаване на ефективността на производствените разходи (</w:t>
            </w:r>
            <w:r w:rsidR="00BA640F" w:rsidRPr="009D4828">
              <w:rPr>
                <w:rFonts w:ascii="Times New Roman" w:eastAsia="Times New Roman" w:hAnsi="Times New Roman" w:cs="Times New Roman"/>
                <w:color w:val="000000" w:themeColor="text1"/>
                <w:sz w:val="24"/>
                <w:szCs w:val="24"/>
                <w:lang w:eastAsia="pl-PL"/>
              </w:rPr>
              <w:t>N+1, N+2, N+3</w:t>
            </w:r>
            <w:r w:rsidRPr="009D4828">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7F45269" w14:textId="10C1FC53" w:rsidR="0026238D" w:rsidRPr="009D4828" w:rsidDel="00A53CC4" w:rsidRDefault="00C322C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9D4828">
              <w:rPr>
                <w:rFonts w:ascii="Times New Roman" w:eastAsia="Times New Roman" w:hAnsi="Times New Roman" w:cs="Times New Roman"/>
                <w:bCs/>
                <w:color w:val="000000" w:themeColor="text1"/>
                <w:sz w:val="24"/>
                <w:szCs w:val="24"/>
                <w:lang w:eastAsia="pl-PL"/>
              </w:rPr>
              <w:t>3</w:t>
            </w:r>
          </w:p>
        </w:tc>
      </w:tr>
      <w:tr w:rsidR="000A3DFA" w:rsidRPr="009D4828" w14:paraId="7622E9C9"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5466A64C" w14:textId="77777777" w:rsidR="00FB2003" w:rsidRPr="009D4828" w:rsidRDefault="00BC1115" w:rsidP="00F26FF5">
            <w:pPr>
              <w:spacing w:after="0" w:line="276" w:lineRule="auto"/>
              <w:jc w:val="both"/>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I</w:t>
            </w:r>
            <w:r w:rsidR="00FB2003" w:rsidRPr="009D4828">
              <w:rPr>
                <w:rFonts w:ascii="Times New Roman" w:eastAsia="Times New Roman" w:hAnsi="Times New Roman" w:cs="Times New Roman"/>
                <w:b/>
                <w:color w:val="000000" w:themeColor="text1"/>
                <w:sz w:val="24"/>
                <w:szCs w:val="24"/>
                <w:lang w:eastAsia="pl-PL"/>
              </w:rPr>
              <w:t>V.</w:t>
            </w:r>
            <w:r w:rsidR="00FB2003" w:rsidRPr="009D4828" w:rsidDel="001948BC">
              <w:rPr>
                <w:rFonts w:ascii="Times New Roman" w:eastAsia="Times New Roman" w:hAnsi="Times New Roman" w:cs="Times New Roman"/>
                <w:b/>
                <w:color w:val="000000" w:themeColor="text1"/>
                <w:sz w:val="24"/>
                <w:szCs w:val="24"/>
                <w:lang w:eastAsia="pl-PL"/>
              </w:rPr>
              <w:t xml:space="preserve"> </w:t>
            </w:r>
            <w:r w:rsidR="00FB2003" w:rsidRPr="009D4828">
              <w:rPr>
                <w:rFonts w:ascii="Times New Roman" w:eastAsia="Times New Roman" w:hAnsi="Times New Roman" w:cs="Times New Roman"/>
                <w:b/>
                <w:color w:val="000000" w:themeColor="text1"/>
                <w:sz w:val="24"/>
                <w:szCs w:val="24"/>
                <w:lang w:eastAsia="pl-PL"/>
              </w:rPr>
              <w:t xml:space="preserve">Приоритизиране на проекти </w:t>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01069F89" w14:textId="77777777" w:rsidR="00FB2003" w:rsidRPr="009D4828" w:rsidRDefault="00F11305"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9D4828">
              <w:rPr>
                <w:rFonts w:ascii="Times New Roman" w:eastAsia="Times New Roman" w:hAnsi="Times New Roman" w:cs="Times New Roman"/>
                <w:b/>
                <w:color w:val="000000" w:themeColor="text1"/>
                <w:sz w:val="24"/>
                <w:szCs w:val="24"/>
                <w:lang w:eastAsia="pl-PL"/>
              </w:rPr>
              <w:t>1</w:t>
            </w:r>
            <w:r w:rsidR="00C2179D" w:rsidRPr="009D4828">
              <w:rPr>
                <w:rFonts w:ascii="Times New Roman" w:eastAsia="Times New Roman" w:hAnsi="Times New Roman" w:cs="Times New Roman"/>
                <w:b/>
                <w:color w:val="000000" w:themeColor="text1"/>
                <w:sz w:val="24"/>
                <w:szCs w:val="24"/>
                <w:lang w:val="en-US" w:eastAsia="pl-PL"/>
              </w:rPr>
              <w:t>5</w:t>
            </w:r>
          </w:p>
        </w:tc>
      </w:tr>
      <w:tr w:rsidR="000A3DFA" w:rsidRPr="009D4828" w14:paraId="7AC66F6D"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FFFFFF"/>
          </w:tcPr>
          <w:p w14:paraId="346FCBDE" w14:textId="77777777" w:rsidR="00FB2003" w:rsidRPr="009D4828" w:rsidRDefault="00C2179D" w:rsidP="00D75B68">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1. Тематично приоритизиране в областите на ИСИС</w:t>
            </w:r>
            <w:r w:rsidR="00015E52" w:rsidRPr="009D4828">
              <w:rPr>
                <w:rStyle w:val="a8"/>
                <w:rFonts w:ascii="Times New Roman" w:eastAsia="Times New Roman" w:hAnsi="Times New Roman" w:cs="Times New Roman"/>
                <w:color w:val="000000" w:themeColor="text1"/>
                <w:sz w:val="24"/>
                <w:szCs w:val="24"/>
                <w:lang w:eastAsia="pl-PL"/>
              </w:rPr>
              <w:footnoteReference w:id="24"/>
            </w:r>
            <w:r w:rsidR="009A6113" w:rsidRPr="009D4828">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3FECCECD" w14:textId="77777777" w:rsidR="00FB2003" w:rsidRPr="009D4828" w:rsidRDefault="00C2179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30D0684C"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29ADAA73" w14:textId="77777777" w:rsidR="00F11305" w:rsidRPr="009D4828" w:rsidRDefault="00C2179D"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2. Инвестиции за опазване на околната среда, вкл. такива, които допринасят за смекчаване на последи</w:t>
            </w:r>
            <w:r w:rsidR="0085431A" w:rsidRPr="009D4828">
              <w:rPr>
                <w:rFonts w:ascii="Times New Roman" w:eastAsia="Times New Roman" w:hAnsi="Times New Roman" w:cs="Times New Roman"/>
                <w:color w:val="000000" w:themeColor="text1"/>
                <w:sz w:val="24"/>
                <w:szCs w:val="24"/>
                <w:lang w:eastAsia="pl-PL"/>
              </w:rPr>
              <w:t>ците от изменението на климата</w:t>
            </w:r>
            <w:r w:rsidR="00E079C1" w:rsidRPr="009D4828">
              <w:rPr>
                <w:rStyle w:val="a8"/>
                <w:rFonts w:ascii="Times New Roman" w:eastAsia="Times New Roman" w:hAnsi="Times New Roman" w:cs="Times New Roman"/>
                <w:color w:val="000000" w:themeColor="text1"/>
                <w:sz w:val="24"/>
                <w:szCs w:val="24"/>
                <w:lang w:eastAsia="pl-PL"/>
              </w:rPr>
              <w:footnoteReference w:id="25"/>
            </w:r>
            <w:r w:rsidRPr="009D4828">
              <w:rPr>
                <w:rFonts w:ascii="Times New Roman" w:eastAsia="Times New Roman" w:hAnsi="Times New Roman" w:cs="Times New Roman"/>
                <w:color w:val="000000" w:themeColor="text1"/>
                <w:sz w:val="24"/>
                <w:szCs w:val="24"/>
                <w:lang w:eastAsia="pl-PL"/>
              </w:rPr>
              <w:t xml:space="preserve"> и приспособяване към тях</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670CF61" w14:textId="77777777" w:rsidR="00F11305" w:rsidRPr="009D4828" w:rsidRDefault="00562265" w:rsidP="00F26FF5">
            <w:pPr>
              <w:spacing w:after="0" w:line="276" w:lineRule="auto"/>
              <w:jc w:val="center"/>
              <w:rPr>
                <w:rFonts w:ascii="Times New Roman" w:eastAsia="Times New Roman" w:hAnsi="Times New Roman" w:cs="Times New Roman"/>
                <w:color w:val="000000" w:themeColor="text1"/>
                <w:sz w:val="24"/>
                <w:szCs w:val="24"/>
                <w:lang w:val="en-US" w:eastAsia="pl-PL"/>
              </w:rPr>
            </w:pPr>
            <w:r w:rsidRPr="009D4828">
              <w:rPr>
                <w:rFonts w:ascii="Times New Roman" w:eastAsia="Times New Roman" w:hAnsi="Times New Roman" w:cs="Times New Roman"/>
                <w:color w:val="000000" w:themeColor="text1"/>
                <w:sz w:val="24"/>
                <w:szCs w:val="24"/>
                <w:lang w:val="en-US" w:eastAsia="pl-PL"/>
              </w:rPr>
              <w:t>5</w:t>
            </w:r>
          </w:p>
        </w:tc>
      </w:tr>
      <w:tr w:rsidR="000A3DFA" w:rsidRPr="009D4828" w14:paraId="02D85E1B"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463DFDF5" w14:textId="77777777" w:rsidR="00F11305" w:rsidRPr="009D4828" w:rsidRDefault="00DB73E8" w:rsidP="00F26FF5">
            <w:pPr>
              <w:spacing w:after="0" w:line="276" w:lineRule="auto"/>
              <w:jc w:val="both"/>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r w:rsidR="00C2179D" w:rsidRPr="009D4828">
              <w:rPr>
                <w:rFonts w:ascii="Times New Roman" w:eastAsia="Times New Roman" w:hAnsi="Times New Roman" w:cs="Times New Roman"/>
                <w:color w:val="000000" w:themeColor="text1"/>
                <w:sz w:val="24"/>
                <w:szCs w:val="24"/>
                <w:lang w:eastAsia="pl-PL"/>
              </w:rPr>
              <w:t>. Устойчиво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3446B62" w14:textId="77777777" w:rsidR="00F11305" w:rsidRPr="009D4828" w:rsidRDefault="00F11305"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5</w:t>
            </w:r>
          </w:p>
        </w:tc>
      </w:tr>
      <w:tr w:rsidR="000A3DFA" w:rsidRPr="009D4828" w14:paraId="0FFF68D5" w14:textId="77777777" w:rsidTr="00B01A11">
        <w:tc>
          <w:tcPr>
            <w:tcW w:w="4297" w:type="pct"/>
            <w:shd w:val="clear" w:color="auto" w:fill="D9D9D9" w:themeFill="background1" w:themeFillShade="D9"/>
          </w:tcPr>
          <w:p w14:paraId="419EDA92" w14:textId="77777777" w:rsidR="003C6566" w:rsidRPr="009D4828" w:rsidRDefault="003C6566" w:rsidP="003C6566">
            <w:pPr>
              <w:pStyle w:val="Default"/>
              <w:rPr>
                <w:color w:val="000000" w:themeColor="text1"/>
              </w:rPr>
            </w:pPr>
            <w:r w:rsidRPr="009D4828">
              <w:rPr>
                <w:b/>
                <w:bCs/>
                <w:color w:val="000000" w:themeColor="text1"/>
              </w:rPr>
              <w:t xml:space="preserve">V. Бюджет и ефективност на разходите </w:t>
            </w:r>
          </w:p>
        </w:tc>
        <w:tc>
          <w:tcPr>
            <w:tcW w:w="703" w:type="pct"/>
            <w:shd w:val="clear" w:color="auto" w:fill="D9D9D9" w:themeFill="background1" w:themeFillShade="D9"/>
          </w:tcPr>
          <w:p w14:paraId="0633E5B1" w14:textId="77777777" w:rsidR="003C6566" w:rsidRPr="009D4828" w:rsidRDefault="003C6566" w:rsidP="003C6566">
            <w:pPr>
              <w:pStyle w:val="Default"/>
              <w:jc w:val="center"/>
              <w:rPr>
                <w:color w:val="000000" w:themeColor="text1"/>
              </w:rPr>
            </w:pPr>
            <w:r w:rsidRPr="009D4828">
              <w:rPr>
                <w:b/>
                <w:bCs/>
                <w:color w:val="000000" w:themeColor="text1"/>
              </w:rPr>
              <w:t>10</w:t>
            </w:r>
          </w:p>
        </w:tc>
      </w:tr>
      <w:tr w:rsidR="000A3DFA" w:rsidRPr="009D4828" w14:paraId="31DAA437"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54656954"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1. Реалистичност на разходите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868CF6" w14:textId="3986AAE7"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4</w:t>
            </w:r>
          </w:p>
        </w:tc>
      </w:tr>
      <w:tr w:rsidR="000A3DFA" w:rsidRPr="009D4828" w14:paraId="4FCDA1AA"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BDAAC92" w14:textId="77777777" w:rsidR="003C6566" w:rsidRPr="009D4828"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2. Реалистичност на плана за действие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F1B27AA" w14:textId="77777777" w:rsidR="003C6566" w:rsidRPr="009D4828" w:rsidRDefault="003C6566" w:rsidP="00F26FF5">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eastAsia="pl-PL"/>
              </w:rPr>
              <w:t>3</w:t>
            </w:r>
          </w:p>
        </w:tc>
      </w:tr>
      <w:tr w:rsidR="000A3DFA" w:rsidRPr="009D4828" w14:paraId="69FC455F"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1EBFC8CF" w14:textId="77777777" w:rsidR="003C6566" w:rsidRPr="009D4828" w:rsidRDefault="003C6566" w:rsidP="00136993">
            <w:pPr>
              <w:spacing w:after="0" w:line="276" w:lineRule="auto"/>
              <w:jc w:val="both"/>
              <w:rPr>
                <w:rFonts w:ascii="Times New Roman" w:eastAsia="Times New Roman" w:hAnsi="Times New Roman" w:cs="Times New Roman"/>
                <w:color w:val="000000" w:themeColor="text1"/>
                <w:sz w:val="24"/>
                <w:szCs w:val="24"/>
                <w:lang w:eastAsia="bg-BG"/>
              </w:rPr>
            </w:pPr>
            <w:r w:rsidRPr="009D4828">
              <w:rPr>
                <w:rFonts w:ascii="Times New Roman" w:eastAsia="Times New Roman" w:hAnsi="Times New Roman" w:cs="Times New Roman"/>
                <w:color w:val="000000" w:themeColor="text1"/>
                <w:sz w:val="24"/>
                <w:szCs w:val="24"/>
                <w:lang w:eastAsia="bg-BG"/>
              </w:rPr>
              <w:t>3. Проектното предложение осигурява устойчивост на резултатите и ефект от изпълнението на проекта, вкл. към стратегията за местно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E875CB4" w14:textId="71782E5B" w:rsidR="003C6566" w:rsidRPr="009D4828"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sidRPr="009D4828">
              <w:rPr>
                <w:rFonts w:ascii="Times New Roman" w:eastAsia="Times New Roman" w:hAnsi="Times New Roman" w:cs="Times New Roman"/>
                <w:color w:val="000000" w:themeColor="text1"/>
                <w:sz w:val="24"/>
                <w:szCs w:val="24"/>
                <w:lang w:val="en-US" w:eastAsia="pl-PL"/>
              </w:rPr>
              <w:t>3</w:t>
            </w:r>
          </w:p>
        </w:tc>
      </w:tr>
      <w:tr w:rsidR="000A3DFA" w:rsidRPr="009D4828" w14:paraId="69934061" w14:textId="77777777" w:rsidTr="00B01A11">
        <w:trPr>
          <w:trHeight w:val="301"/>
        </w:trPr>
        <w:tc>
          <w:tcPr>
            <w:tcW w:w="4297" w:type="pct"/>
            <w:shd w:val="clear" w:color="auto" w:fill="BFBFBF" w:themeFill="background1" w:themeFillShade="BF"/>
          </w:tcPr>
          <w:p w14:paraId="0DFE4181" w14:textId="2DA59BE0" w:rsidR="003C6566" w:rsidRPr="009D4828" w:rsidRDefault="0052772D" w:rsidP="00903FA1">
            <w:pPr>
              <w:pStyle w:val="Default"/>
              <w:rPr>
                <w:color w:val="000000" w:themeColor="text1"/>
              </w:rPr>
            </w:pPr>
            <w:r w:rsidRPr="009D4828">
              <w:rPr>
                <w:b/>
                <w:bCs/>
                <w:color w:val="000000" w:themeColor="text1"/>
                <w:lang w:val="en-US"/>
              </w:rPr>
              <w:t>V</w:t>
            </w:r>
            <w:r w:rsidRPr="009D4828">
              <w:rPr>
                <w:b/>
                <w:bCs/>
                <w:color w:val="000000" w:themeColor="text1"/>
              </w:rPr>
              <w:t>I. Допълнителни специфични критерии към С</w:t>
            </w:r>
            <w:r w:rsidR="00903FA1" w:rsidRPr="009D4828">
              <w:rPr>
                <w:b/>
                <w:bCs/>
                <w:color w:val="000000" w:themeColor="text1"/>
              </w:rPr>
              <w:t>ВО</w:t>
            </w:r>
            <w:r w:rsidRPr="009D4828">
              <w:rPr>
                <w:b/>
                <w:bCs/>
                <w:color w:val="000000" w:themeColor="text1"/>
              </w:rPr>
              <w:t>МР определени от МИГ</w:t>
            </w:r>
            <w:r w:rsidR="00533EC7" w:rsidRPr="009D4828">
              <w:rPr>
                <w:b/>
                <w:bCs/>
                <w:color w:val="000000" w:themeColor="text1"/>
              </w:rPr>
              <w:t xml:space="preserve"> </w:t>
            </w:r>
          </w:p>
        </w:tc>
        <w:tc>
          <w:tcPr>
            <w:tcW w:w="703" w:type="pct"/>
            <w:shd w:val="clear" w:color="auto" w:fill="BFBFBF" w:themeFill="background1" w:themeFillShade="BF"/>
          </w:tcPr>
          <w:p w14:paraId="6E23AC3B" w14:textId="77777777" w:rsidR="003C6566" w:rsidRPr="009D4828" w:rsidRDefault="00002DA7" w:rsidP="0040376B">
            <w:pPr>
              <w:pStyle w:val="Default"/>
              <w:jc w:val="center"/>
              <w:rPr>
                <w:color w:val="000000" w:themeColor="text1"/>
              </w:rPr>
            </w:pPr>
            <w:r w:rsidRPr="009D4828">
              <w:rPr>
                <w:b/>
                <w:bCs/>
                <w:color w:val="000000" w:themeColor="text1"/>
              </w:rPr>
              <w:t>40</w:t>
            </w:r>
          </w:p>
        </w:tc>
      </w:tr>
      <w:tr w:rsidR="00903FA1" w:rsidRPr="009D4828" w14:paraId="1FAE8575" w14:textId="77777777" w:rsidTr="00B01A11">
        <w:trPr>
          <w:trHeight w:val="120"/>
        </w:trPr>
        <w:tc>
          <w:tcPr>
            <w:tcW w:w="4297" w:type="pct"/>
            <w:shd w:val="clear" w:color="auto" w:fill="auto"/>
          </w:tcPr>
          <w:p w14:paraId="5119A746" w14:textId="63C5E41D" w:rsidR="00903FA1" w:rsidRPr="009D4828" w:rsidRDefault="00903FA1" w:rsidP="0052772D">
            <w:pPr>
              <w:pStyle w:val="Default"/>
              <w:jc w:val="both"/>
              <w:rPr>
                <w:color w:val="000000" w:themeColor="text1"/>
              </w:rPr>
            </w:pPr>
            <w:r w:rsidRPr="009D4828">
              <w:t>1.Свързаност на проекта с друг проект от Стратегията или проект насочен към решаване на основен за територията на МИГ проблем, посочен в анализите</w:t>
            </w:r>
          </w:p>
        </w:tc>
        <w:tc>
          <w:tcPr>
            <w:tcW w:w="703" w:type="pct"/>
            <w:shd w:val="clear" w:color="auto" w:fill="auto"/>
            <w:vAlign w:val="center"/>
          </w:tcPr>
          <w:p w14:paraId="603300B2" w14:textId="2974C6AB"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7D14149" w14:textId="77777777" w:rsidTr="00B01A11">
        <w:trPr>
          <w:trHeight w:val="120"/>
        </w:trPr>
        <w:tc>
          <w:tcPr>
            <w:tcW w:w="4297" w:type="pct"/>
            <w:shd w:val="clear" w:color="auto" w:fill="auto"/>
          </w:tcPr>
          <w:p w14:paraId="05429659" w14:textId="39CD1835" w:rsidR="00903FA1" w:rsidRPr="009D4828" w:rsidRDefault="00903FA1" w:rsidP="0052772D">
            <w:pPr>
              <w:pStyle w:val="Default"/>
              <w:jc w:val="both"/>
              <w:rPr>
                <w:color w:val="000000" w:themeColor="text1"/>
              </w:rPr>
            </w:pPr>
            <w:r w:rsidRPr="009D4828">
              <w:t>2.Проектът има ясно обосновано пряко положително въздействие върху насърчаване на равните възможности и социалното включване</w:t>
            </w:r>
          </w:p>
        </w:tc>
        <w:tc>
          <w:tcPr>
            <w:tcW w:w="703" w:type="pct"/>
            <w:shd w:val="clear" w:color="auto" w:fill="auto"/>
            <w:vAlign w:val="center"/>
          </w:tcPr>
          <w:p w14:paraId="668E9AB0" w14:textId="7FF64484"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030978B0" w14:textId="77777777" w:rsidTr="00B01A11">
        <w:trPr>
          <w:trHeight w:val="120"/>
        </w:trPr>
        <w:tc>
          <w:tcPr>
            <w:tcW w:w="4297" w:type="pct"/>
            <w:shd w:val="clear" w:color="auto" w:fill="auto"/>
          </w:tcPr>
          <w:p w14:paraId="01C23DDA" w14:textId="0C2683C5" w:rsidR="00903FA1" w:rsidRPr="009D4828" w:rsidRDefault="00903FA1" w:rsidP="0052772D">
            <w:pPr>
              <w:pStyle w:val="Default"/>
              <w:jc w:val="both"/>
              <w:rPr>
                <w:color w:val="000000" w:themeColor="text1"/>
              </w:rPr>
            </w:pPr>
            <w:r w:rsidRPr="009D4828">
              <w:t>3.Проектът има ясно обосновано пряко положително въздействие върху създаването на заетост</w:t>
            </w:r>
          </w:p>
        </w:tc>
        <w:tc>
          <w:tcPr>
            <w:tcW w:w="703" w:type="pct"/>
            <w:shd w:val="clear" w:color="auto" w:fill="auto"/>
            <w:vAlign w:val="center"/>
          </w:tcPr>
          <w:p w14:paraId="13CB8DBE" w14:textId="25AF7736"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6FE97E71" w14:textId="77777777" w:rsidTr="00B01A11">
        <w:trPr>
          <w:trHeight w:val="412"/>
        </w:trPr>
        <w:tc>
          <w:tcPr>
            <w:tcW w:w="4297" w:type="pct"/>
            <w:shd w:val="clear" w:color="auto" w:fill="auto"/>
          </w:tcPr>
          <w:p w14:paraId="1D67A712" w14:textId="3C99E03A" w:rsidR="00903FA1" w:rsidRPr="009D4828" w:rsidRDefault="00903FA1" w:rsidP="00385F1E">
            <w:pPr>
              <w:pStyle w:val="Default"/>
              <w:jc w:val="both"/>
              <w:rPr>
                <w:color w:val="000000" w:themeColor="text1"/>
              </w:rPr>
            </w:pPr>
            <w:r w:rsidRPr="009D4828">
              <w:t>4.Проектът има ясно обосновано пряко положително въздействие върху енергийната ефективност</w:t>
            </w:r>
          </w:p>
        </w:tc>
        <w:tc>
          <w:tcPr>
            <w:tcW w:w="703" w:type="pct"/>
            <w:shd w:val="clear" w:color="auto" w:fill="auto"/>
            <w:vAlign w:val="center"/>
          </w:tcPr>
          <w:p w14:paraId="2C811AAF" w14:textId="76FA235D" w:rsidR="00903FA1" w:rsidRPr="009D4828" w:rsidRDefault="00903FA1" w:rsidP="0040376B">
            <w:pPr>
              <w:pStyle w:val="Default"/>
              <w:jc w:val="center"/>
              <w:rPr>
                <w:color w:val="000000" w:themeColor="text1"/>
              </w:rPr>
            </w:pPr>
            <w:r w:rsidRPr="009D4828">
              <w:rPr>
                <w:color w:val="000000" w:themeColor="text1"/>
              </w:rPr>
              <w:t>8</w:t>
            </w:r>
          </w:p>
        </w:tc>
      </w:tr>
      <w:tr w:rsidR="00903FA1" w:rsidRPr="009D4828" w14:paraId="7A4F4443" w14:textId="77777777" w:rsidTr="00B01A11">
        <w:trPr>
          <w:trHeight w:val="412"/>
        </w:trPr>
        <w:tc>
          <w:tcPr>
            <w:tcW w:w="4297" w:type="pct"/>
            <w:shd w:val="clear" w:color="auto" w:fill="auto"/>
          </w:tcPr>
          <w:p w14:paraId="5F391502" w14:textId="763BEBBB" w:rsidR="00903FA1" w:rsidRPr="009D4828" w:rsidRDefault="00903FA1" w:rsidP="00385F1E">
            <w:pPr>
              <w:pStyle w:val="Default"/>
              <w:jc w:val="both"/>
              <w:rPr>
                <w:color w:val="000000" w:themeColor="text1"/>
              </w:rPr>
            </w:pPr>
            <w:r w:rsidRPr="009D4828">
              <w:t xml:space="preserve">5.Проектът е свързан с междусекторно сътрудничество </w:t>
            </w:r>
          </w:p>
        </w:tc>
        <w:tc>
          <w:tcPr>
            <w:tcW w:w="703" w:type="pct"/>
            <w:shd w:val="clear" w:color="auto" w:fill="auto"/>
            <w:vAlign w:val="center"/>
          </w:tcPr>
          <w:p w14:paraId="2BE7E52A" w14:textId="752BA4E3" w:rsidR="00903FA1" w:rsidRPr="009D4828" w:rsidRDefault="00903FA1" w:rsidP="0040376B">
            <w:pPr>
              <w:pStyle w:val="Default"/>
              <w:jc w:val="center"/>
              <w:rPr>
                <w:color w:val="000000" w:themeColor="text1"/>
              </w:rPr>
            </w:pPr>
            <w:r w:rsidRPr="009D4828">
              <w:rPr>
                <w:color w:val="000000" w:themeColor="text1"/>
              </w:rPr>
              <w:t>4</w:t>
            </w:r>
          </w:p>
        </w:tc>
      </w:tr>
      <w:tr w:rsidR="00903FA1" w:rsidRPr="009D4828" w14:paraId="6AF4D26A" w14:textId="77777777" w:rsidTr="00B01A11">
        <w:trPr>
          <w:trHeight w:val="412"/>
        </w:trPr>
        <w:tc>
          <w:tcPr>
            <w:tcW w:w="4297" w:type="pct"/>
            <w:shd w:val="clear" w:color="auto" w:fill="auto"/>
          </w:tcPr>
          <w:p w14:paraId="46A5E1D4" w14:textId="73CF5CE4" w:rsidR="00903FA1" w:rsidRPr="009D4828" w:rsidRDefault="00903FA1" w:rsidP="00385F1E">
            <w:pPr>
              <w:pStyle w:val="Default"/>
              <w:jc w:val="both"/>
              <w:rPr>
                <w:color w:val="000000" w:themeColor="text1"/>
              </w:rPr>
            </w:pPr>
            <w:r w:rsidRPr="009D4828">
              <w:t xml:space="preserve">6.Проектът е свързан с други цели и приоритети от ОПИК, които не са включени в конкретната мярка или с други проекти по ОПИК, реализирани на територията </w:t>
            </w:r>
          </w:p>
        </w:tc>
        <w:tc>
          <w:tcPr>
            <w:tcW w:w="703" w:type="pct"/>
            <w:shd w:val="clear" w:color="auto" w:fill="auto"/>
            <w:vAlign w:val="center"/>
          </w:tcPr>
          <w:p w14:paraId="64D56E49" w14:textId="26618D48" w:rsidR="00903FA1" w:rsidRPr="009D4828" w:rsidRDefault="00903FA1" w:rsidP="0040376B">
            <w:pPr>
              <w:pStyle w:val="Default"/>
              <w:jc w:val="center"/>
              <w:rPr>
                <w:color w:val="000000" w:themeColor="text1"/>
              </w:rPr>
            </w:pPr>
            <w:r w:rsidRPr="009D4828">
              <w:rPr>
                <w:color w:val="000000" w:themeColor="text1"/>
              </w:rPr>
              <w:t>4</w:t>
            </w:r>
          </w:p>
        </w:tc>
      </w:tr>
      <w:tr w:rsidR="000A3DFA" w:rsidRPr="009D4828" w14:paraId="319F63C3" w14:textId="77777777" w:rsidTr="00B01A11">
        <w:trPr>
          <w:trHeight w:val="292"/>
        </w:trPr>
        <w:tc>
          <w:tcPr>
            <w:tcW w:w="4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4B134" w14:textId="77777777" w:rsidR="00F13B64" w:rsidRPr="009D4828" w:rsidRDefault="003C6566" w:rsidP="0040376B">
            <w:pPr>
              <w:pStyle w:val="Default"/>
              <w:jc w:val="both"/>
              <w:rPr>
                <w:b/>
                <w:color w:val="000000" w:themeColor="text1"/>
              </w:rPr>
            </w:pPr>
            <w:r w:rsidRPr="009D4828">
              <w:rPr>
                <w:b/>
                <w:color w:val="000000" w:themeColor="text1"/>
              </w:rPr>
              <w:t xml:space="preserve">Максимален брой точки: </w:t>
            </w:r>
          </w:p>
        </w:tc>
        <w:tc>
          <w:tcPr>
            <w:tcW w:w="7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F1758" w14:textId="77777777" w:rsidR="003C6566" w:rsidRPr="009D4828" w:rsidRDefault="00002DA7" w:rsidP="0040376B">
            <w:pPr>
              <w:pStyle w:val="Default"/>
              <w:jc w:val="center"/>
              <w:rPr>
                <w:b/>
                <w:color w:val="000000" w:themeColor="text1"/>
              </w:rPr>
            </w:pPr>
            <w:r w:rsidRPr="009D4828">
              <w:rPr>
                <w:b/>
                <w:color w:val="000000" w:themeColor="text1"/>
              </w:rPr>
              <w:t>100</w:t>
            </w:r>
          </w:p>
        </w:tc>
      </w:tr>
    </w:tbl>
    <w:p w14:paraId="3ADDE3CE" w14:textId="27297F28" w:rsidR="007A47CC" w:rsidRDefault="008A795B"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9D4828">
        <w:rPr>
          <w:rFonts w:ascii="Times New Roman" w:hAnsi="Times New Roman" w:cs="Times New Roman"/>
          <w:b/>
          <w:color w:val="000000" w:themeColor="text1"/>
          <w:sz w:val="24"/>
          <w:szCs w:val="24"/>
        </w:rPr>
        <w:t>ВАЖНО:</w:t>
      </w:r>
      <w:r w:rsidRPr="009D4828">
        <w:rPr>
          <w:rFonts w:ascii="Times New Roman" w:hAnsi="Times New Roman" w:cs="Times New Roman"/>
          <w:color w:val="000000" w:themeColor="text1"/>
          <w:sz w:val="24"/>
          <w:szCs w:val="24"/>
        </w:rPr>
        <w:t xml:space="preserve"> По отношение на критериите за ТФО от Раздел I  и II като източник за проверка</w:t>
      </w:r>
      <w:r w:rsidRPr="008A795B">
        <w:rPr>
          <w:rFonts w:ascii="Times New Roman" w:hAnsi="Times New Roman" w:cs="Times New Roman"/>
          <w:color w:val="000000" w:themeColor="text1"/>
          <w:sz w:val="24"/>
          <w:szCs w:val="24"/>
        </w:rPr>
        <w:t xml:space="preserve"> за кандидатите служат документите по точки 11, 12, 13 и 14 от раздел 24. „Списък на </w:t>
      </w:r>
      <w:r w:rsidRPr="008A795B">
        <w:rPr>
          <w:rFonts w:ascii="Times New Roman" w:hAnsi="Times New Roman" w:cs="Times New Roman"/>
          <w:color w:val="000000" w:themeColor="text1"/>
          <w:sz w:val="24"/>
          <w:szCs w:val="24"/>
        </w:rPr>
        <w:lastRenderedPageBreak/>
        <w:t xml:space="preserve">документите, които се подават на етап кандидатстване“, които следва да бъдат представени за </w:t>
      </w:r>
      <w:r w:rsidR="008E285A">
        <w:rPr>
          <w:rFonts w:ascii="Times New Roman" w:hAnsi="Times New Roman" w:cs="Times New Roman"/>
          <w:color w:val="000000" w:themeColor="text1"/>
          <w:sz w:val="24"/>
          <w:szCs w:val="24"/>
        </w:rPr>
        <w:t>последните три приключени финансови години</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8</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9</w:t>
      </w:r>
      <w:r w:rsidR="00B346ED">
        <w:rPr>
          <w:rFonts w:ascii="Times New Roman" w:hAnsi="Times New Roman" w:cs="Times New Roman"/>
          <w:color w:val="000000" w:themeColor="text1"/>
          <w:sz w:val="24"/>
          <w:szCs w:val="24"/>
        </w:rPr>
        <w:t xml:space="preserve"> и 20</w:t>
      </w:r>
      <w:r w:rsidR="000B17A7">
        <w:rPr>
          <w:rFonts w:ascii="Times New Roman" w:hAnsi="Times New Roman" w:cs="Times New Roman"/>
          <w:color w:val="000000" w:themeColor="text1"/>
          <w:sz w:val="24"/>
          <w:szCs w:val="24"/>
        </w:rPr>
        <w:t>20</w:t>
      </w:r>
      <w:r w:rsidR="00B346ED">
        <w:rPr>
          <w:rFonts w:ascii="Times New Roman" w:hAnsi="Times New Roman" w:cs="Times New Roman"/>
          <w:color w:val="000000" w:themeColor="text1"/>
          <w:sz w:val="24"/>
          <w:szCs w:val="24"/>
        </w:rPr>
        <w:t xml:space="preserve"> г</w:t>
      </w:r>
      <w:r w:rsidRPr="008A795B">
        <w:rPr>
          <w:rFonts w:ascii="Times New Roman" w:hAnsi="Times New Roman" w:cs="Times New Roman"/>
          <w:color w:val="000000" w:themeColor="text1"/>
          <w:sz w:val="24"/>
          <w:szCs w:val="24"/>
        </w:rPr>
        <w:t xml:space="preserve">. </w:t>
      </w:r>
    </w:p>
    <w:p w14:paraId="0A12DB34" w14:textId="77777777" w:rsidR="007A47CC" w:rsidRDefault="00687108"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Критериите и методиката за оценка на проектните предложения са подробно описани в Приложение № </w:t>
      </w:r>
      <w:r w:rsidR="00F22B99">
        <w:rPr>
          <w:rFonts w:ascii="Times New Roman" w:hAnsi="Times New Roman" w:cs="Times New Roman"/>
          <w:sz w:val="24"/>
          <w:szCs w:val="24"/>
        </w:rPr>
        <w:t>7</w:t>
      </w:r>
      <w:r>
        <w:rPr>
          <w:rFonts w:ascii="Times New Roman" w:hAnsi="Times New Roman" w:cs="Times New Roman"/>
          <w:sz w:val="24"/>
          <w:szCs w:val="24"/>
        </w:rPr>
        <w:t xml:space="preserve"> </w:t>
      </w:r>
      <w:r w:rsidR="00F22B99">
        <w:rPr>
          <w:rFonts w:ascii="Times New Roman" w:hAnsi="Times New Roman" w:cs="Times New Roman"/>
          <w:sz w:val="24"/>
          <w:szCs w:val="24"/>
        </w:rPr>
        <w:t>о</w:t>
      </w:r>
      <w:r w:rsidR="00190485">
        <w:rPr>
          <w:rFonts w:ascii="Times New Roman" w:hAnsi="Times New Roman" w:cs="Times New Roman"/>
          <w:sz w:val="24"/>
          <w:szCs w:val="24"/>
        </w:rPr>
        <w:t xml:space="preserve">т </w:t>
      </w:r>
      <w:r w:rsidR="008A795B">
        <w:rPr>
          <w:rFonts w:ascii="Times New Roman" w:hAnsi="Times New Roman" w:cs="Times New Roman"/>
          <w:sz w:val="24"/>
          <w:szCs w:val="24"/>
        </w:rPr>
        <w:t xml:space="preserve">Условията </w:t>
      </w:r>
      <w:r w:rsidR="00190485">
        <w:rPr>
          <w:rFonts w:ascii="Times New Roman" w:hAnsi="Times New Roman" w:cs="Times New Roman"/>
          <w:sz w:val="24"/>
          <w:szCs w:val="24"/>
        </w:rPr>
        <w:t>за кандидатстване, Документи за информация на кандидатите.</w:t>
      </w:r>
    </w:p>
    <w:p w14:paraId="46B05492" w14:textId="77777777" w:rsidR="007A47CC" w:rsidRPr="0062409B" w:rsidRDefault="007E4F13"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2409B">
        <w:rPr>
          <w:rFonts w:ascii="Times New Roman" w:hAnsi="Times New Roman" w:cs="Times New Roman"/>
          <w:b/>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1EB76E2C" w14:textId="44A6F9A5" w:rsidR="009373C2" w:rsidRPr="007A47CC" w:rsidRDefault="00310A6E"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2409B">
        <w:rPr>
          <w:rFonts w:ascii="Times New Roman" w:hAnsi="Times New Roman" w:cs="Times New Roman"/>
          <w:sz w:val="24"/>
          <w:szCs w:val="24"/>
        </w:rPr>
        <w:t xml:space="preserve">За проектни предложения, които са получили </w:t>
      </w:r>
      <w:r w:rsidRPr="0062409B">
        <w:rPr>
          <w:rFonts w:ascii="Times New Roman" w:hAnsi="Times New Roman" w:cs="Times New Roman"/>
          <w:sz w:val="24"/>
          <w:szCs w:val="24"/>
          <w:u w:val="single"/>
        </w:rPr>
        <w:t>еднакъв</w:t>
      </w:r>
      <w:r w:rsidRPr="0062409B">
        <w:rPr>
          <w:rFonts w:ascii="Times New Roman" w:hAnsi="Times New Roman" w:cs="Times New Roman"/>
          <w:sz w:val="24"/>
          <w:szCs w:val="24"/>
        </w:rPr>
        <w:t xml:space="preserve"> средноаритметичен брой точки на етап „Техническа и финансова</w:t>
      </w:r>
      <w:r w:rsidRPr="006E6556">
        <w:rPr>
          <w:rFonts w:ascii="Times New Roman" w:hAnsi="Times New Roman" w:cs="Times New Roman"/>
          <w:sz w:val="24"/>
          <w:szCs w:val="24"/>
        </w:rPr>
        <w:t xml:space="preserve"> оценка“</w:t>
      </w:r>
      <w:r w:rsidR="009D6765" w:rsidRPr="006E6556">
        <w:rPr>
          <w:rFonts w:ascii="Times New Roman" w:hAnsi="Times New Roman" w:cs="Times New Roman"/>
          <w:sz w:val="24"/>
          <w:szCs w:val="24"/>
        </w:rPr>
        <w:t>, класирането</w:t>
      </w:r>
      <w:r w:rsidRPr="006E6556">
        <w:rPr>
          <w:rFonts w:ascii="Times New Roman" w:hAnsi="Times New Roman" w:cs="Times New Roman"/>
          <w:sz w:val="24"/>
          <w:szCs w:val="24"/>
        </w:rPr>
        <w:t xml:space="preserve"> ще се извърши </w:t>
      </w:r>
      <w:r w:rsidR="009D6765" w:rsidRPr="006E6556">
        <w:rPr>
          <w:rFonts w:ascii="Times New Roman" w:hAnsi="Times New Roman" w:cs="Times New Roman"/>
          <w:sz w:val="24"/>
          <w:szCs w:val="24"/>
        </w:rPr>
        <w:t>по следния начин:</w:t>
      </w:r>
      <w:r w:rsidRPr="006E6556">
        <w:rPr>
          <w:rFonts w:ascii="Times New Roman" w:hAnsi="Times New Roman" w:cs="Times New Roman"/>
          <w:sz w:val="24"/>
          <w:szCs w:val="24"/>
        </w:rPr>
        <w:t xml:space="preserve"> </w:t>
      </w:r>
      <w:r w:rsidR="009D6765" w:rsidRPr="006E6556">
        <w:rPr>
          <w:rFonts w:ascii="Times New Roman" w:hAnsi="Times New Roman" w:cs="Times New Roman"/>
          <w:sz w:val="24"/>
          <w:szCs w:val="24"/>
        </w:rPr>
        <w:t>П</w:t>
      </w:r>
      <w:r w:rsidRPr="006E6556">
        <w:rPr>
          <w:rFonts w:ascii="Times New Roman" w:hAnsi="Times New Roman" w:cs="Times New Roman"/>
          <w:sz w:val="24"/>
          <w:szCs w:val="24"/>
        </w:rPr>
        <w:t>роектни</w:t>
      </w:r>
      <w:r w:rsidR="009D6765" w:rsidRPr="006E6556">
        <w:rPr>
          <w:rFonts w:ascii="Times New Roman" w:hAnsi="Times New Roman" w:cs="Times New Roman"/>
          <w:sz w:val="24"/>
          <w:szCs w:val="24"/>
        </w:rPr>
        <w:t>те</w:t>
      </w:r>
      <w:r w:rsidRPr="006E6556">
        <w:rPr>
          <w:rFonts w:ascii="Times New Roman" w:hAnsi="Times New Roman" w:cs="Times New Roman"/>
          <w:sz w:val="24"/>
          <w:szCs w:val="24"/>
        </w:rPr>
        <w:t xml:space="preserve"> предложения </w:t>
      </w:r>
      <w:r w:rsidR="009D6765" w:rsidRPr="006E6556">
        <w:rPr>
          <w:rFonts w:ascii="Times New Roman" w:hAnsi="Times New Roman" w:cs="Times New Roman"/>
          <w:sz w:val="24"/>
          <w:szCs w:val="24"/>
        </w:rPr>
        <w:t>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Икономическа и финансова стабилност на кандидата преди изпълнение на проекта</w:t>
      </w:r>
      <w:r w:rsidRPr="006E6556">
        <w:rPr>
          <w:rFonts w:ascii="Times New Roman" w:hAnsi="Times New Roman" w:cs="Times New Roman"/>
          <w:sz w:val="24"/>
          <w:szCs w:val="24"/>
        </w:rPr>
        <w:t>“</w:t>
      </w:r>
      <w:r w:rsidR="009D6765" w:rsidRPr="006E6556">
        <w:rPr>
          <w:rFonts w:ascii="Times New Roman" w:hAnsi="Times New Roman" w:cs="Times New Roman"/>
          <w:sz w:val="24"/>
          <w:szCs w:val="24"/>
        </w:rPr>
        <w:t xml:space="preserve">. В случай, че проектните предложения имат равен брой точки по посочения </w:t>
      </w:r>
      <w:r w:rsidR="006B500B" w:rsidRPr="006E6556">
        <w:rPr>
          <w:rFonts w:ascii="Times New Roman" w:hAnsi="Times New Roman" w:cs="Times New Roman"/>
          <w:sz w:val="24"/>
          <w:szCs w:val="24"/>
        </w:rPr>
        <w:t>раздел</w:t>
      </w:r>
      <w:r w:rsidRPr="006E6556">
        <w:rPr>
          <w:rFonts w:ascii="Times New Roman" w:hAnsi="Times New Roman" w:cs="Times New Roman"/>
          <w:sz w:val="24"/>
          <w:szCs w:val="24"/>
        </w:rPr>
        <w:t xml:space="preserve">, </w:t>
      </w:r>
      <w:r w:rsidR="006B500B" w:rsidRPr="006E6556">
        <w:rPr>
          <w:rFonts w:ascii="Times New Roman" w:hAnsi="Times New Roman" w:cs="Times New Roman"/>
          <w:sz w:val="24"/>
          <w:szCs w:val="24"/>
        </w:rPr>
        <w:t>същите 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Приоритизиране на проекти</w:t>
      </w:r>
      <w:r w:rsidRPr="006E6556">
        <w:rPr>
          <w:rFonts w:ascii="Times New Roman" w:hAnsi="Times New Roman" w:cs="Times New Roman"/>
          <w:sz w:val="24"/>
          <w:szCs w:val="24"/>
        </w:rPr>
        <w:t>“</w:t>
      </w:r>
      <w:r w:rsidR="006B500B" w:rsidRPr="006E6556">
        <w:rPr>
          <w:rFonts w:ascii="Times New Roman" w:hAnsi="Times New Roman" w:cs="Times New Roman"/>
          <w:sz w:val="24"/>
          <w:szCs w:val="24"/>
        </w:rPr>
        <w:t>.</w:t>
      </w:r>
      <w:r w:rsidRPr="006E6556">
        <w:rPr>
          <w:rFonts w:ascii="Times New Roman" w:hAnsi="Times New Roman" w:cs="Times New Roman"/>
          <w:sz w:val="24"/>
          <w:szCs w:val="24"/>
        </w:rPr>
        <w:t xml:space="preserve"> </w:t>
      </w:r>
      <w:r w:rsidR="006A55AB" w:rsidRPr="006A55AB">
        <w:rPr>
          <w:rFonts w:ascii="Times New Roman" w:hAnsi="Times New Roman" w:cs="Times New Roman"/>
          <w:sz w:val="24"/>
          <w:szCs w:val="24"/>
        </w:rPr>
        <w:t xml:space="preserve">В случай че има равенство по всички гореизброени показатели, проектните предложения ще бъдат класирани по реда на подаването на проектните предложения в ИСУН 2020.           </w:t>
      </w:r>
    </w:p>
    <w:p w14:paraId="7E0A485A" w14:textId="77777777" w:rsidR="002D4B6A" w:rsidRPr="004770DA" w:rsidRDefault="00CB14EE" w:rsidP="004524A5">
      <w:pPr>
        <w:pStyle w:val="1"/>
      </w:pPr>
      <w:bookmarkStart w:id="38" w:name="_Toc494709531"/>
      <w:r w:rsidRPr="004770DA">
        <w:t>2</w:t>
      </w:r>
      <w:r w:rsidR="001B1012" w:rsidRPr="004770DA">
        <w:t>3</w:t>
      </w:r>
      <w:r w:rsidR="002D4B6A" w:rsidRPr="004770DA">
        <w:t>.</w:t>
      </w:r>
      <w:r w:rsidR="00F366E3" w:rsidRPr="004770DA">
        <w:t xml:space="preserve"> </w:t>
      </w:r>
      <w:r w:rsidR="002D4B6A" w:rsidRPr="004770DA">
        <w:t>Начин на подаване на проектните предложения</w:t>
      </w:r>
      <w:r w:rsidR="00752519" w:rsidRPr="004770DA">
        <w:t>/концепциите за проектни предложения</w:t>
      </w:r>
      <w:r w:rsidR="002D4B6A" w:rsidRPr="004770DA">
        <w:t>:</w:t>
      </w:r>
      <w:bookmarkEnd w:id="38"/>
    </w:p>
    <w:p w14:paraId="6B8691A4"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Проектните предложения </w:t>
      </w:r>
      <w:r w:rsidR="009453DA" w:rsidRPr="000A3DFA">
        <w:rPr>
          <w:rFonts w:ascii="Times New Roman" w:hAnsi="Times New Roman" w:cs="Times New Roman"/>
          <w:color w:val="000000" w:themeColor="text1"/>
          <w:sz w:val="24"/>
          <w:szCs w:val="24"/>
        </w:rPr>
        <w:t>се подават от кандидата</w:t>
      </w:r>
      <w:r w:rsidR="00F13B64" w:rsidRPr="000A3DFA">
        <w:rPr>
          <w:rFonts w:ascii="Times New Roman" w:hAnsi="Times New Roman" w:cs="Times New Roman"/>
          <w:color w:val="000000" w:themeColor="text1"/>
          <w:sz w:val="24"/>
          <w:szCs w:val="24"/>
        </w:rPr>
        <w:t>,</w:t>
      </w:r>
      <w:r w:rsidR="00F13B64" w:rsidRPr="000A3DFA">
        <w:rPr>
          <w:color w:val="000000" w:themeColor="text1"/>
        </w:rPr>
        <w:t xml:space="preserve"> </w:t>
      </w:r>
      <w:r w:rsidR="00F13B64" w:rsidRPr="000A3DFA">
        <w:rPr>
          <w:rFonts w:ascii="Times New Roman" w:hAnsi="Times New Roman" w:cs="Times New Roman"/>
          <w:color w:val="000000" w:themeColor="text1"/>
          <w:sz w:val="24"/>
          <w:szCs w:val="24"/>
        </w:rPr>
        <w:t>от лице с право да представлява кандидата</w:t>
      </w:r>
      <w:r w:rsidR="00F13B64" w:rsidRPr="000A3DFA">
        <w:rPr>
          <w:rStyle w:val="a8"/>
          <w:rFonts w:ascii="Times New Roman" w:hAnsi="Times New Roman" w:cs="Times New Roman"/>
          <w:color w:val="000000" w:themeColor="text1"/>
          <w:sz w:val="24"/>
          <w:szCs w:val="24"/>
        </w:rPr>
        <w:footnoteReference w:id="26"/>
      </w:r>
      <w:r w:rsidRPr="000A3DFA">
        <w:rPr>
          <w:rFonts w:ascii="Times New Roman" w:hAnsi="Times New Roman" w:cs="Times New Roman"/>
          <w:color w:val="000000" w:themeColor="text1"/>
          <w:sz w:val="24"/>
          <w:szCs w:val="24"/>
        </w:rPr>
        <w:t xml:space="preserve"> ил</w:t>
      </w:r>
      <w:r w:rsidR="009453DA" w:rsidRPr="000A3DFA">
        <w:rPr>
          <w:rFonts w:ascii="Times New Roman" w:hAnsi="Times New Roman" w:cs="Times New Roman"/>
          <w:color w:val="000000" w:themeColor="text1"/>
          <w:sz w:val="24"/>
          <w:szCs w:val="24"/>
        </w:rPr>
        <w:t>и от упълномощено от него лице</w:t>
      </w:r>
      <w:r w:rsidR="00F13B64" w:rsidRPr="000A3DFA">
        <w:rPr>
          <w:rStyle w:val="a8"/>
          <w:rFonts w:ascii="Times New Roman" w:hAnsi="Times New Roman" w:cs="Times New Roman"/>
          <w:color w:val="000000" w:themeColor="text1"/>
          <w:sz w:val="24"/>
          <w:szCs w:val="24"/>
        </w:rPr>
        <w:footnoteReference w:id="27"/>
      </w:r>
      <w:r w:rsidRPr="000A3DFA">
        <w:rPr>
          <w:rFonts w:ascii="Times New Roman" w:hAnsi="Times New Roman" w:cs="Times New Roman"/>
          <w:color w:val="000000" w:themeColor="text1"/>
          <w:sz w:val="24"/>
          <w:szCs w:val="24"/>
        </w:rPr>
        <w:t xml:space="preserve"> единствено и изцяло по електронен път</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попълване на уеб базиран Формуляр за кандидатстване и придружителните документи</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Информационната система за управление и наблюдение на Структурните инструменти на ЕС в България (ИСУН 2020) </w:t>
      </w:r>
      <w:hyperlink r:id="rId9" w:history="1">
        <w:r w:rsidR="00A348E3" w:rsidRPr="0043179D">
          <w:rPr>
            <w:rStyle w:val="af3"/>
            <w:rFonts w:ascii="Times New Roman" w:hAnsi="Times New Roman" w:cs="Times New Roman"/>
            <w:sz w:val="24"/>
            <w:szCs w:val="24"/>
          </w:rPr>
          <w:t>http://eumis2020.government.bg/</w:t>
        </w:r>
      </w:hyperlink>
      <w:r w:rsidR="00A348E3">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0" w:history="1">
        <w:r w:rsidR="00A348E3" w:rsidRPr="0043179D">
          <w:rPr>
            <w:rStyle w:val="af3"/>
            <w:rFonts w:ascii="Times New Roman" w:hAnsi="Times New Roman" w:cs="Times New Roman"/>
            <w:sz w:val="24"/>
            <w:szCs w:val="24"/>
          </w:rPr>
          <w:t>https://eumis2020.government.bg/</w:t>
        </w:r>
      </w:hyperlink>
      <w:r w:rsidR="00A348E3">
        <w:rPr>
          <w:rStyle w:val="af3"/>
          <w:rFonts w:ascii="Times New Roman" w:hAnsi="Times New Roman" w:cs="Times New Roman"/>
          <w:color w:val="000000" w:themeColor="text1"/>
          <w:sz w:val="24"/>
          <w:szCs w:val="24"/>
        </w:rPr>
        <w:t xml:space="preserve">   </w:t>
      </w:r>
    </w:p>
    <w:p w14:paraId="248E1E9D" w14:textId="77777777" w:rsidR="00183174" w:rsidRDefault="00D35DF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случаите, когато кандидата се представлява заедно от няколко физически лица, проектното предложение се подписва от всяко от тях при подаването.</w:t>
      </w:r>
    </w:p>
    <w:p w14:paraId="7B39455F" w14:textId="41F12613" w:rsidR="00B756C7"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 xml:space="preserve">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e-mail в  т. 2 „Данни за кандидата“ от Формуляра за кандидатстване. </w:t>
      </w:r>
      <w:r w:rsidRPr="00B756C7">
        <w:rPr>
          <w:rFonts w:ascii="Times New Roman" w:hAnsi="Times New Roman" w:cs="Times New Roman"/>
          <w:color w:val="000000" w:themeColor="text1"/>
          <w:sz w:val="24"/>
          <w:szCs w:val="24"/>
        </w:rPr>
        <w:lastRenderedPageBreak/>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F2753A2" w14:textId="77777777" w:rsidR="00B756C7" w:rsidRPr="000A3DFA"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2C04D17" w14:textId="77777777" w:rsidR="000E0225" w:rsidRPr="000A3DFA" w:rsidRDefault="000E022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Подготовката</w:t>
      </w:r>
      <w:r w:rsidR="00C32F49" w:rsidRPr="000A3DFA">
        <w:rPr>
          <w:rFonts w:ascii="Times New Roman" w:hAnsi="Times New Roman" w:cs="Times New Roman"/>
          <w:color w:val="000000" w:themeColor="text1"/>
          <w:sz w:val="24"/>
          <w:szCs w:val="24"/>
        </w:rPr>
        <w:t xml:space="preserve"> и </w:t>
      </w:r>
      <w:r w:rsidRPr="000A3DFA">
        <w:rPr>
          <w:rFonts w:ascii="Times New Roman" w:hAnsi="Times New Roman" w:cs="Times New Roman"/>
          <w:color w:val="000000" w:themeColor="text1"/>
          <w:sz w:val="24"/>
          <w:szCs w:val="24"/>
        </w:rPr>
        <w:t xml:space="preserve">подаването на </w:t>
      </w:r>
      <w:r w:rsidR="00526AFF" w:rsidRPr="000A3DFA">
        <w:rPr>
          <w:rFonts w:ascii="Times New Roman" w:hAnsi="Times New Roman" w:cs="Times New Roman"/>
          <w:color w:val="000000" w:themeColor="text1"/>
          <w:sz w:val="24"/>
          <w:szCs w:val="24"/>
        </w:rPr>
        <w:t>формуляра за кандидатстване</w:t>
      </w:r>
      <w:r w:rsidRPr="000A3DFA">
        <w:rPr>
          <w:rFonts w:ascii="Times New Roman" w:hAnsi="Times New Roman" w:cs="Times New Roman"/>
          <w:color w:val="000000" w:themeColor="text1"/>
          <w:sz w:val="24"/>
          <w:szCs w:val="24"/>
        </w:rPr>
        <w:t xml:space="preserve"> в ИСУН 2020 се извършва по следния начин: Кандидатът влиза в ИСУН 2020</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след регистрация чрез имейл и парола</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избира </w:t>
      </w:r>
      <w:r w:rsidR="00C32F49" w:rsidRPr="000A3DFA">
        <w:rPr>
          <w:rFonts w:ascii="Times New Roman" w:hAnsi="Times New Roman" w:cs="Times New Roman"/>
          <w:color w:val="000000" w:themeColor="text1"/>
          <w:sz w:val="24"/>
          <w:szCs w:val="24"/>
        </w:rPr>
        <w:t xml:space="preserve">настоящата </w:t>
      </w:r>
      <w:r w:rsidRPr="000A3DFA">
        <w:rPr>
          <w:rFonts w:ascii="Times New Roman" w:hAnsi="Times New Roman" w:cs="Times New Roman"/>
          <w:color w:val="000000" w:themeColor="text1"/>
          <w:sz w:val="24"/>
          <w:szCs w:val="24"/>
        </w:rPr>
        <w:t>процедура за кандидатстване от „Отворени процедури“</w:t>
      </w:r>
      <w:r w:rsidR="00183174"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 създава ново проектно предложение.</w:t>
      </w:r>
    </w:p>
    <w:p w14:paraId="265A19AA"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9974BF9" w14:textId="532AE080" w:rsidR="00183174" w:rsidRPr="000A3DFA"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Проектното предложение се изготвя от кандидата съгласно посочените инструкции. Изискващите се съгласно т. 2</w:t>
      </w:r>
      <w:r w:rsidR="00C01E3C">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от Условията за кандидатстване придружителни документи към Формуляра за кандидатстване се подават изцяло електронно.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 </w:t>
      </w:r>
      <w:r w:rsidR="001D3E16">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процедура за кандидатстване от „Отворени процедури“ и създаване на ново проектно предложение. Изключително важно е относимите документи да съдържат цялата необходима информация.</w:t>
      </w:r>
    </w:p>
    <w:p w14:paraId="6C4A8FA8" w14:textId="77777777" w:rsidR="002A14FD" w:rsidRPr="000A3DFA" w:rsidRDefault="002A14FD"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3761812" w14:textId="77777777" w:rsidR="00C01E3C" w:rsidRPr="00575825"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1E3C">
        <w:rPr>
          <w:rFonts w:ascii="Times New Roman" w:hAnsi="Times New Roman" w:cs="Times New Roman"/>
          <w:color w:val="000000" w:themeColor="text1"/>
          <w:sz w:val="24"/>
          <w:szCs w:val="24"/>
        </w:rPr>
        <w:t>В случай че кандидатите желаят да упълномощят лице, което не е официален представител на предприятието да подаде проектното предложение с КЕП следва да се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и датира на хартиен носител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Pr>
          <w:rFonts w:ascii="Times New Roman" w:hAnsi="Times New Roman" w:cs="Times New Roman"/>
          <w:color w:val="000000" w:themeColor="text1"/>
          <w:sz w:val="24"/>
          <w:szCs w:val="24"/>
        </w:rPr>
        <w:t>.</w:t>
      </w:r>
    </w:p>
    <w:p w14:paraId="64861DB7" w14:textId="77777777" w:rsidR="00183174" w:rsidRPr="000A3DFA" w:rsidRDefault="00575825"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F70F256" wp14:editId="5B0DC9D9">
                <wp:extent cx="1828800" cy="1828800"/>
                <wp:effectExtent l="0" t="0" r="15240" b="23495"/>
                <wp:docPr id="28" name="Текстово 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89BD60B" w14:textId="77777777" w:rsidR="005B4F08" w:rsidRPr="005C4299"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F70F256" id="Текстово поле 28"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JDdsIaDAgAA&#10;7QQAAA4AAAAAAAAAAAAAAAAALgIAAGRycy9lMm9Eb2MueG1sUEsBAi0AFAAGAAgAAAAhALA/BXnZ&#10;AAAABQEAAA8AAAAAAAAAAAAAAAAA3QQAAGRycy9kb3ducmV2LnhtbFBLBQYAAAAABAAEAPMAAADj&#10;BQAAAAA=&#10;" fillcolor="#d8d8d8 [2732]" strokeweight=".5pt">
                <v:textbox style="mso-fit-shape-to-text:t">
                  <w:txbxContent>
                    <w:p w14:paraId="489BD60B" w14:textId="77777777" w:rsidR="005B4F08" w:rsidRPr="005C4299"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v:textbox>
                <w10:anchorlock/>
              </v:shape>
            </w:pict>
          </mc:Fallback>
        </mc:AlternateContent>
      </w:r>
      <w:r w:rsidR="00183174" w:rsidRPr="000A3DFA">
        <w:rPr>
          <w:rFonts w:ascii="Times New Roman" w:hAnsi="Times New Roman" w:cs="Times New Roman"/>
          <w:color w:val="000000" w:themeColor="text1"/>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със съответните права.</w:t>
      </w:r>
    </w:p>
    <w:p w14:paraId="082ED1A5" w14:textId="77777777" w:rsidR="00183174" w:rsidRPr="00B756C7"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Комисията за подбор оценява само Формуляра за кандидатстване и изискуемите на етап кандидатстване документи.</w:t>
      </w:r>
    </w:p>
    <w:p w14:paraId="072D6A75" w14:textId="77777777" w:rsidR="00C01E3C" w:rsidRPr="000A3DFA"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DE6DB9">
        <w:rPr>
          <w:rFonts w:ascii="Times New Roman" w:hAnsi="Times New Roman" w:cs="Times New Roman"/>
          <w:b/>
          <w:color w:val="000000" w:themeColor="text1"/>
          <w:sz w:val="24"/>
          <w:szCs w:val="24"/>
        </w:rPr>
        <w:lastRenderedPageBreak/>
        <w:t>ВАЖНО!</w:t>
      </w:r>
      <w:r w:rsidRPr="00DE6DB9">
        <w:rPr>
          <w:rFonts w:ascii="Times New Roman" w:hAnsi="Times New Roman" w:cs="Times New Roman"/>
          <w:color w:val="000000" w:themeColor="text1"/>
          <w:sz w:val="24"/>
          <w:szCs w:val="24"/>
        </w:rPr>
        <w:t xml:space="preserve"> Формулярът за кандидатстване подлежи на повторно изискване единствено в случаите, когато е налице нередовност</w:t>
      </w:r>
      <w:r w:rsidRPr="00DE6DB9">
        <w:rPr>
          <w:rStyle w:val="a8"/>
          <w:rFonts w:ascii="Times New Roman" w:hAnsi="Times New Roman" w:cs="Times New Roman"/>
          <w:color w:val="000000" w:themeColor="text1"/>
          <w:sz w:val="24"/>
          <w:szCs w:val="24"/>
        </w:rPr>
        <w:footnoteReference w:id="28"/>
      </w:r>
      <w:r w:rsidRPr="00DE6DB9">
        <w:rPr>
          <w:rFonts w:ascii="Times New Roman" w:hAnsi="Times New Roman" w:cs="Times New Roman"/>
          <w:color w:val="000000" w:themeColor="text1"/>
          <w:sz w:val="24"/>
          <w:szCs w:val="24"/>
        </w:rPr>
        <w:t xml:space="preserve">  по отношение на КЕП-а, с който е подписан.</w:t>
      </w:r>
    </w:p>
    <w:p w14:paraId="7459B0DD" w14:textId="77777777" w:rsidR="00183174" w:rsidRPr="000A3DFA" w:rsidRDefault="004A58E5" w:rsidP="00A234EA">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2FE30E7D" w14:textId="77777777" w:rsidR="004A58E5" w:rsidRPr="004770DA" w:rsidRDefault="001B1012" w:rsidP="004524A5">
      <w:pPr>
        <w:pStyle w:val="1"/>
      </w:pPr>
      <w:bookmarkStart w:id="39" w:name="_Toc494709532"/>
      <w:r w:rsidRPr="004770DA">
        <w:t>24</w:t>
      </w:r>
      <w:r w:rsidR="004A58E5" w:rsidRPr="004770DA">
        <w:t>. Списък на документите, които се подават на етап кандидатстване:</w:t>
      </w:r>
      <w:bookmarkEnd w:id="39"/>
    </w:p>
    <w:p w14:paraId="34AFA328" w14:textId="77777777" w:rsidR="003C7350" w:rsidRDefault="003C7350" w:rsidP="008B181D">
      <w:pPr>
        <w:pStyle w:val="a4"/>
        <w:pBdr>
          <w:top w:val="single" w:sz="4" w:space="1" w:color="auto"/>
          <w:left w:val="single" w:sz="4" w:space="4" w:color="auto"/>
          <w:right w:val="single" w:sz="4" w:space="4" w:color="auto"/>
        </w:pBdr>
        <w:spacing w:after="360" w:line="240" w:lineRule="auto"/>
        <w:ind w:left="0"/>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3B05665E" wp14:editId="59350A80">
                <wp:extent cx="1828800" cy="1113183"/>
                <wp:effectExtent l="0" t="0" r="15240" b="10795"/>
                <wp:docPr id="29" name="Текстово поле 29"/>
                <wp:cNvGraphicFramePr/>
                <a:graphic xmlns:a="http://schemas.openxmlformats.org/drawingml/2006/main">
                  <a:graphicData uri="http://schemas.microsoft.com/office/word/2010/wordprocessingShape">
                    <wps:wsp>
                      <wps:cNvSpPr txBox="1"/>
                      <wps:spPr>
                        <a:xfrm>
                          <a:off x="0" y="0"/>
                          <a:ext cx="1828800" cy="1113183"/>
                        </a:xfrm>
                        <a:prstGeom prst="rect">
                          <a:avLst/>
                        </a:prstGeom>
                        <a:solidFill>
                          <a:schemeClr val="bg1">
                            <a:lumMod val="85000"/>
                          </a:schemeClr>
                        </a:solidFill>
                        <a:ln w="6350">
                          <a:solidFill>
                            <a:prstClr val="black"/>
                          </a:solidFill>
                        </a:ln>
                        <a:effectLst/>
                      </wps:spPr>
                      <wps:txbx>
                        <w:txbxContent>
                          <w:p w14:paraId="4D3CE817" w14:textId="77777777" w:rsidR="005B4F08" w:rsidRPr="005674C6" w:rsidRDefault="005B4F08"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05665E" id="Текстово поле 29" o:spid="_x0000_s1038" type="#_x0000_t202" style="width:2in;height:8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" fillcolor="#d8d8d8 [2732]" strokeweight=".5pt">
                <v:textbox>
                  <w:txbxContent>
                    <w:p w14:paraId="4D3CE817" w14:textId="77777777" w:rsidR="005B4F08" w:rsidRPr="005674C6" w:rsidRDefault="005B4F08"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v:textbox>
                <w10:anchorlock/>
              </v:shape>
            </w:pict>
          </mc:Fallback>
        </mc:AlternateContent>
      </w:r>
    </w:p>
    <w:p w14:paraId="511315E3"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62E0AEFC" wp14:editId="60A5D542">
                <wp:extent cx="1828800" cy="695740"/>
                <wp:effectExtent l="0" t="0" r="15240" b="28575"/>
                <wp:docPr id="30" name="Текстово поле 30"/>
                <wp:cNvGraphicFramePr/>
                <a:graphic xmlns:a="http://schemas.openxmlformats.org/drawingml/2006/main">
                  <a:graphicData uri="http://schemas.microsoft.com/office/word/2010/wordprocessingShape">
                    <wps:wsp>
                      <wps:cNvSpPr txBox="1"/>
                      <wps:spPr>
                        <a:xfrm>
                          <a:off x="0" y="0"/>
                          <a:ext cx="1828800" cy="695740"/>
                        </a:xfrm>
                        <a:prstGeom prst="rect">
                          <a:avLst/>
                        </a:prstGeom>
                        <a:solidFill>
                          <a:schemeClr val="bg1">
                            <a:lumMod val="85000"/>
                          </a:schemeClr>
                        </a:solidFill>
                        <a:ln w="6350">
                          <a:solidFill>
                            <a:prstClr val="black"/>
                          </a:solidFill>
                        </a:ln>
                        <a:effectLst/>
                      </wps:spPr>
                      <wps:txbx>
                        <w:txbxContent>
                          <w:p w14:paraId="0F3F9564" w14:textId="77777777" w:rsidR="005B4F08" w:rsidRPr="0064698F" w:rsidRDefault="005B4F08"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E0AEFC" id="Текстово поле 30" o:spid="_x0000_s1039" type="#_x0000_t202" style="width:2in;height:5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" fillcolor="#d8d8d8 [2732]" strokeweight=".5pt">
                <v:textbox>
                  <w:txbxContent>
                    <w:p w14:paraId="0F3F9564" w14:textId="77777777" w:rsidR="005B4F08" w:rsidRPr="0064698F" w:rsidRDefault="005B4F08"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v:textbox>
                <w10:anchorlock/>
              </v:shape>
            </w:pict>
          </mc:Fallback>
        </mc:AlternateContent>
      </w:r>
    </w:p>
    <w:p w14:paraId="06961D6D" w14:textId="77777777" w:rsidR="00DB1FF6" w:rsidRDefault="00DB1FF6" w:rsidP="008D3A50">
      <w:pPr>
        <w:pBdr>
          <w:left w:val="single" w:sz="4" w:space="4" w:color="auto"/>
          <w:right w:val="single" w:sz="4" w:space="4" w:color="auto"/>
        </w:pBdr>
        <w:spacing w:before="60" w:after="60"/>
        <w:jc w:val="both"/>
      </w:pPr>
    </w:p>
    <w:p w14:paraId="5ECED291" w14:textId="5AE86657" w:rsidR="00DB1FF6"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Формулярът за кандидатстване се</w:t>
      </w:r>
      <w:r w:rsidRPr="00636A6D">
        <w:rPr>
          <w:rStyle w:val="af4"/>
          <w:rFonts w:ascii="Times New Roman" w:hAnsi="Times New Roman" w:cs="Times New Roman"/>
          <w:sz w:val="24"/>
          <w:szCs w:val="24"/>
        </w:rPr>
        <w:t xml:space="preserve"> </w:t>
      </w:r>
      <w:r w:rsidRPr="00636A6D">
        <w:rPr>
          <w:rFonts w:ascii="Times New Roman" w:hAnsi="Times New Roman" w:cs="Times New Roman"/>
          <w:sz w:val="24"/>
          <w:szCs w:val="24"/>
        </w:rPr>
        <w:t>подава по електронен път чрез системата ИСУН 2020 и следва да е подписан с КЕП от лице с право да представлява кандидата</w:t>
      </w:r>
      <w:r w:rsidRPr="00636A6D">
        <w:rPr>
          <w:rStyle w:val="a8"/>
          <w:rFonts w:ascii="Times New Roman" w:hAnsi="Times New Roman" w:cs="Times New Roman"/>
          <w:sz w:val="24"/>
          <w:szCs w:val="24"/>
        </w:rPr>
        <w:footnoteReference w:id="29"/>
      </w:r>
      <w:r w:rsidRPr="00636A6D">
        <w:rPr>
          <w:rFonts w:ascii="Times New Roman" w:hAnsi="Times New Roman" w:cs="Times New Roman"/>
          <w:sz w:val="24"/>
          <w:szCs w:val="24"/>
        </w:rPr>
        <w:t xml:space="preserve"> или упълномощено лице с КЕП на физическото лице автор или с титуляр юридическото лице кандидат.</w:t>
      </w:r>
    </w:p>
    <w:p w14:paraId="643B95EE" w14:textId="0D6CDEFB" w:rsidR="003C7350"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Квалифицираният електронен подпис за подаване на проектното предложение следва да е валиден към датата на кандидатстване и да е с титуляр и автор - физическото лице, което е официален  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или с титуляр и автор - упълномощеното физическо лице или с титуляр юридическото лице-кандидат, като автор на подписа в този случай следва да е упълномощеното физическо лице или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физическото лице-официален представител на упълномощеното юридическо лице</w:t>
      </w:r>
      <w:r w:rsidR="00636A6D">
        <w:rPr>
          <w:rFonts w:ascii="Times New Roman" w:hAnsi="Times New Roman" w:cs="Times New Roman"/>
          <w:sz w:val="24"/>
          <w:szCs w:val="24"/>
        </w:rPr>
        <w:t>.</w:t>
      </w:r>
    </w:p>
    <w:p w14:paraId="31C1E8F3" w14:textId="77777777" w:rsidR="00DB1FF6" w:rsidRDefault="00DB1FF6" w:rsidP="008D3A50">
      <w:pPr>
        <w:pBdr>
          <w:left w:val="single" w:sz="4" w:space="4" w:color="auto"/>
          <w:right w:val="single" w:sz="4" w:space="4" w:color="auto"/>
        </w:pBdr>
        <w:spacing w:after="0" w:line="276" w:lineRule="auto"/>
        <w:jc w:val="both"/>
        <w:rPr>
          <w:rFonts w:ascii="Times New Roman" w:hAnsi="Times New Roman"/>
          <w:sz w:val="24"/>
          <w:szCs w:val="24"/>
        </w:rPr>
      </w:pPr>
    </w:p>
    <w:p w14:paraId="5CF3BDF3" w14:textId="77777777" w:rsidR="00EC01DD" w:rsidRDefault="001C0B07" w:rsidP="008D3A50">
      <w:pPr>
        <w:pBdr>
          <w:left w:val="single" w:sz="4" w:space="4"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14:paraId="0DCB021A" w14:textId="77777777" w:rsidR="00477B9E" w:rsidRDefault="00477B9E" w:rsidP="008D3A50">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p>
    <w:p w14:paraId="401C455C" w14:textId="68B11CB3" w:rsidR="0040376B" w:rsidRPr="00EC01DD"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lastRenderedPageBreak/>
        <w:t>1.</w:t>
      </w:r>
      <w:r w:rsidRPr="000A3DFA">
        <w:rPr>
          <w:rFonts w:ascii="Times New Roman" w:hAnsi="Times New Roman" w:cs="Times New Roman"/>
          <w:color w:val="000000" w:themeColor="text1"/>
          <w:sz w:val="24"/>
          <w:szCs w:val="24"/>
        </w:rPr>
        <w:t xml:space="preserve"> Декларация, че кандидатът е запознат с условията за кандидатстване и условията за изпълнение – попълнена по образец (</w:t>
      </w:r>
      <w:r w:rsidRPr="00832ACD">
        <w:rPr>
          <w:rFonts w:ascii="Times New Roman" w:hAnsi="Times New Roman" w:cs="Times New Roman"/>
          <w:b/>
          <w:color w:val="000000" w:themeColor="text1"/>
          <w:sz w:val="24"/>
          <w:szCs w:val="24"/>
        </w:rPr>
        <w:t>Приложение</w:t>
      </w:r>
      <w:r w:rsidR="003D71B7" w:rsidRPr="00832ACD">
        <w:rPr>
          <w:rFonts w:ascii="Times New Roman" w:hAnsi="Times New Roman" w:cs="Times New Roman"/>
          <w:b/>
          <w:color w:val="000000" w:themeColor="text1"/>
          <w:sz w:val="24"/>
          <w:szCs w:val="24"/>
        </w:rPr>
        <w:t xml:space="preserve"> </w:t>
      </w:r>
      <w:r w:rsidR="008268DA">
        <w:rPr>
          <w:rFonts w:ascii="Times New Roman" w:hAnsi="Times New Roman" w:cs="Times New Roman"/>
          <w:b/>
          <w:color w:val="000000" w:themeColor="text1"/>
          <w:sz w:val="24"/>
          <w:szCs w:val="24"/>
        </w:rPr>
        <w:t>10</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F06FDF" w:rsidRPr="00F06FDF">
        <w:rPr>
          <w:rFonts w:ascii="Times New Roman" w:hAnsi="Times New Roman" w:cs="Times New Roman"/>
          <w:b/>
          <w:color w:val="000000" w:themeColor="text1"/>
          <w:sz w:val="24"/>
          <w:szCs w:val="24"/>
        </w:rPr>
        <w:t>сканирана и</w:t>
      </w:r>
      <w:r w:rsidR="00F06FDF">
        <w:rPr>
          <w:rFonts w:ascii="Times New Roman" w:hAnsi="Times New Roman" w:cs="Times New Roman"/>
          <w:color w:val="000000" w:themeColor="text1"/>
          <w:sz w:val="24"/>
          <w:szCs w:val="24"/>
        </w:rPr>
        <w:t xml:space="preserve"> </w:t>
      </w:r>
      <w:r w:rsidRPr="00EC01DD">
        <w:rPr>
          <w:rFonts w:ascii="Times New Roman" w:hAnsi="Times New Roman" w:cs="Times New Roman"/>
          <w:b/>
          <w:color w:val="000000" w:themeColor="text1"/>
          <w:sz w:val="24"/>
          <w:szCs w:val="24"/>
        </w:rPr>
        <w:t>прикачена в ИСУН 2020.</w:t>
      </w:r>
    </w:p>
    <w:p w14:paraId="179DB0D1"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79505F7" w14:textId="0C855D2C"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Декларация по чл. 25, ал. 2 от Закона за управление на средствата от европейските структурни и инвестиционни фондове – попълнена по образец (</w:t>
      </w:r>
      <w:r w:rsidRPr="001D19F0">
        <w:rPr>
          <w:rFonts w:ascii="Times New Roman" w:hAnsi="Times New Roman" w:cs="Times New Roman"/>
          <w:b/>
          <w:color w:val="000000" w:themeColor="text1"/>
          <w:sz w:val="24"/>
          <w:szCs w:val="24"/>
        </w:rPr>
        <w:t>Приложение</w:t>
      </w:r>
      <w:r w:rsidR="009D1659" w:rsidRPr="001D19F0">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11</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4B128582"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098AF95" w14:textId="77777777" w:rsidR="00C01E3C"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54F32B67" wp14:editId="0FD4F3E0">
                <wp:extent cx="1828800" cy="1828800"/>
                <wp:effectExtent l="0" t="0" r="15240" b="18415"/>
                <wp:docPr id="31" name="Текстово поле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6B96E25" w14:textId="77777777" w:rsidR="005B4F08" w:rsidRPr="00134D23"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F32B67" id="Текстово поле 31"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B2ZKyiDAgAA&#10;7QQAAA4AAAAAAAAAAAAAAAAALgIAAGRycy9lMm9Eb2MueG1sUEsBAi0AFAAGAAgAAAAhALA/BXnZ&#10;AAAABQEAAA8AAAAAAAAAAAAAAAAA3QQAAGRycy9kb3ducmV2LnhtbFBLBQYAAAAABAAEAPMAAADj&#10;BQAAAAA=&#10;" fillcolor="#d8d8d8 [2732]" strokeweight=".5pt">
                <v:textbox style="mso-fit-shape-to-text:t">
                  <w:txbxContent>
                    <w:p w14:paraId="26B96E25" w14:textId="77777777" w:rsidR="005B4F08" w:rsidRPr="00134D23"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v:textbox>
                <w10:anchorlock/>
              </v:shape>
            </w:pict>
          </mc:Fallback>
        </mc:AlternateContent>
      </w:r>
    </w:p>
    <w:p w14:paraId="1C94BB6D" w14:textId="04251BA9"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Декларация за </w:t>
      </w:r>
      <w:r w:rsidR="00B36F36">
        <w:rPr>
          <w:rFonts w:ascii="Times New Roman" w:hAnsi="Times New Roman" w:cs="Times New Roman"/>
          <w:color w:val="000000" w:themeColor="text1"/>
          <w:sz w:val="24"/>
          <w:szCs w:val="24"/>
        </w:rPr>
        <w:t>държавни/</w:t>
      </w:r>
      <w:r w:rsidRPr="000A3DFA">
        <w:rPr>
          <w:rFonts w:ascii="Times New Roman" w:hAnsi="Times New Roman" w:cs="Times New Roman"/>
          <w:color w:val="000000" w:themeColor="text1"/>
          <w:sz w:val="24"/>
          <w:szCs w:val="24"/>
        </w:rPr>
        <w:t>минимални</w:t>
      </w:r>
      <w:r w:rsidR="009958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помощи – попълнена по образец (</w:t>
      </w:r>
      <w:r w:rsidRPr="001D19F0">
        <w:rPr>
          <w:rFonts w:ascii="Times New Roman" w:hAnsi="Times New Roman" w:cs="Times New Roman"/>
          <w:b/>
          <w:color w:val="000000" w:themeColor="text1"/>
          <w:sz w:val="24"/>
          <w:szCs w:val="24"/>
        </w:rPr>
        <w:t>Приложение</w:t>
      </w:r>
      <w:r w:rsidR="003D71B7" w:rsidRPr="00A55D5B">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12</w:t>
      </w:r>
      <w:r w:rsidRPr="001D19F0">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10E70557"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9C48BB0" w14:textId="5FA05BAD"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Декларация за обстоятелствата по чл. 3 и чл. 4 от Закона за малките и средните предприятия – попълнена по образец (</w:t>
      </w:r>
      <w:r w:rsidRPr="001D19F0">
        <w:rPr>
          <w:rFonts w:ascii="Times New Roman" w:hAnsi="Times New Roman" w:cs="Times New Roman"/>
          <w:b/>
          <w:color w:val="000000" w:themeColor="text1"/>
          <w:sz w:val="24"/>
          <w:szCs w:val="24"/>
        </w:rPr>
        <w:t>Приложение</w:t>
      </w:r>
      <w:r w:rsidR="00EC0612">
        <w:rPr>
          <w:rFonts w:ascii="Times New Roman" w:hAnsi="Times New Roman" w:cs="Times New Roman"/>
          <w:b/>
          <w:color w:val="000000" w:themeColor="text1"/>
          <w:sz w:val="24"/>
          <w:szCs w:val="24"/>
        </w:rPr>
        <w:t xml:space="preserve"> 13</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 xml:space="preserve">Условията </w:t>
      </w:r>
      <w:r w:rsidRPr="000A3DFA">
        <w:rPr>
          <w:rFonts w:ascii="Times New Roman" w:hAnsi="Times New Roman" w:cs="Times New Roman"/>
          <w:color w:val="000000" w:themeColor="text1"/>
          <w:sz w:val="24"/>
          <w:szCs w:val="24"/>
        </w:rPr>
        <w:t>за кандидатстване –</w:t>
      </w:r>
      <w:r w:rsidR="006C028C" w:rsidRPr="006C028C">
        <w:rPr>
          <w:rFonts w:ascii="Times New Roman" w:hAnsi="Times New Roman" w:cs="Times New Roman"/>
          <w:b/>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542F9170" w14:textId="77777777" w:rsidR="0040376B" w:rsidRPr="000A3DFA"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79C899A" wp14:editId="4B57BFBF">
                <wp:extent cx="1828800" cy="1828800"/>
                <wp:effectExtent l="0" t="0" r="15240" b="18415"/>
                <wp:docPr id="32" name="Текстово поле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0A0ABC6C" w14:textId="77777777" w:rsidR="005B4F08" w:rsidRPr="00456006"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79C899A" id="Текстово поле 32"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9Gk/zhAIA&#10;AO0EAAAOAAAAAAAAAAAAAAAAAC4CAABkcnMvZTJvRG9jLnhtbFBLAQItABQABgAIAAAAIQCwPwV5&#10;2QAAAAUBAAAPAAAAAAAAAAAAAAAAAN4EAABkcnMvZG93bnJldi54bWxQSwUGAAAAAAQABADzAAAA&#10;5AUAAAAA&#10;" fillcolor="#d8d8d8 [2732]" strokeweight=".5pt">
                <v:textbox style="mso-fit-shape-to-text:t">
                  <w:txbxContent>
                    <w:p w14:paraId="0A0ABC6C" w14:textId="77777777" w:rsidR="005B4F08" w:rsidRPr="00456006"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v:textbox>
                <w10:anchorlock/>
              </v:shape>
            </w:pict>
          </mc:Fallback>
        </mc:AlternateContent>
      </w:r>
    </w:p>
    <w:p w14:paraId="3FEB5FDC" w14:textId="7A4F4825"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Декларациите </w:t>
      </w:r>
      <w:r w:rsidR="006C028C">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точки 1, 3 и 4 се попълват</w:t>
      </w:r>
      <w:r w:rsidR="00A74A79">
        <w:rPr>
          <w:rFonts w:ascii="Times New Roman" w:hAnsi="Times New Roman" w:cs="Times New Roman"/>
          <w:color w:val="000000" w:themeColor="text1"/>
          <w:sz w:val="24"/>
          <w:szCs w:val="24"/>
        </w:rPr>
        <w:t xml:space="preserve">, датират </w:t>
      </w:r>
      <w:r w:rsidR="00C01E3C" w:rsidRPr="00C01E3C">
        <w:t xml:space="preserve"> </w:t>
      </w:r>
      <w:r w:rsidR="00C01E3C" w:rsidRPr="00C01E3C">
        <w:rPr>
          <w:rFonts w:ascii="Times New Roman" w:hAnsi="Times New Roman" w:cs="Times New Roman"/>
          <w:color w:val="000000" w:themeColor="text1"/>
          <w:sz w:val="24"/>
          <w:szCs w:val="24"/>
        </w:rPr>
        <w:t>и подписват на хартиен носител</w:t>
      </w:r>
      <w:r w:rsidRPr="000A3DFA">
        <w:rPr>
          <w:rFonts w:ascii="Times New Roman" w:hAnsi="Times New Roman" w:cs="Times New Roman"/>
          <w:color w:val="000000" w:themeColor="text1"/>
          <w:sz w:val="24"/>
          <w:szCs w:val="24"/>
        </w:rPr>
        <w:t xml:space="preserve">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43C96386"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Декларацията по точка 2 се попълва</w:t>
      </w:r>
      <w:r w:rsidR="00A74A79">
        <w:rPr>
          <w:rFonts w:ascii="Times New Roman" w:hAnsi="Times New Roman" w:cs="Times New Roman"/>
          <w:color w:val="000000" w:themeColor="text1"/>
          <w:sz w:val="24"/>
          <w:szCs w:val="24"/>
        </w:rPr>
        <w:t>, датира</w:t>
      </w:r>
      <w:r w:rsidRPr="000A3DFA">
        <w:rPr>
          <w:rFonts w:ascii="Times New Roman" w:hAnsi="Times New Roman" w:cs="Times New Roman"/>
          <w:color w:val="000000" w:themeColor="text1"/>
          <w:sz w:val="24"/>
          <w:szCs w:val="24"/>
        </w:rPr>
        <w:t xml:space="preserve"> и </w:t>
      </w:r>
      <w:r w:rsidR="00C01E3C" w:rsidRPr="00C01E3C">
        <w:rPr>
          <w:rFonts w:ascii="Times New Roman" w:hAnsi="Times New Roman" w:cs="Times New Roman"/>
          <w:color w:val="000000" w:themeColor="text1"/>
          <w:sz w:val="24"/>
          <w:szCs w:val="24"/>
        </w:rPr>
        <w:t>се подписва на хартиен носител</w:t>
      </w:r>
      <w:r w:rsidRPr="000A3DFA">
        <w:rPr>
          <w:rFonts w:ascii="Times New Roman" w:hAnsi="Times New Roman" w:cs="Times New Roman"/>
          <w:color w:val="000000" w:themeColor="text1"/>
          <w:sz w:val="24"/>
          <w:szCs w:val="24"/>
        </w:rPr>
        <w:t xml:space="preserve"> от всички лица, с право да представляват кандидата (независимо от това дали заедно и/или п</w:t>
      </w:r>
      <w:r w:rsidR="003E3F66">
        <w:rPr>
          <w:rFonts w:ascii="Times New Roman" w:hAnsi="Times New Roman" w:cs="Times New Roman"/>
          <w:color w:val="000000" w:themeColor="text1"/>
          <w:sz w:val="24"/>
          <w:szCs w:val="24"/>
        </w:rPr>
        <w:t>оотделно, и/или по друг начин).</w:t>
      </w:r>
    </w:p>
    <w:p w14:paraId="1FFBD509"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w:t>
      </w:r>
      <w:r w:rsidR="003E3F66">
        <w:rPr>
          <w:rFonts w:ascii="Times New Roman" w:hAnsi="Times New Roman" w:cs="Times New Roman"/>
          <w:color w:val="000000" w:themeColor="text1"/>
          <w:sz w:val="24"/>
          <w:szCs w:val="24"/>
        </w:rPr>
        <w:t>ване на проектното предложение.</w:t>
      </w:r>
    </w:p>
    <w:p w14:paraId="1B288D71"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0063E452" wp14:editId="133AE0C7">
                <wp:extent cx="1828800" cy="1828800"/>
                <wp:effectExtent l="0" t="0" r="15240" b="21590"/>
                <wp:docPr id="33" name="Текстово поле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F1BA86E" w14:textId="77777777" w:rsidR="005B4F08" w:rsidRPr="00AB6E51"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63E452" id="Текстово поле 33" o:sp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MEWiwhAIA&#10;AO0EAAAOAAAAAAAAAAAAAAAAAC4CAABkcnMvZTJvRG9jLnhtbFBLAQItABQABgAIAAAAIQCwPwV5&#10;2QAAAAUBAAAPAAAAAAAAAAAAAAAAAN4EAABkcnMvZG93bnJldi54bWxQSwUGAAAAAAQABADzAAAA&#10;5AUAAAAA&#10;" fillcolor="#d8d8d8 [2732]" strokeweight=".5pt">
                <v:textbox style="mso-fit-shape-to-text:t">
                  <w:txbxContent>
                    <w:p w14:paraId="4F1BA86E" w14:textId="77777777" w:rsidR="005B4F08" w:rsidRPr="00AB6E51"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v:textbox>
                <w10:anchorlock/>
              </v:shape>
            </w:pict>
          </mc:Fallback>
        </mc:AlternateContent>
      </w:r>
    </w:p>
    <w:p w14:paraId="7DC6F35A"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5.</w:t>
      </w:r>
      <w:r w:rsidRPr="000A3DFA">
        <w:rPr>
          <w:rFonts w:ascii="Times New Roman" w:hAnsi="Times New Roman" w:cs="Times New Roman"/>
          <w:color w:val="000000" w:themeColor="text1"/>
          <w:sz w:val="24"/>
          <w:szCs w:val="24"/>
        </w:rPr>
        <w:t xml:space="preserve"> Бизнес план, по образец</w:t>
      </w:r>
      <w:r w:rsidR="00B03687">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00AC7D3F" w:rsidRPr="00AC7D3F">
        <w:rPr>
          <w:rFonts w:ascii="Times New Roman" w:hAnsi="Times New Roman" w:cs="Times New Roman"/>
          <w:color w:val="000000" w:themeColor="text1"/>
          <w:sz w:val="24"/>
          <w:szCs w:val="24"/>
        </w:rPr>
        <w:t xml:space="preserve">във формат Excel, </w:t>
      </w:r>
      <w:r w:rsidRPr="000A3DFA">
        <w:rPr>
          <w:rFonts w:ascii="Times New Roman" w:hAnsi="Times New Roman" w:cs="Times New Roman"/>
          <w:color w:val="000000" w:themeColor="text1"/>
          <w:sz w:val="24"/>
          <w:szCs w:val="24"/>
        </w:rPr>
        <w:t xml:space="preserve">съгласно </w:t>
      </w:r>
      <w:r w:rsidRPr="001D19F0">
        <w:rPr>
          <w:rFonts w:ascii="Times New Roman" w:hAnsi="Times New Roman" w:cs="Times New Roman"/>
          <w:b/>
          <w:color w:val="000000" w:themeColor="text1"/>
          <w:sz w:val="24"/>
          <w:szCs w:val="24"/>
        </w:rPr>
        <w:t>Приложение</w:t>
      </w:r>
      <w:r w:rsidR="00FE68DB" w:rsidRPr="001D19F0">
        <w:rPr>
          <w:rFonts w:ascii="Times New Roman" w:hAnsi="Times New Roman" w:cs="Times New Roman"/>
          <w:b/>
          <w:color w:val="000000" w:themeColor="text1"/>
          <w:sz w:val="24"/>
          <w:szCs w:val="24"/>
        </w:rPr>
        <w:t xml:space="preserve"> </w:t>
      </w:r>
      <w:r w:rsidR="00A3051A">
        <w:rPr>
          <w:rFonts w:ascii="Times New Roman" w:hAnsi="Times New Roman" w:cs="Times New Roman"/>
          <w:b/>
          <w:color w:val="000000" w:themeColor="text1"/>
          <w:sz w:val="24"/>
          <w:szCs w:val="24"/>
        </w:rPr>
        <w:t>9</w:t>
      </w:r>
      <w:r w:rsidR="00910370">
        <w:rPr>
          <w:rFonts w:ascii="Times New Roman" w:hAnsi="Times New Roman" w:cs="Times New Roman"/>
          <w:b/>
          <w:color w:val="000000" w:themeColor="text1"/>
          <w:sz w:val="24"/>
          <w:szCs w:val="24"/>
        </w:rPr>
        <w:t xml:space="preserve"> - </w:t>
      </w:r>
      <w:r w:rsidR="00B03687" w:rsidRPr="00EC01DD">
        <w:rPr>
          <w:rFonts w:ascii="Times New Roman" w:hAnsi="Times New Roman" w:cs="Times New Roman"/>
          <w:b/>
          <w:color w:val="000000" w:themeColor="text1"/>
          <w:sz w:val="24"/>
          <w:szCs w:val="24"/>
        </w:rPr>
        <w:t>прикачен в ИСУН 2020</w:t>
      </w:r>
      <w:r w:rsidR="00B03687">
        <w:rPr>
          <w:rFonts w:ascii="Times New Roman" w:hAnsi="Times New Roman" w:cs="Times New Roman"/>
          <w:color w:val="000000" w:themeColor="text1"/>
          <w:sz w:val="24"/>
          <w:szCs w:val="24"/>
        </w:rPr>
        <w:t>.</w:t>
      </w:r>
    </w:p>
    <w:p w14:paraId="5472B297"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54CDF49B" wp14:editId="7C2DBCFF">
                <wp:extent cx="1828800" cy="1828800"/>
                <wp:effectExtent l="0" t="0" r="15240" b="18415"/>
                <wp:docPr id="34" name="Текстово 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FDCCB63" w14:textId="43535CC9" w:rsidR="005B4F08"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5B4F08" w:rsidRPr="00E24E57"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CDF49B" id="Текстово поле 34" o:sp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ee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8GveehAIA&#10;AO0EAAAOAAAAAAAAAAAAAAAAAC4CAABkcnMvZTJvRG9jLnhtbFBLAQItABQABgAIAAAAIQCwPwV5&#10;2QAAAAUBAAAPAAAAAAAAAAAAAAAAAN4EAABkcnMvZG93bnJldi54bWxQSwUGAAAAAAQABADzAAAA&#10;5AUAAAAA&#10;" fillcolor="#d8d8d8 [2732]" strokeweight=".5pt">
                <v:textbox style="mso-fit-shape-to-text:t">
                  <w:txbxContent>
                    <w:p w14:paraId="2FDCCB63" w14:textId="43535CC9" w:rsidR="005B4F08"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5B4F08" w:rsidRPr="00E24E57" w:rsidRDefault="005B4F08"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v:textbox>
                <w10:anchorlock/>
              </v:shape>
            </w:pict>
          </mc:Fallback>
        </mc:AlternateContent>
      </w:r>
    </w:p>
    <w:p w14:paraId="6A2C6040" w14:textId="77777777" w:rsidR="00C01E3C" w:rsidRDefault="00C01E3C"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DF587C2" w14:textId="086DE945" w:rsidR="00385520" w:rsidRDefault="00385520" w:rsidP="00385520">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Удостоверение от Националния статистически институт (НСИ) относно кода на основната икономическа дейност на кандидата, въз основа на данни за  последната приключила финансова година - прикачено в ИСУН 2020.</w:t>
      </w:r>
    </w:p>
    <w:p w14:paraId="4A1DD365" w14:textId="725D68D7" w:rsidR="008E5342" w:rsidRDefault="008E5342" w:rsidP="0038552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noProof/>
          <w:lang w:eastAsia="bg-BG"/>
        </w:rPr>
        <mc:AlternateContent>
          <mc:Choice Requires="wps">
            <w:drawing>
              <wp:inline distT="0" distB="0" distL="0" distR="0" wp14:anchorId="048C01A9" wp14:editId="6AABC563">
                <wp:extent cx="5941060" cy="720590"/>
                <wp:effectExtent l="0" t="0" r="15240" b="21590"/>
                <wp:docPr id="15" name="Текстово поле 15"/>
                <wp:cNvGraphicFramePr/>
                <a:graphic xmlns:a="http://schemas.openxmlformats.org/drawingml/2006/main">
                  <a:graphicData uri="http://schemas.microsoft.com/office/word/2010/wordprocessingShape">
                    <wps:wsp>
                      <wps:cNvSpPr txBox="1"/>
                      <wps:spPr>
                        <a:xfrm>
                          <a:off x="0" y="0"/>
                          <a:ext cx="5941060" cy="720590"/>
                        </a:xfrm>
                        <a:prstGeom prst="rect">
                          <a:avLst/>
                        </a:prstGeom>
                        <a:solidFill>
                          <a:schemeClr val="bg1">
                            <a:lumMod val="85000"/>
                          </a:schemeClr>
                        </a:solidFill>
                        <a:ln w="6350">
                          <a:solidFill>
                            <a:prstClr val="black"/>
                          </a:solidFill>
                        </a:ln>
                        <a:effectLst/>
                      </wps:spPr>
                      <wps:txbx>
                        <w:txbxContent>
                          <w:p w14:paraId="762808DF" w14:textId="77777777" w:rsidR="005B4F08" w:rsidRDefault="005B4F08"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5B4F08" w:rsidRPr="008E5342" w:rsidRDefault="005B4F08"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48C01A9" id="Текстово поле 15" o:spid="_x0000_s1044" type="#_x0000_t202" style="width:467.8pt;height:5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" fillcolor="#d8d8d8 [2732]" strokeweight=".5pt">
                <v:textbox style="mso-fit-shape-to-text:t">
                  <w:txbxContent>
                    <w:p w14:paraId="762808DF" w14:textId="77777777" w:rsidR="005B4F08" w:rsidRDefault="005B4F08"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5B4F08" w:rsidRPr="008E5342" w:rsidRDefault="005B4F08"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v:textbox>
                <w10:anchorlock/>
              </v:shape>
            </w:pict>
          </mc:Fallback>
        </mc:AlternateContent>
      </w:r>
    </w:p>
    <w:p w14:paraId="16B81ED2" w14:textId="77777777" w:rsidR="00687D09" w:rsidRDefault="008E5342"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r>
        <w:rPr>
          <w:rFonts w:ascii="Times New Roman" w:hAnsi="Times New Roman" w:cs="Times New Roman"/>
          <w:color w:val="000000" w:themeColor="text1"/>
          <w:sz w:val="24"/>
          <w:szCs w:val="24"/>
        </w:rPr>
        <w:t xml:space="preserve">7. </w:t>
      </w:r>
      <w:r w:rsidR="0031434E">
        <w:rPr>
          <w:rFonts w:ascii="Times New Roman" w:hAnsi="Times New Roman" w:cs="Times New Roman"/>
          <w:color w:val="000000" w:themeColor="text1"/>
          <w:sz w:val="24"/>
          <w:szCs w:val="24"/>
        </w:rPr>
        <w:t>Две</w:t>
      </w:r>
      <w:r w:rsidR="009C2A49" w:rsidRPr="00A55D5B">
        <w:rPr>
          <w:rFonts w:ascii="Times New Roman" w:hAnsi="Times New Roman" w:cs="Times New Roman"/>
          <w:color w:val="000000" w:themeColor="text1"/>
          <w:sz w:val="24"/>
          <w:szCs w:val="24"/>
        </w:rPr>
        <w:t xml:space="preserve"> </w:t>
      </w:r>
      <w:r w:rsidR="0031434E">
        <w:rPr>
          <w:rFonts w:ascii="Times New Roman" w:hAnsi="Times New Roman" w:cs="Times New Roman"/>
          <w:sz w:val="24"/>
          <w:szCs w:val="24"/>
        </w:rPr>
        <w:t>о</w:t>
      </w:r>
      <w:r w:rsidR="00AD3462" w:rsidRPr="00887579">
        <w:rPr>
          <w:rFonts w:ascii="Times New Roman" w:hAnsi="Times New Roman" w:cs="Times New Roman"/>
          <w:sz w:val="24"/>
          <w:szCs w:val="24"/>
        </w:rPr>
        <w:t>ферт</w:t>
      </w:r>
      <w:r w:rsidR="00AD3462">
        <w:rPr>
          <w:rFonts w:ascii="Times New Roman" w:hAnsi="Times New Roman" w:cs="Times New Roman"/>
          <w:sz w:val="24"/>
          <w:szCs w:val="24"/>
        </w:rPr>
        <w:t xml:space="preserve">и </w:t>
      </w:r>
      <w:r w:rsidR="00AD3462" w:rsidRPr="00887579">
        <w:rPr>
          <w:rFonts w:ascii="Times New Roman" w:hAnsi="Times New Roman" w:cs="Times New Roman"/>
          <w:sz w:val="24"/>
          <w:szCs w:val="24"/>
        </w:rPr>
        <w:t>за всяка отделна инвестиция в активи – ДМА и ДНА</w:t>
      </w:r>
      <w:r w:rsidR="00AD3462" w:rsidRPr="00FD0FF5">
        <w:rPr>
          <w:rFonts w:ascii="Times New Roman" w:hAnsi="Times New Roman" w:cs="Times New Roman"/>
          <w:sz w:val="24"/>
          <w:szCs w:val="24"/>
          <w:lang w:val="ru-RU"/>
        </w:rPr>
        <w:t xml:space="preserve">, </w:t>
      </w:r>
      <w:r w:rsidR="00AD3462" w:rsidRPr="00887579">
        <w:rPr>
          <w:rFonts w:ascii="Times New Roman" w:hAnsi="Times New Roman" w:cs="Times New Roman"/>
          <w:sz w:val="24"/>
          <w:szCs w:val="24"/>
        </w:rPr>
        <w:t xml:space="preserve">с предложена цена </w:t>
      </w:r>
      <w:r w:rsidR="00AD3462">
        <w:rPr>
          <w:rFonts w:ascii="Times New Roman" w:hAnsi="Times New Roman" w:cs="Times New Roman"/>
          <w:sz w:val="24"/>
          <w:szCs w:val="24"/>
        </w:rPr>
        <w:t xml:space="preserve"> - </w:t>
      </w:r>
      <w:r w:rsidR="00AD3462" w:rsidRPr="009C2A49">
        <w:rPr>
          <w:rFonts w:ascii="Times New Roman" w:hAnsi="Times New Roman" w:cs="Times New Roman"/>
          <w:b/>
          <w:sz w:val="24"/>
          <w:szCs w:val="24"/>
        </w:rPr>
        <w:t>прикачени в ИСУН 2020.</w:t>
      </w:r>
    </w:p>
    <w:p w14:paraId="60CA5C09" w14:textId="77777777" w:rsidR="00687D09" w:rsidRPr="00687D09" w:rsidRDefault="00687D09" w:rsidP="00687D09">
      <w:pPr>
        <w:pBdr>
          <w:left w:val="single" w:sz="4" w:space="4" w:color="auto"/>
          <w:bottom w:val="single" w:sz="4" w:space="1" w:color="auto"/>
          <w:right w:val="single" w:sz="4" w:space="4" w:color="auto"/>
        </w:pBdr>
        <w:spacing w:after="0" w:line="276" w:lineRule="auto"/>
        <w:contextualSpacing/>
        <w:jc w:val="both"/>
        <w:rPr>
          <w:rFonts w:ascii="Times New Roman" w:hAnsi="Times New Roman" w:cs="Times New Roman"/>
          <w:b/>
          <w:sz w:val="24"/>
          <w:szCs w:val="24"/>
        </w:rPr>
      </w:pPr>
      <w:r w:rsidRPr="00687D09">
        <w:rPr>
          <w:rFonts w:ascii="Times New Roman" w:hAnsi="Times New Roman" w:cs="Times New Roman"/>
          <w:b/>
          <w:sz w:val="24"/>
          <w:szCs w:val="24"/>
        </w:rPr>
        <w:lastRenderedPageBreak/>
        <w:t>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w:t>
      </w:r>
    </w:p>
    <w:p w14:paraId="365F5850" w14:textId="77777777" w:rsidR="00687D09" w:rsidRDefault="00687D09"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sz w:val="24"/>
          <w:szCs w:val="24"/>
        </w:rPr>
      </w:pPr>
    </w:p>
    <w:p w14:paraId="0B85D98D" w14:textId="66B7DB27" w:rsidR="00973EE1" w:rsidRDefault="00A72515"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01B87B20" wp14:editId="5496F718">
                <wp:extent cx="5930900" cy="2400300"/>
                <wp:effectExtent l="0" t="0" r="12700" b="19050"/>
                <wp:docPr id="35" name="Текстово поле 35"/>
                <wp:cNvGraphicFramePr/>
                <a:graphic xmlns:a="http://schemas.openxmlformats.org/drawingml/2006/main">
                  <a:graphicData uri="http://schemas.microsoft.com/office/word/2010/wordprocessingShape">
                    <wps:wsp>
                      <wps:cNvSpPr txBox="1"/>
                      <wps:spPr>
                        <a:xfrm>
                          <a:off x="0" y="0"/>
                          <a:ext cx="5930900" cy="2400300"/>
                        </a:xfrm>
                        <a:prstGeom prst="rect">
                          <a:avLst/>
                        </a:prstGeom>
                        <a:solidFill>
                          <a:schemeClr val="bg1">
                            <a:lumMod val="85000"/>
                          </a:schemeClr>
                        </a:solidFill>
                        <a:ln w="6350">
                          <a:solidFill>
                            <a:prstClr val="black"/>
                          </a:solidFill>
                        </a:ln>
                        <a:effectLst/>
                      </wps:spPr>
                      <wps:txbx>
                        <w:txbxContent>
                          <w:p w14:paraId="18D3C484" w14:textId="76E386F9" w:rsidR="005B4F08" w:rsidRDefault="005B4F08"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оферента;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Офертата задължително следва да съдържа и следните реквизити: имена на лицето, което я издава от името на оферента,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5B4F08" w:rsidRPr="009C2A49" w:rsidRDefault="005B4F08"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87B20" id="Текстово поле 35" o:spid="_x0000_s1045" type="#_x0000_t202" style="width:46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" fillcolor="#d8d8d8 [2732]" strokeweight=".5pt">
                <v:textbox>
                  <w:txbxContent>
                    <w:p w14:paraId="18D3C484" w14:textId="76E386F9" w:rsidR="005B4F08" w:rsidRDefault="005B4F08"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оферента;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Офертата задължително следва да съдържа и следните реквизити: имена на лицето, което я издава от името на оферента,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5B4F08" w:rsidRPr="009C2A49" w:rsidRDefault="005B4F08"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v:textbox>
                <w10:anchorlock/>
              </v:shape>
            </w:pict>
          </mc:Fallback>
        </mc:AlternateContent>
      </w:r>
    </w:p>
    <w:p w14:paraId="28F7A607" w14:textId="77777777" w:rsidR="00A666E0" w:rsidRPr="00A666E0" w:rsidRDefault="00A72515" w:rsidP="00562772">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B6067F2" wp14:editId="1C8093EB">
                <wp:extent cx="1828800" cy="1828800"/>
                <wp:effectExtent l="0" t="0" r="15240" b="10795"/>
                <wp:docPr id="36" name="Текстово поле 3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6A0CCBE" w14:textId="12E3B8E1"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6067F2" id="Текстово поле 36" o:spid="_x0000_s104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MQESvSDAgAA&#10;7QQAAA4AAAAAAAAAAAAAAAAALgIAAGRycy9lMm9Eb2MueG1sUEsBAi0AFAAGAAgAAAAhALA/BXnZ&#10;AAAABQEAAA8AAAAAAAAAAAAAAAAA3QQAAGRycy9kb3ducmV2LnhtbFBLBQYAAAAABAAEAPMAAADj&#10;BQAAAAA=&#10;" fillcolor="#d8d8d8 [2732]" strokeweight=".5pt">
                <v:textbox style="mso-fit-shape-to-text:t">
                  <w:txbxContent>
                    <w:p w14:paraId="66A0CCBE" w14:textId="12E3B8E1"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5B4F08" w:rsidRPr="004D16BA" w:rsidRDefault="005B4F08"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v:textbox>
                <w10:anchorlock/>
              </v:shape>
            </w:pict>
          </mc:Fallback>
        </mc:AlternateContent>
      </w:r>
    </w:p>
    <w:p w14:paraId="4D057A9C" w14:textId="79657262" w:rsidR="009C2A49" w:rsidRDefault="008E5342"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2F48" w:rsidRPr="000A3DFA">
        <w:rPr>
          <w:rFonts w:ascii="Times New Roman" w:hAnsi="Times New Roman" w:cs="Times New Roman"/>
          <w:color w:val="000000" w:themeColor="text1"/>
          <w:sz w:val="24"/>
          <w:szCs w:val="24"/>
        </w:rPr>
        <w:t>Техническа спецификация на предвидените за закупуване ДМА и ДНА – попълнена по образец</w:t>
      </w:r>
      <w:r w:rsidR="00FE68DB" w:rsidRPr="000A3DFA">
        <w:rPr>
          <w:rFonts w:ascii="Times New Roman" w:hAnsi="Times New Roman" w:cs="Times New Roman"/>
          <w:color w:val="000000" w:themeColor="text1"/>
          <w:sz w:val="24"/>
          <w:szCs w:val="24"/>
        </w:rPr>
        <w:t xml:space="preserve"> </w:t>
      </w:r>
      <w:r w:rsidR="000F7D60">
        <w:rPr>
          <w:rFonts w:ascii="Times New Roman" w:hAnsi="Times New Roman" w:cs="Times New Roman"/>
          <w:color w:val="000000" w:themeColor="text1"/>
          <w:sz w:val="24"/>
          <w:szCs w:val="24"/>
        </w:rPr>
        <w:t xml:space="preserve"> </w:t>
      </w:r>
      <w:r w:rsidR="005D5991">
        <w:rPr>
          <w:rFonts w:ascii="Times New Roman" w:hAnsi="Times New Roman" w:cs="Times New Roman"/>
          <w:color w:val="000000" w:themeColor="text1"/>
          <w:sz w:val="24"/>
          <w:szCs w:val="24"/>
        </w:rPr>
        <w:t>(</w:t>
      </w:r>
      <w:r w:rsidR="00FE68DB" w:rsidRPr="001D19F0">
        <w:rPr>
          <w:rFonts w:ascii="Times New Roman" w:hAnsi="Times New Roman" w:cs="Times New Roman"/>
          <w:b/>
          <w:color w:val="000000" w:themeColor="text1"/>
          <w:sz w:val="24"/>
          <w:szCs w:val="24"/>
        </w:rPr>
        <w:t xml:space="preserve">Приложение </w:t>
      </w:r>
      <w:r w:rsidR="00B201D0">
        <w:rPr>
          <w:rFonts w:ascii="Times New Roman" w:hAnsi="Times New Roman" w:cs="Times New Roman"/>
          <w:b/>
          <w:color w:val="000000" w:themeColor="text1"/>
          <w:sz w:val="24"/>
          <w:szCs w:val="24"/>
        </w:rPr>
        <w:t>8</w:t>
      </w:r>
      <w:r w:rsidR="005D5991">
        <w:rPr>
          <w:rFonts w:ascii="Times New Roman" w:hAnsi="Times New Roman" w:cs="Times New Roman"/>
          <w:b/>
          <w:color w:val="000000" w:themeColor="text1"/>
          <w:sz w:val="24"/>
          <w:szCs w:val="24"/>
        </w:rPr>
        <w:t>)</w:t>
      </w:r>
      <w:r w:rsidR="00C00684" w:rsidRPr="00C00684">
        <w:rPr>
          <w:rFonts w:ascii="Times New Roman" w:hAnsi="Times New Roman" w:cs="Times New Roman"/>
          <w:sz w:val="24"/>
          <w:szCs w:val="24"/>
        </w:rPr>
        <w:t xml:space="preserve"> </w:t>
      </w:r>
      <w:r w:rsidR="00A249B1">
        <w:rPr>
          <w:rFonts w:ascii="Times New Roman" w:hAnsi="Times New Roman" w:cs="Times New Roman"/>
          <w:sz w:val="24"/>
          <w:szCs w:val="24"/>
        </w:rPr>
        <w:t xml:space="preserve">и </w:t>
      </w:r>
      <w:r w:rsidR="00C00684" w:rsidRPr="00EC01DD">
        <w:rPr>
          <w:rFonts w:ascii="Times New Roman" w:hAnsi="Times New Roman" w:cs="Times New Roman"/>
          <w:b/>
          <w:sz w:val="24"/>
          <w:szCs w:val="24"/>
        </w:rPr>
        <w:t>прикачена в ИСУН 2020</w:t>
      </w:r>
      <w:r w:rsidR="00C00684">
        <w:rPr>
          <w:rFonts w:ascii="Times New Roman" w:hAnsi="Times New Roman" w:cs="Times New Roman"/>
          <w:color w:val="000000" w:themeColor="text1"/>
          <w:sz w:val="24"/>
          <w:szCs w:val="24"/>
        </w:rPr>
        <w:t>.</w:t>
      </w:r>
      <w:r w:rsidR="00B03687">
        <w:rPr>
          <w:rFonts w:ascii="Times New Roman" w:hAnsi="Times New Roman" w:cs="Times New Roman"/>
          <w:color w:val="000000" w:themeColor="text1"/>
          <w:sz w:val="24"/>
          <w:szCs w:val="24"/>
        </w:rPr>
        <w:t xml:space="preserve"> </w:t>
      </w:r>
    </w:p>
    <w:p w14:paraId="64EB72A4" w14:textId="1BFE8361"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bCs/>
          <w:sz w:val="24"/>
          <w:szCs w:val="24"/>
        </w:rPr>
      </w:pPr>
      <w:r w:rsidRPr="00326474">
        <w:rPr>
          <w:rFonts w:ascii="Times New Roman" w:eastAsia="Times New Roman" w:hAnsi="Times New Roman"/>
          <w:b/>
          <w:sz w:val="24"/>
          <w:szCs w:val="24"/>
          <w:lang w:eastAsia="bg-BG"/>
        </w:rPr>
        <w:t>ВАЖНО:</w:t>
      </w:r>
      <w:r w:rsidRPr="00326474">
        <w:rPr>
          <w:rFonts w:ascii="Times New Roman" w:eastAsia="Times New Roman" w:hAnsi="Times New Roman"/>
          <w:sz w:val="24"/>
          <w:szCs w:val="24"/>
          <w:lang w:eastAsia="bg-BG"/>
        </w:rPr>
        <w:t xml:space="preserve"> </w:t>
      </w:r>
      <w:r w:rsidR="009C2A49" w:rsidRPr="007F2DC6">
        <w:rPr>
          <w:rFonts w:ascii="Times New Roman" w:hAnsi="Times New Roman" w:cs="Times New Roman"/>
          <w:bCs/>
          <w:sz w:val="24"/>
          <w:szCs w:val="24"/>
        </w:rPr>
        <w:t xml:space="preserve">Кандидатите следва да посочат минимални технически и/или функционални характеристики на предвидените за закупуване дълготрайни материални и нематериални активи, без да указват марки, модели и други конкретни технически спецификации, които насочват към определени производители, марки и модели. </w:t>
      </w:r>
    </w:p>
    <w:p w14:paraId="311C88F7" w14:textId="5E203D25"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случай, че в представената Техническа спецификация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 за закупуване актив, документът не може да бъде допълнително изискван от кандидатите единствено на тези основания, като съответният актив ще бъде премахнат от бюджета на проекта (т. 5 от Формуляра за кандидатстване) служебно от </w:t>
      </w:r>
      <w:r w:rsidR="00484154">
        <w:rPr>
          <w:rFonts w:ascii="Times New Roman" w:hAnsi="Times New Roman" w:cs="Times New Roman"/>
          <w:bCs/>
          <w:sz w:val="24"/>
          <w:szCs w:val="24"/>
        </w:rPr>
        <w:t>К</w:t>
      </w:r>
      <w:r>
        <w:rPr>
          <w:rFonts w:ascii="Times New Roman" w:hAnsi="Times New Roman" w:cs="Times New Roman"/>
          <w:bCs/>
          <w:sz w:val="24"/>
          <w:szCs w:val="24"/>
        </w:rPr>
        <w:t>омисия</w:t>
      </w:r>
      <w:r w:rsidR="00484154">
        <w:rPr>
          <w:rFonts w:ascii="Times New Roman" w:hAnsi="Times New Roman" w:cs="Times New Roman"/>
          <w:bCs/>
          <w:sz w:val="24"/>
          <w:szCs w:val="24"/>
        </w:rPr>
        <w:t>та за подбор</w:t>
      </w:r>
      <w:r>
        <w:rPr>
          <w:rFonts w:ascii="Times New Roman" w:hAnsi="Times New Roman" w:cs="Times New Roman"/>
          <w:bCs/>
          <w:sz w:val="24"/>
          <w:szCs w:val="24"/>
        </w:rPr>
        <w:t>.</w:t>
      </w:r>
    </w:p>
    <w:p w14:paraId="42262926" w14:textId="523AB41C" w:rsidR="009C2A49" w:rsidRPr="004D16BA" w:rsidRDefault="009C2A49"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sidRPr="004D16BA">
        <w:rPr>
          <w:rFonts w:ascii="Times New Roman" w:hAnsi="Times New Roman" w:cs="Times New Roman"/>
          <w:bCs/>
          <w:sz w:val="24"/>
          <w:szCs w:val="24"/>
        </w:rPr>
        <w:t>В случаите на придобиване на софтуер, съдържанието на минималните характеристики, посочени в</w:t>
      </w:r>
      <w:r w:rsidRPr="004D16BA">
        <w:t xml:space="preserve"> </w:t>
      </w:r>
      <w:r w:rsidRPr="004D16BA">
        <w:rPr>
          <w:rFonts w:ascii="Times New Roman" w:hAnsi="Times New Roman" w:cs="Times New Roman"/>
          <w:bCs/>
          <w:sz w:val="24"/>
          <w:szCs w:val="24"/>
        </w:rPr>
        <w:t>Техническата спецификация, следва задължително да включва описание на обхвата и основните модули на актива.</w:t>
      </w:r>
    </w:p>
    <w:p w14:paraId="58A4ACC6" w14:textId="77777777" w:rsidR="00EC01DD" w:rsidRDefault="00A72515"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0BB77285" wp14:editId="3A7CD6DE">
                <wp:extent cx="1828800" cy="1828800"/>
                <wp:effectExtent l="0" t="0" r="15240" b="15240"/>
                <wp:docPr id="37" name="Текстово поле 3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CA8318A" w14:textId="0BBDA832" w:rsidR="005B4F08" w:rsidRPr="004D16BA" w:rsidRDefault="005B4F08"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5B4F08" w:rsidRPr="004D16BA" w:rsidRDefault="005B4F08"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съответният/ите актив/и ще бъде/ат премахнат/и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B77285" id="Текстово поле 37" o:spid="_x0000_s104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NV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MQ9NVhAIA&#10;AO0EAAAOAAAAAAAAAAAAAAAAAC4CAABkcnMvZTJvRG9jLnhtbFBLAQItABQABgAIAAAAIQCwPwV5&#10;2QAAAAUBAAAPAAAAAAAAAAAAAAAAAN4EAABkcnMvZG93bnJldi54bWxQSwUGAAAAAAQABADzAAAA&#10;5AUAAAAA&#10;" fillcolor="#d8d8d8 [2732]" strokeweight=".5pt">
                <v:textbox style="mso-fit-shape-to-text:t">
                  <w:txbxContent>
                    <w:p w14:paraId="6CA8318A" w14:textId="0BBDA832" w:rsidR="005B4F08" w:rsidRPr="004D16BA" w:rsidRDefault="005B4F08"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5B4F08" w:rsidRPr="004D16BA" w:rsidRDefault="005B4F08"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съответният/ите актив/и ще бъде/ат премахнат/и от бюджета на проекта (т. 5 от Формуляра за кандидатстване) служебно от Комисията за подбор.</w:t>
                      </w:r>
                    </w:p>
                  </w:txbxContent>
                </v:textbox>
                <w10:anchorlock/>
              </v:shape>
            </w:pict>
          </mc:Fallback>
        </mc:AlternateContent>
      </w:r>
    </w:p>
    <w:p w14:paraId="40850A29" w14:textId="6118F9F5" w:rsidR="00EC01DD" w:rsidRPr="00EC01DD" w:rsidRDefault="008E5342"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EC01DD" w:rsidRPr="00EC01DD">
        <w:rPr>
          <w:rFonts w:ascii="Times New Roman" w:hAnsi="Times New Roman" w:cs="Times New Roman"/>
          <w:color w:val="000000" w:themeColor="text1"/>
          <w:sz w:val="24"/>
          <w:szCs w:val="24"/>
        </w:rPr>
        <w:t xml:space="preserve">Пълномощно за подаване на проектното предложение с КЕП (ако е приложимо)  -  </w:t>
      </w:r>
      <w:r w:rsidR="009930E9" w:rsidRPr="009930E9">
        <w:rPr>
          <w:rFonts w:ascii="Times New Roman" w:hAnsi="Times New Roman" w:cs="Times New Roman"/>
          <w:b/>
          <w:color w:val="000000" w:themeColor="text1"/>
          <w:sz w:val="24"/>
          <w:szCs w:val="24"/>
        </w:rPr>
        <w:t>сканирано и</w:t>
      </w:r>
      <w:r w:rsidR="009930E9">
        <w:rPr>
          <w:rFonts w:ascii="Times New Roman" w:hAnsi="Times New Roman" w:cs="Times New Roman"/>
          <w:color w:val="000000" w:themeColor="text1"/>
          <w:sz w:val="24"/>
          <w:szCs w:val="24"/>
        </w:rPr>
        <w:t xml:space="preserve"> </w:t>
      </w:r>
      <w:r w:rsidR="00EC01DD" w:rsidRPr="004770DA">
        <w:rPr>
          <w:rFonts w:ascii="Times New Roman" w:hAnsi="Times New Roman" w:cs="Times New Roman"/>
          <w:b/>
          <w:color w:val="000000" w:themeColor="text1"/>
          <w:sz w:val="24"/>
          <w:szCs w:val="24"/>
        </w:rPr>
        <w:t>прикачено в ИСУН 2020</w:t>
      </w:r>
      <w:r w:rsidR="00EC01DD" w:rsidRPr="00EC01DD">
        <w:rPr>
          <w:rFonts w:ascii="Times New Roman" w:hAnsi="Times New Roman" w:cs="Times New Roman"/>
          <w:color w:val="000000" w:themeColor="text1"/>
          <w:sz w:val="24"/>
          <w:szCs w:val="24"/>
        </w:rPr>
        <w:t xml:space="preserve">. </w:t>
      </w:r>
    </w:p>
    <w:p w14:paraId="4AE3A5C1"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Пълномощното се попълва, датира и подписва на хартиен носител от лице с право да представлява кандидата. В случаите, когато кандидатът се представлява заедно от няколко 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следва да се сканира и да се прикачи в ИСУН 2020.</w:t>
      </w:r>
    </w:p>
    <w:p w14:paraId="1A5AB54E"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От пълномощното следва да е видно, че лицето е упълномощено да представлява кандидата към датата на кандидатстване за подаване на проектното предложение по процедурата.</w:t>
      </w:r>
    </w:p>
    <w:p w14:paraId="24EA4329" w14:textId="77777777" w:rsidR="00EC01DD"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color w:val="000000" w:themeColor="text1"/>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4A1F3CDB" w14:textId="77777777" w:rsid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B6E89E8" w14:textId="2EC3E019" w:rsidR="00F75BCB" w:rsidRDefault="008E5342"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10</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B03687" w:rsidRPr="00B03687">
        <w:rPr>
          <w:rFonts w:ascii="Times New Roman" w:hAnsi="Times New Roman" w:cs="Times New Roman"/>
          <w:color w:val="000000" w:themeColor="text1"/>
          <w:sz w:val="24"/>
          <w:szCs w:val="24"/>
        </w:rPr>
        <w:t>Сче</w:t>
      </w:r>
      <w:r w:rsidR="00B03687" w:rsidRPr="00B03687">
        <w:rPr>
          <w:rFonts w:ascii="Times New Roman" w:hAnsi="Times New Roman" w:cs="Times New Roman"/>
          <w:sz w:val="24"/>
          <w:szCs w:val="24"/>
        </w:rPr>
        <w:t xml:space="preserve">товодна политика на кандидата, изготвена съгласно приложимите счетоводни стандарти - </w:t>
      </w:r>
      <w:r w:rsidR="00B03687" w:rsidRPr="004770DA">
        <w:rPr>
          <w:rFonts w:ascii="Times New Roman" w:hAnsi="Times New Roman" w:cs="Times New Roman"/>
          <w:b/>
          <w:sz w:val="24"/>
          <w:szCs w:val="24"/>
        </w:rPr>
        <w:t>прикачена в ИСУН 2020.</w:t>
      </w:r>
      <w:r w:rsidR="00B03687" w:rsidRPr="00B03687">
        <w:rPr>
          <w:rFonts w:ascii="Times New Roman" w:hAnsi="Times New Roman" w:cs="Times New Roman"/>
          <w:sz w:val="24"/>
          <w:szCs w:val="24"/>
        </w:rPr>
        <w:t xml:space="preserve"> </w:t>
      </w:r>
    </w:p>
    <w:p w14:paraId="75AD0A09" w14:textId="0A66E765" w:rsidR="004161C4" w:rsidRDefault="00A72515"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E045D94" wp14:editId="0886F540">
                <wp:extent cx="1828800" cy="1828800"/>
                <wp:effectExtent l="0" t="0" r="15240" b="10795"/>
                <wp:docPr id="38" name="Текстово 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5653724" w14:textId="77777777" w:rsidR="005B4F08" w:rsidRPr="001308F5"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045D94" id="Текстово поле 38" o:sp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kE3SphAIA&#10;AO0EAAAOAAAAAAAAAAAAAAAAAC4CAABkcnMvZTJvRG9jLnhtbFBLAQItABQABgAIAAAAIQCwPwV5&#10;2QAAAAUBAAAPAAAAAAAAAAAAAAAAAN4EAABkcnMvZG93bnJldi54bWxQSwUGAAAAAAQABADzAAAA&#10;5AUAAAAA&#10;" fillcolor="#d8d8d8 [2732]" strokeweight=".5pt">
                <v:textbox style="mso-fit-shape-to-text:t">
                  <w:txbxContent>
                    <w:p w14:paraId="75653724" w14:textId="77777777" w:rsidR="005B4F08" w:rsidRPr="001308F5"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v:textbox>
                <w10:anchorlock/>
              </v:shape>
            </w:pict>
          </mc:Fallback>
        </mc:AlternateContent>
      </w:r>
    </w:p>
    <w:p w14:paraId="0DE19346" w14:textId="43E203C6" w:rsidR="00D67303"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b/>
          <w:bCs/>
          <w:sz w:val="24"/>
          <w:szCs w:val="24"/>
        </w:rPr>
        <w:t>1</w:t>
      </w:r>
      <w:r w:rsidR="008E5342">
        <w:rPr>
          <w:rFonts w:ascii="Times New Roman" w:hAnsi="Times New Roman" w:cs="Times New Roman"/>
          <w:b/>
          <w:bCs/>
          <w:sz w:val="24"/>
          <w:szCs w:val="24"/>
        </w:rPr>
        <w:t>1</w:t>
      </w:r>
      <w:r w:rsidRPr="00C00684">
        <w:rPr>
          <w:rFonts w:ascii="Times New Roman" w:hAnsi="Times New Roman" w:cs="Times New Roman"/>
          <w:b/>
          <w:bCs/>
          <w:sz w:val="24"/>
          <w:szCs w:val="24"/>
        </w:rPr>
        <w:t xml:space="preserve">. </w:t>
      </w:r>
      <w:r w:rsidRPr="00C00684">
        <w:rPr>
          <w:rFonts w:ascii="Times New Roman" w:hAnsi="Times New Roman" w:cs="Times New Roman"/>
          <w:sz w:val="24"/>
          <w:szCs w:val="24"/>
        </w:rPr>
        <w:t>Отчет за заетите лица, средствата за работна заплата и други разходи за труд</w:t>
      </w:r>
      <w:r w:rsidR="005229CC">
        <w:rPr>
          <w:rStyle w:val="a8"/>
          <w:rFonts w:ascii="Times New Roman" w:hAnsi="Times New Roman" w:cs="Times New Roman"/>
          <w:sz w:val="24"/>
          <w:szCs w:val="24"/>
        </w:rPr>
        <w:footnoteReference w:id="30"/>
      </w:r>
      <w:r w:rsidRPr="00C00684">
        <w:rPr>
          <w:rFonts w:ascii="Times New Roman" w:hAnsi="Times New Roman" w:cs="Times New Roman"/>
          <w:sz w:val="24"/>
          <w:szCs w:val="24"/>
        </w:rPr>
        <w:t xml:space="preserve"> за последните три приключени финансови години - </w:t>
      </w:r>
      <w:r w:rsidRPr="004770DA">
        <w:rPr>
          <w:rFonts w:ascii="Times New Roman" w:hAnsi="Times New Roman" w:cs="Times New Roman"/>
          <w:b/>
          <w:sz w:val="24"/>
          <w:szCs w:val="24"/>
        </w:rPr>
        <w:t>прикачен в ИСУН 2020</w:t>
      </w:r>
      <w:r w:rsidR="00D67303">
        <w:rPr>
          <w:rFonts w:ascii="Times New Roman" w:hAnsi="Times New Roman" w:cs="Times New Roman"/>
          <w:b/>
          <w:sz w:val="24"/>
          <w:szCs w:val="24"/>
        </w:rPr>
        <w:t xml:space="preserve">. </w:t>
      </w:r>
    </w:p>
    <w:p w14:paraId="21DBAF5C" w14:textId="1935980E" w:rsid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sz w:val="24"/>
          <w:szCs w:val="24"/>
        </w:rPr>
        <w:lastRenderedPageBreak/>
        <w:t xml:space="preserve">В случай че посочените документи са оповестени в Търговския регистър </w:t>
      </w:r>
      <w:r w:rsidR="00974AC8" w:rsidRPr="00974AC8">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38170C5B" w14:textId="65E041A9"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97A7B63" w14:textId="50B7AB9B"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2</w:t>
      </w:r>
      <w:r w:rsidRPr="00BC1E22">
        <w:rPr>
          <w:rFonts w:ascii="Times New Roman" w:hAnsi="Times New Roman" w:cs="Times New Roman"/>
          <w:b/>
          <w:sz w:val="24"/>
          <w:szCs w:val="24"/>
        </w:rPr>
        <w:t>.</w:t>
      </w:r>
      <w:r w:rsidRPr="00906B45">
        <w:rPr>
          <w:rFonts w:ascii="Times New Roman" w:hAnsi="Times New Roman" w:cs="Times New Roman"/>
          <w:sz w:val="24"/>
          <w:szCs w:val="24"/>
        </w:rPr>
        <w:t xml:space="preserve"> Отчет за приходите и разходите и Справка за приходите и разходите по видове и икономически дейности за последните три приключени финансови години  - </w:t>
      </w:r>
      <w:r w:rsidRPr="00906B45">
        <w:rPr>
          <w:rFonts w:ascii="Times New Roman" w:hAnsi="Times New Roman" w:cs="Times New Roman"/>
          <w:b/>
          <w:sz w:val="24"/>
          <w:szCs w:val="24"/>
        </w:rPr>
        <w:t>прикачени в ИСУН 2020.</w:t>
      </w:r>
      <w:r w:rsidRPr="00906B45">
        <w:rPr>
          <w:rFonts w:ascii="Times New Roman" w:hAnsi="Times New Roman" w:cs="Times New Roman"/>
          <w:sz w:val="24"/>
          <w:szCs w:val="24"/>
        </w:rPr>
        <w:t xml:space="preserve"> </w:t>
      </w:r>
    </w:p>
    <w:p w14:paraId="6743CD1E" w14:textId="0E3FAE50"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3C0EFDEB" w14:textId="4E23B1A3"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582A9FAF" w14:textId="313F29A2" w:rsidR="00906B45" w:rsidRPr="00906B45"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3</w:t>
      </w:r>
      <w:r w:rsidRPr="00BC1E22">
        <w:rPr>
          <w:rFonts w:ascii="Times New Roman" w:hAnsi="Times New Roman" w:cs="Times New Roman"/>
          <w:b/>
          <w:sz w:val="24"/>
          <w:szCs w:val="24"/>
        </w:rPr>
        <w:t>.</w:t>
      </w:r>
      <w:r>
        <w:rPr>
          <w:rFonts w:ascii="Times New Roman" w:hAnsi="Times New Roman" w:cs="Times New Roman"/>
          <w:sz w:val="24"/>
          <w:szCs w:val="24"/>
        </w:rPr>
        <w:t xml:space="preserve"> </w:t>
      </w:r>
      <w:r w:rsidRPr="00906B45">
        <w:rPr>
          <w:rFonts w:ascii="Times New Roman" w:hAnsi="Times New Roman" w:cs="Times New Roman"/>
          <w:sz w:val="24"/>
          <w:szCs w:val="24"/>
        </w:rPr>
        <w:t xml:space="preserve">Счетоводен баланс за последните три приключени финансови години   (индивидуален) - </w:t>
      </w:r>
      <w:r w:rsidRPr="00906B45">
        <w:rPr>
          <w:rFonts w:ascii="Times New Roman" w:hAnsi="Times New Roman" w:cs="Times New Roman"/>
          <w:b/>
          <w:sz w:val="24"/>
          <w:szCs w:val="24"/>
        </w:rPr>
        <w:t>прикачен в ИСУН 2020.</w:t>
      </w:r>
    </w:p>
    <w:p w14:paraId="4A628F42" w14:textId="763CED0A" w:rsidR="00906B45" w:rsidRPr="00C00684"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03E3287A" w14:textId="77777777" w:rsidR="00EC01DD" w:rsidRDefault="00EC01DD"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4"/>
          <w:szCs w:val="24"/>
        </w:rPr>
      </w:pPr>
    </w:p>
    <w:p w14:paraId="3C9491CF" w14:textId="5F2CFAE6" w:rsidR="00C00684" w:rsidRPr="00C00684" w:rsidRDefault="009E1608"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8E5342">
        <w:rPr>
          <w:rFonts w:ascii="Times New Roman" w:hAnsi="Times New Roman" w:cs="Times New Roman"/>
          <w:b/>
          <w:bCs/>
          <w:sz w:val="24"/>
          <w:szCs w:val="24"/>
        </w:rPr>
        <w:t>4</w:t>
      </w:r>
      <w:r w:rsidR="00C00684" w:rsidRPr="00C00684">
        <w:rPr>
          <w:rFonts w:ascii="Times New Roman" w:hAnsi="Times New Roman" w:cs="Times New Roman"/>
          <w:b/>
          <w:bCs/>
          <w:sz w:val="24"/>
          <w:szCs w:val="24"/>
        </w:rPr>
        <w:t xml:space="preserve">. </w:t>
      </w:r>
      <w:r w:rsidR="00C00684" w:rsidRPr="00C00684">
        <w:rPr>
          <w:rFonts w:ascii="Times New Roman" w:hAnsi="Times New Roman" w:cs="Times New Roman"/>
          <w:sz w:val="24"/>
          <w:szCs w:val="24"/>
        </w:rPr>
        <w:t>Справка за нетекущите (дълготрайните) активи за последните три приключени финансови години</w:t>
      </w:r>
      <w:r w:rsidR="0069750E">
        <w:rPr>
          <w:rStyle w:val="a8"/>
          <w:rFonts w:ascii="Times New Roman" w:hAnsi="Times New Roman" w:cs="Times New Roman"/>
          <w:sz w:val="24"/>
          <w:szCs w:val="24"/>
        </w:rPr>
        <w:footnoteReference w:id="31"/>
      </w:r>
      <w:r w:rsidR="00C00684" w:rsidRPr="00C00684">
        <w:rPr>
          <w:rFonts w:ascii="Times New Roman" w:hAnsi="Times New Roman" w:cs="Times New Roman"/>
          <w:sz w:val="24"/>
          <w:szCs w:val="24"/>
        </w:rPr>
        <w:t xml:space="preserve"> - </w:t>
      </w:r>
      <w:r w:rsidR="00C00684" w:rsidRPr="004770DA">
        <w:rPr>
          <w:rFonts w:ascii="Times New Roman" w:hAnsi="Times New Roman" w:cs="Times New Roman"/>
          <w:b/>
          <w:sz w:val="24"/>
          <w:szCs w:val="24"/>
        </w:rPr>
        <w:t>прикачена в ИСУН 2020</w:t>
      </w:r>
      <w:r w:rsidR="00C00684" w:rsidRPr="00C00684">
        <w:rPr>
          <w:rFonts w:ascii="Times New Roman" w:hAnsi="Times New Roman" w:cs="Times New Roman"/>
          <w:sz w:val="24"/>
          <w:szCs w:val="24"/>
        </w:rPr>
        <w:t xml:space="preserve">. </w:t>
      </w:r>
    </w:p>
    <w:p w14:paraId="2AAA8299" w14:textId="509311E6" w:rsidR="00C00684" w:rsidRP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0684">
        <w:rPr>
          <w:rFonts w:ascii="Times New Roman" w:hAnsi="Times New Roman" w:cs="Times New Roman"/>
          <w:sz w:val="24"/>
          <w:szCs w:val="24"/>
        </w:rPr>
        <w:t xml:space="preserve">В случай че посочените документи са оповестени в Търговския регистър </w:t>
      </w:r>
      <w:r w:rsidR="00AB4435" w:rsidRPr="00AB4435">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6A60FD99" w14:textId="77777777" w:rsidR="00FC1553" w:rsidRDefault="00717059" w:rsidP="00FC155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C7B3CBE" wp14:editId="5ED60A1B">
                <wp:extent cx="1828800" cy="1828800"/>
                <wp:effectExtent l="0" t="0" r="15240" b="21590"/>
                <wp:docPr id="39" name="Текстово 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F92D348" w14:textId="31E6CF71" w:rsidR="005B4F08" w:rsidRPr="00264BE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C7B3CBE" id="Текстово поле 39" o:sp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sVO0IhAIA&#10;AO0EAAAOAAAAAAAAAAAAAAAAAC4CAABkcnMvZTJvRG9jLnhtbFBLAQItABQABgAIAAAAIQCwPwV5&#10;2QAAAAUBAAAPAAAAAAAAAAAAAAAAAN4EAABkcnMvZG93bnJldi54bWxQSwUGAAAAAAQABADzAAAA&#10;5AUAAAAA&#10;" fillcolor="#d8d8d8 [2732]" strokeweight=".5pt">
                <v:textbox style="mso-fit-shape-to-text:t">
                  <w:txbxContent>
                    <w:p w14:paraId="7F92D348" w14:textId="31E6CF71" w:rsidR="005B4F08" w:rsidRPr="00264BE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v:textbox>
                <w10:anchorlock/>
              </v:shape>
            </w:pict>
          </mc:Fallback>
        </mc:AlternateContent>
      </w:r>
    </w:p>
    <w:p w14:paraId="25EDC481" w14:textId="18A32268" w:rsidR="00FC1553"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55D5B">
        <w:rPr>
          <w:rFonts w:ascii="Times New Roman" w:hAnsi="Times New Roman" w:cs="Times New Roman"/>
          <w:b/>
          <w:color w:val="000000" w:themeColor="text1"/>
          <w:sz w:val="24"/>
          <w:szCs w:val="24"/>
        </w:rPr>
        <w:lastRenderedPageBreak/>
        <w:t>1</w:t>
      </w:r>
      <w:r w:rsidR="008E5342">
        <w:rPr>
          <w:rFonts w:ascii="Times New Roman" w:hAnsi="Times New Roman" w:cs="Times New Roman"/>
          <w:b/>
          <w:color w:val="000000" w:themeColor="text1"/>
          <w:sz w:val="24"/>
          <w:szCs w:val="24"/>
        </w:rPr>
        <w:t>5</w:t>
      </w:r>
      <w:r w:rsidR="00267204" w:rsidRPr="000A3DFA">
        <w:rPr>
          <w:rFonts w:ascii="Times New Roman" w:hAnsi="Times New Roman" w:cs="Times New Roman"/>
          <w:b/>
          <w:color w:val="000000" w:themeColor="text1"/>
          <w:sz w:val="24"/>
          <w:szCs w:val="24"/>
        </w:rPr>
        <w:t>.</w:t>
      </w:r>
      <w:r w:rsidR="00FC1553">
        <w:rPr>
          <w:rFonts w:ascii="Times New Roman" w:hAnsi="Times New Roman" w:cs="Times New Roman"/>
          <w:color w:val="000000" w:themeColor="text1"/>
          <w:sz w:val="24"/>
          <w:szCs w:val="24"/>
        </w:rPr>
        <w:t xml:space="preserve"> </w:t>
      </w:r>
      <w:r w:rsidR="00A373BC">
        <w:rPr>
          <w:rFonts w:ascii="Times New Roman" w:hAnsi="Times New Roman" w:cs="Times New Roman"/>
          <w:color w:val="000000" w:themeColor="text1"/>
          <w:sz w:val="24"/>
          <w:szCs w:val="24"/>
        </w:rPr>
        <w:t xml:space="preserve">Валиден </w:t>
      </w:r>
      <w:r w:rsidR="00A373BC">
        <w:rPr>
          <w:rFonts w:ascii="Times New Roman" w:eastAsia="Times New Roman" w:hAnsi="Times New Roman"/>
          <w:sz w:val="24"/>
          <w:szCs w:val="24"/>
          <w:lang w:eastAsia="bg-BG"/>
        </w:rPr>
        <w:t>с</w:t>
      </w:r>
      <w:r w:rsidR="00FC1553" w:rsidRPr="00326474">
        <w:rPr>
          <w:rFonts w:ascii="Times New Roman" w:eastAsia="Times New Roman" w:hAnsi="Times New Roman"/>
          <w:sz w:val="24"/>
          <w:szCs w:val="24"/>
          <w:lang w:eastAsia="bg-BG"/>
        </w:rPr>
        <w:t xml:space="preserve">ертификат за вече приложения стандарт за управление, който е обект на ре-сертификация, който не е изтекъл към датата на подаване на проектното предложение (приложимо, в случай че по проектното предложение са включени дейности за ре-сертификация) </w:t>
      </w:r>
      <w:r w:rsidR="00FC1553">
        <w:rPr>
          <w:rFonts w:ascii="Times New Roman" w:eastAsia="Times New Roman" w:hAnsi="Times New Roman"/>
          <w:sz w:val="24"/>
          <w:szCs w:val="24"/>
          <w:lang w:eastAsia="bg-BG"/>
        </w:rPr>
        <w:t xml:space="preserve">- </w:t>
      </w:r>
      <w:r w:rsidR="00FC1553" w:rsidRPr="00FC1553">
        <w:rPr>
          <w:rFonts w:ascii="Times New Roman" w:eastAsia="Times New Roman" w:hAnsi="Times New Roman"/>
          <w:b/>
          <w:sz w:val="24"/>
          <w:szCs w:val="24"/>
          <w:lang w:eastAsia="bg-BG"/>
        </w:rPr>
        <w:t>прикачен в ИСУН 2020</w:t>
      </w:r>
      <w:r w:rsidR="00FC1553">
        <w:rPr>
          <w:rFonts w:ascii="Times New Roman" w:eastAsia="Times New Roman" w:hAnsi="Times New Roman"/>
          <w:sz w:val="24"/>
          <w:szCs w:val="24"/>
          <w:lang w:eastAsia="bg-BG"/>
        </w:rPr>
        <w:t>.</w:t>
      </w:r>
    </w:p>
    <w:p w14:paraId="2D984E40" w14:textId="77777777" w:rsidR="00FC1553" w:rsidRPr="00A55D5B" w:rsidRDefault="00FC1553"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6FEA85E" w14:textId="698ED71A" w:rsidR="00267204"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8E5342">
        <w:rPr>
          <w:rFonts w:ascii="Times New Roman" w:hAnsi="Times New Roman" w:cs="Times New Roman"/>
          <w:b/>
          <w:color w:val="000000" w:themeColor="text1"/>
          <w:sz w:val="24"/>
          <w:szCs w:val="24"/>
        </w:rPr>
        <w:t>6</w:t>
      </w:r>
      <w:r w:rsidR="00FC1553">
        <w:rPr>
          <w:rFonts w:ascii="Times New Roman" w:hAnsi="Times New Roman" w:cs="Times New Roman"/>
          <w:b/>
          <w:color w:val="000000" w:themeColor="text1"/>
          <w:sz w:val="24"/>
          <w:szCs w:val="24"/>
        </w:rPr>
        <w:t xml:space="preserve">. </w:t>
      </w:r>
      <w:r w:rsidR="00267204" w:rsidRPr="000A3DFA">
        <w:rPr>
          <w:rFonts w:ascii="Times New Roman" w:hAnsi="Times New Roman" w:cs="Times New Roman"/>
          <w:color w:val="000000" w:themeColor="text1"/>
          <w:sz w:val="24"/>
          <w:szCs w:val="24"/>
        </w:rPr>
        <w:t>В случаите, когато кандидатът е заявил въведени международно признати стандарти, и/или СЕ маркировка, и/или съответствие на продуктите, и/или добри производствени практики, и/или специализирани софтуерни системи за управление (съгласно т. 11 от Формуляра за кандидатстване), той следва да представи поне един от следните документи</w:t>
      </w:r>
      <w:r w:rsidR="00C00684" w:rsidRPr="00C00684">
        <w:rPr>
          <w:rFonts w:ascii="Times New Roman" w:hAnsi="Times New Roman" w:cs="Times New Roman"/>
          <w:sz w:val="24"/>
          <w:szCs w:val="24"/>
        </w:rPr>
        <w:t xml:space="preserve"> </w:t>
      </w:r>
      <w:r w:rsidR="00DA41CD">
        <w:rPr>
          <w:rFonts w:ascii="Times New Roman" w:hAnsi="Times New Roman" w:cs="Times New Roman"/>
          <w:b/>
          <w:sz w:val="24"/>
          <w:szCs w:val="24"/>
        </w:rPr>
        <w:t>прикачен</w:t>
      </w:r>
      <w:r w:rsidR="00C00684" w:rsidRPr="004770DA">
        <w:rPr>
          <w:rFonts w:ascii="Times New Roman" w:hAnsi="Times New Roman" w:cs="Times New Roman"/>
          <w:b/>
          <w:sz w:val="24"/>
          <w:szCs w:val="24"/>
        </w:rPr>
        <w:t xml:space="preserve"> в ИСУН 2020</w:t>
      </w:r>
      <w:r w:rsidR="00267204" w:rsidRPr="000A3DFA">
        <w:rPr>
          <w:rFonts w:ascii="Times New Roman" w:hAnsi="Times New Roman" w:cs="Times New Roman"/>
          <w:color w:val="000000" w:themeColor="text1"/>
          <w:sz w:val="24"/>
          <w:szCs w:val="24"/>
        </w:rPr>
        <w:t>:</w:t>
      </w:r>
    </w:p>
    <w:p w14:paraId="328E040D"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сертификат, който е валиден към датата на кандидатстване - когато кандидатът е заявил наличие на въведени стандарти за качество, други международно признати стандарти или системи за управление;</w:t>
      </w:r>
    </w:p>
    <w:p w14:paraId="0D3E41C4"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декларация или сертификат за съответствие или протоколи от изпитване на произведени продукти, за които е въведена CE маркировката - когато кандидатът е заявил въведени СЕ маркировки;</w:t>
      </w:r>
    </w:p>
    <w:p w14:paraId="286DA3EB" w14:textId="77777777" w:rsidR="00267204" w:rsidRPr="000A3DFA"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документи, издадени съгласно нормативната уредба, поставяща изискванията по отношение на добри производствени практики в областите, в които те се прилагат, а именно: хранително-вкусова промишленост (вкл. производство на опаковки влизащи в контакт с храни), фармация, козметична промишленост и производството на ветеринарно-медицински продукти - когато кандидатът е заявил наличие на въведени добри производствени практики;</w:t>
      </w:r>
    </w:p>
    <w:p w14:paraId="11362C31" w14:textId="77777777" w:rsidR="00267204"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лицензионни договори предоставящи конкретни права на кандидата по отношение на съответната специализирана софтуерна система и/или договор с доставчика/производителя на конкретната система за нейното въвеждане, чието успешно изпълнение е удостоверено с приложен към договора приемо-предавателен протокол и/или ръководство отнасящо се до въвеждането на специализираната софтуерна система</w:t>
      </w:r>
      <w:r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при конкретния кандидат – когато кандидатът е заявил въведени специализирани софтуерни системи за управление.</w:t>
      </w:r>
    </w:p>
    <w:p w14:paraId="664A01A8" w14:textId="77777777" w:rsidR="00E457BA" w:rsidRPr="000A3DFA" w:rsidRDefault="00E457BA"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E6A2A" w14:textId="77777777" w:rsidR="005E45F5" w:rsidRDefault="00267204"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Общите ръководства, описващи какво представлява компютъризираната система и какви са нейните функционални възможности, не следва да се считат за документ, удостоверяващ наличието на въведена такава с</w:t>
      </w:r>
      <w:r w:rsidR="005E45F5">
        <w:rPr>
          <w:rFonts w:ascii="Times New Roman" w:hAnsi="Times New Roman" w:cs="Times New Roman"/>
          <w:color w:val="000000" w:themeColor="text1"/>
          <w:sz w:val="24"/>
          <w:szCs w:val="24"/>
        </w:rPr>
        <w:t>истема при конкретния кандидат.</w:t>
      </w:r>
    </w:p>
    <w:p w14:paraId="4FABA8D2" w14:textId="77777777" w:rsidR="005F4E99" w:rsidRDefault="005F4E99"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77858C8" w14:textId="2BB23C87" w:rsidR="008D009D" w:rsidRPr="008D009D" w:rsidRDefault="005F4E99"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Cs/>
          <w:color w:val="000000" w:themeColor="text1"/>
          <w:sz w:val="24"/>
          <w:szCs w:val="24"/>
        </w:rPr>
      </w:pPr>
      <w:r w:rsidRPr="005F4E99">
        <w:rPr>
          <w:rFonts w:ascii="Times New Roman" w:hAnsi="Times New Roman" w:cs="Times New Roman"/>
          <w:b/>
          <w:color w:val="000000" w:themeColor="text1"/>
          <w:sz w:val="24"/>
          <w:szCs w:val="24"/>
        </w:rPr>
        <w:t>ВАЖНО:</w:t>
      </w:r>
      <w:r w:rsidR="008D009D" w:rsidRPr="00A55D5B">
        <w:rPr>
          <w:rFonts w:ascii="Times New Roman" w:hAnsi="Times New Roman" w:cs="Times New Roman"/>
          <w:b/>
          <w:color w:val="000000" w:themeColor="text1"/>
          <w:sz w:val="24"/>
          <w:szCs w:val="24"/>
        </w:rPr>
        <w:t xml:space="preserve"> </w:t>
      </w:r>
      <w:r w:rsidR="008D009D" w:rsidRPr="008D009D">
        <w:rPr>
          <w:rFonts w:ascii="Times New Roman" w:hAnsi="Times New Roman" w:cs="Times New Roman"/>
          <w:color w:val="000000" w:themeColor="text1"/>
          <w:sz w:val="24"/>
          <w:szCs w:val="24"/>
        </w:rPr>
        <w:t>За да се считат за валидни посочените в т. 1</w:t>
      </w:r>
      <w:r w:rsidR="004161C4">
        <w:rPr>
          <w:rFonts w:ascii="Times New Roman" w:hAnsi="Times New Roman" w:cs="Times New Roman"/>
          <w:color w:val="000000" w:themeColor="text1"/>
          <w:sz w:val="24"/>
          <w:szCs w:val="24"/>
        </w:rPr>
        <w:t>5</w:t>
      </w:r>
      <w:r w:rsidR="008D009D" w:rsidRPr="008D009D">
        <w:rPr>
          <w:rFonts w:ascii="Times New Roman" w:hAnsi="Times New Roman" w:cs="Times New Roman"/>
          <w:color w:val="000000" w:themeColor="text1"/>
          <w:sz w:val="24"/>
          <w:szCs w:val="24"/>
        </w:rPr>
        <w:t xml:space="preserve"> </w:t>
      </w:r>
      <w:r w:rsidR="008E5342">
        <w:rPr>
          <w:rFonts w:ascii="Times New Roman" w:hAnsi="Times New Roman" w:cs="Times New Roman"/>
          <w:color w:val="000000" w:themeColor="text1"/>
          <w:sz w:val="24"/>
          <w:szCs w:val="24"/>
        </w:rPr>
        <w:t xml:space="preserve">и 16 </w:t>
      </w:r>
      <w:r w:rsidR="008D009D" w:rsidRPr="008D009D">
        <w:rPr>
          <w:rFonts w:ascii="Times New Roman" w:hAnsi="Times New Roman" w:cs="Times New Roman"/>
          <w:color w:val="000000" w:themeColor="text1"/>
          <w:sz w:val="24"/>
          <w:szCs w:val="24"/>
        </w:rPr>
        <w:t xml:space="preserve">сертификати трябва да са издадени от независими лица, които са акредитирани от Изпълнителна агенция "Българска служба за акредитация" или издадени в съответствие с разпоредбите на чл. 5а, ал. 2 от Закона за националната акредитация на органи за оценяване на съответствието. </w:t>
      </w:r>
      <w:r w:rsidR="008D009D" w:rsidRPr="008D009D">
        <w:rPr>
          <w:rFonts w:ascii="Times New Roman" w:hAnsi="Times New Roman" w:cs="Times New Roman"/>
          <w:bCs/>
          <w:color w:val="000000" w:themeColor="text1"/>
          <w:sz w:val="24"/>
          <w:szCs w:val="24"/>
        </w:rPr>
        <w:t>“</w:t>
      </w:r>
    </w:p>
    <w:p w14:paraId="2EF2B7FD" w14:textId="3C271EE8" w:rsidR="005E45F5" w:rsidRDefault="005E45F5"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1BC62299" w14:textId="77777777" w:rsidR="005456F8" w:rsidRPr="000A3DFA" w:rsidRDefault="00B97C4A"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326474">
        <w:rPr>
          <w:rFonts w:ascii="Times New Roman" w:eastAsia="Times New Roman" w:hAnsi="Times New Roman"/>
          <w:sz w:val="24"/>
        </w:rPr>
        <w:t>В</w:t>
      </w:r>
      <w:r w:rsidR="005E45F5" w:rsidRPr="00326474">
        <w:rPr>
          <w:rFonts w:ascii="Times New Roman" w:eastAsia="Times New Roman" w:hAnsi="Times New Roman"/>
          <w:sz w:val="24"/>
        </w:rPr>
        <w:t xml:space="preserve">сички документи </w:t>
      </w:r>
      <w:r>
        <w:rPr>
          <w:rFonts w:ascii="Times New Roman" w:eastAsia="Times New Roman" w:hAnsi="Times New Roman"/>
          <w:sz w:val="24"/>
        </w:rPr>
        <w:t xml:space="preserve">трябва да </w:t>
      </w:r>
      <w:r w:rsidR="005E45F5" w:rsidRPr="00326474">
        <w:rPr>
          <w:rFonts w:ascii="Times New Roman" w:eastAsia="Times New Roman" w:hAnsi="Times New Roman"/>
          <w:sz w:val="24"/>
        </w:rPr>
        <w:t xml:space="preserve">са представени в изискуемата форма /всички декларации са попълнени </w:t>
      </w:r>
      <w:r w:rsidR="005E45F5">
        <w:rPr>
          <w:rFonts w:ascii="Times New Roman" w:eastAsia="Times New Roman" w:hAnsi="Times New Roman"/>
          <w:sz w:val="24"/>
        </w:rPr>
        <w:t xml:space="preserve">по образец и са подписани с </w:t>
      </w:r>
      <w:r w:rsidR="005E45F5" w:rsidRPr="00326474">
        <w:rPr>
          <w:rFonts w:ascii="Times New Roman" w:eastAsia="Times New Roman" w:hAnsi="Times New Roman"/>
          <w:sz w:val="24"/>
        </w:rPr>
        <w:t>от съответния брой лица, който се изисква съгласно Условията за кандидатстване</w:t>
      </w:r>
      <w:r w:rsidR="005E45F5">
        <w:rPr>
          <w:rFonts w:ascii="Times New Roman" w:eastAsia="Times New Roman" w:hAnsi="Times New Roman"/>
          <w:sz w:val="24"/>
        </w:rPr>
        <w:t>/</w:t>
      </w:r>
      <w:r w:rsidR="005E45F5" w:rsidRPr="00326474">
        <w:rPr>
          <w:rFonts w:ascii="Times New Roman" w:eastAsia="Times New Roman" w:hAnsi="Times New Roman"/>
          <w:sz w:val="24"/>
        </w:rPr>
        <w:t>.</w:t>
      </w:r>
    </w:p>
    <w:p w14:paraId="1B2A0600" w14:textId="77777777" w:rsidR="005E45F5" w:rsidRDefault="005E45F5"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634ED3E" w14:textId="77777777" w:rsidR="005456F8" w:rsidRPr="00B03687"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случай</w:t>
      </w:r>
      <w:r w:rsidR="00E3091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нередовности. Кандидатите следва да представят липсващите документи/отстранят нередовностите в срок, посочен от Комисията за подбор, но не по-малко от една седмица от датата на получаване на уведомлението, като денят на получаването му не се брои. Уведомленията за установени нередовности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00114FC7" w:rsidRPr="00114FC7">
        <w:rPr>
          <w:rFonts w:ascii="Times New Roman" w:hAnsi="Times New Roman" w:cs="Times New Roman"/>
          <w:sz w:val="24"/>
          <w:szCs w:val="24"/>
        </w:rPr>
        <w:t>За дата на получаване на искането за документи/информация се счита датата на изпращането му чрез ИСУН 2020</w:t>
      </w:r>
      <w:r w:rsidR="00114FC7">
        <w:rPr>
          <w:rFonts w:ascii="Times New Roman" w:hAnsi="Times New Roman" w:cs="Times New Roman"/>
          <w:sz w:val="24"/>
          <w:szCs w:val="24"/>
        </w:rPr>
        <w:t>.</w:t>
      </w:r>
      <w:r w:rsidRPr="00114FC7">
        <w:rPr>
          <w:rFonts w:ascii="Times New Roman" w:hAnsi="Times New Roman" w:cs="Times New Roman"/>
          <w:sz w:val="24"/>
          <w:szCs w:val="24"/>
        </w:rPr>
        <w:t xml:space="preserve"> Неотстраняването на нередовностите в срок може да доведе до: прекратяване </w:t>
      </w:r>
      <w:r w:rsidRPr="000A3DFA">
        <w:rPr>
          <w:rFonts w:ascii="Times New Roman" w:hAnsi="Times New Roman" w:cs="Times New Roman"/>
          <w:color w:val="000000" w:themeColor="text1"/>
          <w:sz w:val="24"/>
          <w:szCs w:val="24"/>
        </w:rPr>
        <w:t>на производството по отношение на кандидата; и/или получаване на по-малък брой точки от проектното предложение; и/или редуциране н</w:t>
      </w:r>
      <w:r w:rsidR="00B03687">
        <w:rPr>
          <w:rFonts w:ascii="Times New Roman" w:hAnsi="Times New Roman" w:cs="Times New Roman"/>
          <w:color w:val="000000" w:themeColor="text1"/>
          <w:sz w:val="24"/>
          <w:szCs w:val="24"/>
        </w:rPr>
        <w:t>а разходи в бюджета на проекта.</w:t>
      </w:r>
    </w:p>
    <w:p w14:paraId="277E22B1" w14:textId="77777777" w:rsidR="00267204" w:rsidRPr="000A3DFA" w:rsidRDefault="00717059"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44E99C8" wp14:editId="666E5DAD">
                <wp:extent cx="1828800" cy="1828800"/>
                <wp:effectExtent l="0" t="0" r="15240" b="10795"/>
                <wp:docPr id="40" name="Текстово поле 4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8FA5A75" w14:textId="77777777" w:rsidR="005B4F08" w:rsidRPr="006A20A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Отстраняването на нередовностите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4E99C8" id="Текстово поле 40" o:spid="_x0000_s10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Oph/YGDAgAA&#10;7QQAAA4AAAAAAAAAAAAAAAAALgIAAGRycy9lMm9Eb2MueG1sUEsBAi0AFAAGAAgAAAAhALA/BXnZ&#10;AAAABQEAAA8AAAAAAAAAAAAAAAAA3QQAAGRycy9kb3ducmV2LnhtbFBLBQYAAAAABAAEAPMAAADj&#10;BQAAAAA=&#10;" fillcolor="#d8d8d8 [2732]" strokeweight=".5pt">
                <v:textbox style="mso-fit-shape-to-text:t">
                  <w:txbxContent>
                    <w:p w14:paraId="78FA5A75" w14:textId="77777777" w:rsidR="005B4F08" w:rsidRPr="006A20A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Отстраняването на нередовностите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v:textbox>
                <w10:anchorlock/>
              </v:shape>
            </w:pict>
          </mc:Fallback>
        </mc:AlternateContent>
      </w:r>
      <w:r w:rsidR="00267204" w:rsidRPr="000A3DFA">
        <w:rPr>
          <w:rFonts w:ascii="Times New Roman" w:hAnsi="Times New Roman" w:cs="Times New Roman"/>
          <w:color w:val="000000" w:themeColor="text1"/>
          <w:sz w:val="24"/>
          <w:szCs w:val="24"/>
        </w:rPr>
        <w:t>По изключение кандидатът може да предостави информация с уведомителен характер (напр. промяна в адреса за кореспонденция, правно</w:t>
      </w:r>
      <w:r w:rsidR="005456F8" w:rsidRPr="000A3DFA">
        <w:rPr>
          <w:rFonts w:ascii="Times New Roman" w:hAnsi="Times New Roman" w:cs="Times New Roman"/>
          <w:color w:val="000000" w:themeColor="text1"/>
          <w:sz w:val="24"/>
          <w:szCs w:val="24"/>
        </w:rPr>
        <w:t xml:space="preserve"> </w:t>
      </w:r>
      <w:r w:rsidR="00267204" w:rsidRPr="000A3DFA">
        <w:rPr>
          <w:rFonts w:ascii="Times New Roman" w:hAnsi="Times New Roman" w:cs="Times New Roman"/>
          <w:color w:val="000000" w:themeColor="text1"/>
          <w:sz w:val="24"/>
          <w:szCs w:val="24"/>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2D059880" w14:textId="77777777" w:rsidR="00717059"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4AB822D1" w14:textId="77777777" w:rsidR="00717059" w:rsidRPr="000A3DFA" w:rsidRDefault="00717059"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30CB5C0" wp14:editId="09A562EA">
                <wp:extent cx="5941060" cy="538539"/>
                <wp:effectExtent l="0" t="0" r="15240" b="13335"/>
                <wp:docPr id="41" name="Текстово поле 41"/>
                <wp:cNvGraphicFramePr/>
                <a:graphic xmlns:a="http://schemas.openxmlformats.org/drawingml/2006/main">
                  <a:graphicData uri="http://schemas.microsoft.com/office/word/2010/wordprocessingShape">
                    <wps:wsp>
                      <wps:cNvSpPr txBox="1"/>
                      <wps:spPr>
                        <a:xfrm>
                          <a:off x="0" y="0"/>
                          <a:ext cx="5941060" cy="538539"/>
                        </a:xfrm>
                        <a:prstGeom prst="rect">
                          <a:avLst/>
                        </a:prstGeom>
                        <a:solidFill>
                          <a:schemeClr val="bg1">
                            <a:lumMod val="85000"/>
                          </a:schemeClr>
                        </a:solidFill>
                        <a:ln w="6350">
                          <a:solidFill>
                            <a:prstClr val="black"/>
                          </a:solidFill>
                        </a:ln>
                        <a:effectLst/>
                      </wps:spPr>
                      <wps:txbx>
                        <w:txbxContent>
                          <w:p w14:paraId="7332F1C7" w14:textId="77777777" w:rsidR="005B4F08" w:rsidRPr="000F0446" w:rsidRDefault="005B4F08"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0CB5C0" id="Текстово поле 41" o:spid="_x0000_s1051" type="#_x0000_t202" style="width:467.8pt;height:4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" fillcolor="#d8d8d8 [2732]" strokeweight=".5pt">
                <v:textbox style="mso-fit-shape-to-text:t">
                  <w:txbxContent>
                    <w:p w14:paraId="7332F1C7" w14:textId="77777777" w:rsidR="005B4F08" w:rsidRPr="000F0446" w:rsidRDefault="005B4F08"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v:textbox>
                <w10:anchorlock/>
              </v:shape>
            </w:pict>
          </mc:Fallback>
        </mc:AlternateContent>
      </w:r>
    </w:p>
    <w:p w14:paraId="151C8E3C" w14:textId="77777777" w:rsidR="002D4B6A" w:rsidRPr="000A3DFA" w:rsidRDefault="001B1012" w:rsidP="004524A5">
      <w:pPr>
        <w:pStyle w:val="1"/>
        <w:rPr>
          <w:color w:val="000000" w:themeColor="text1"/>
        </w:rPr>
      </w:pPr>
      <w:bookmarkStart w:id="40" w:name="_Toc494709533"/>
      <w:r w:rsidRPr="004770DA">
        <w:t>25</w:t>
      </w:r>
      <w:r w:rsidR="002D4B6A" w:rsidRPr="004770DA">
        <w:t xml:space="preserve">. </w:t>
      </w:r>
      <w:r w:rsidR="0063166B" w:rsidRPr="004770DA">
        <w:t>Краен срок за подаване на проектните предложения:</w:t>
      </w:r>
      <w:bookmarkEnd w:id="40"/>
      <w:r w:rsidR="0063166B" w:rsidRPr="004770DA" w:rsidDel="0063166B">
        <w:t xml:space="preserve"> </w:t>
      </w:r>
    </w:p>
    <w:p w14:paraId="03990034" w14:textId="17E90EDE" w:rsidR="00A315E3" w:rsidRDefault="00A315E3" w:rsidP="00A315E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463D55">
        <w:rPr>
          <w:rFonts w:ascii="Times New Roman" w:eastAsia="Calibri" w:hAnsi="Times New Roman" w:cs="Times New Roman"/>
          <w:b/>
          <w:sz w:val="24"/>
          <w:szCs w:val="24"/>
        </w:rPr>
        <w:t xml:space="preserve">Крайният срок за подаване на проектните предложения е </w:t>
      </w:r>
      <w:r w:rsidR="00127CC3" w:rsidRPr="009F4EC7">
        <w:rPr>
          <w:rFonts w:ascii="Times New Roman" w:eastAsia="Calibri" w:hAnsi="Times New Roman" w:cs="Times New Roman"/>
          <w:b/>
          <w:sz w:val="24"/>
          <w:szCs w:val="24"/>
        </w:rPr>
        <w:t>10</w:t>
      </w:r>
      <w:r>
        <w:rPr>
          <w:rFonts w:ascii="Times New Roman" w:eastAsia="Calibri" w:hAnsi="Times New Roman" w:cs="Times New Roman"/>
          <w:b/>
          <w:sz w:val="24"/>
          <w:szCs w:val="24"/>
        </w:rPr>
        <w:t>.</w:t>
      </w:r>
      <w:r w:rsidR="004D6183" w:rsidRPr="00A55D5B">
        <w:rPr>
          <w:rFonts w:ascii="Times New Roman" w:eastAsia="Calibri" w:hAnsi="Times New Roman" w:cs="Times New Roman"/>
          <w:b/>
          <w:sz w:val="24"/>
          <w:szCs w:val="24"/>
        </w:rPr>
        <w:t>0</w:t>
      </w:r>
      <w:r w:rsidR="00127CC3" w:rsidRPr="009F4EC7">
        <w:rPr>
          <w:rFonts w:ascii="Times New Roman" w:eastAsia="Calibri" w:hAnsi="Times New Roman" w:cs="Times New Roman"/>
          <w:b/>
          <w:sz w:val="24"/>
          <w:szCs w:val="24"/>
        </w:rPr>
        <w:t>1</w:t>
      </w:r>
      <w:r>
        <w:rPr>
          <w:rFonts w:ascii="Times New Roman" w:eastAsia="Calibri" w:hAnsi="Times New Roman" w:cs="Times New Roman"/>
          <w:b/>
          <w:sz w:val="24"/>
          <w:szCs w:val="24"/>
        </w:rPr>
        <w:t>.</w:t>
      </w:r>
      <w:r w:rsidR="004D6183">
        <w:rPr>
          <w:rFonts w:ascii="Times New Roman" w:eastAsia="Calibri" w:hAnsi="Times New Roman" w:cs="Times New Roman"/>
          <w:b/>
          <w:sz w:val="24"/>
          <w:szCs w:val="24"/>
        </w:rPr>
        <w:t>202</w:t>
      </w:r>
      <w:r w:rsidR="00127CC3" w:rsidRPr="009F4EC7">
        <w:rPr>
          <w:rFonts w:ascii="Times New Roman" w:eastAsia="Calibri" w:hAnsi="Times New Roman" w:cs="Times New Roman"/>
          <w:b/>
          <w:sz w:val="24"/>
          <w:szCs w:val="24"/>
        </w:rPr>
        <w:t>2</w:t>
      </w:r>
      <w:r w:rsidR="004D61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г.</w:t>
      </w:r>
      <w:r w:rsidRPr="00463D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17:00 </w:t>
      </w:r>
      <w:r w:rsidRPr="00463D55">
        <w:rPr>
          <w:rFonts w:ascii="Times New Roman" w:eastAsia="Calibri" w:hAnsi="Times New Roman" w:cs="Times New Roman"/>
          <w:b/>
          <w:sz w:val="24"/>
          <w:szCs w:val="24"/>
        </w:rPr>
        <w:t>час</w:t>
      </w:r>
      <w:r>
        <w:rPr>
          <w:rFonts w:ascii="Times New Roman" w:eastAsia="Calibri" w:hAnsi="Times New Roman" w:cs="Times New Roman"/>
          <w:b/>
          <w:sz w:val="24"/>
          <w:szCs w:val="24"/>
        </w:rPr>
        <w:t>а</w:t>
      </w:r>
      <w:r w:rsidRPr="00463D55">
        <w:rPr>
          <w:rFonts w:ascii="Times New Roman" w:eastAsia="Calibri" w:hAnsi="Times New Roman" w:cs="Times New Roman"/>
          <w:b/>
          <w:sz w:val="24"/>
          <w:szCs w:val="24"/>
        </w:rPr>
        <w:t>.</w:t>
      </w:r>
    </w:p>
    <w:p w14:paraId="5378FAC0" w14:textId="77777777" w:rsidR="001439F1" w:rsidRPr="000A3DFA" w:rsidRDefault="00D458DB" w:rsidP="00F26FF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28D06E85" wp14:editId="5F2CB10B">
                <wp:extent cx="1828800" cy="1828800"/>
                <wp:effectExtent l="0" t="0" r="15240" b="16510"/>
                <wp:docPr id="4" name="Текстово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A0316E8" w14:textId="1BBAB0C8" w:rsidR="005B4F08" w:rsidRPr="004261FD" w:rsidRDefault="005B4F08"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5B4F08" w:rsidRPr="001E1286" w:rsidRDefault="005B4F08"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(четирицифрен код) съгласно Класификация на икономическите дейности - КИД-2008.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D06E85" id="Текстово поле 4" o:spid="_x0000_s10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Fn+8jODAgAA&#10;6wQAAA4AAAAAAAAAAAAAAAAALgIAAGRycy9lMm9Eb2MueG1sUEsBAi0AFAAGAAgAAAAhALA/BXnZ&#10;AAAABQEAAA8AAAAAAAAAAAAAAAAA3QQAAGRycy9kb3ducmV2LnhtbFBLBQYAAAAABAAEAPMAAADj&#10;BQAAAAA=&#10;" fillcolor="#d8d8d8 [2732]" strokeweight=".5pt">
                <v:textbox style="mso-fit-shape-to-text:t">
                  <w:txbxContent>
                    <w:p w14:paraId="7A0316E8" w14:textId="1BBAB0C8" w:rsidR="005B4F08" w:rsidRPr="004261FD" w:rsidRDefault="005B4F08"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5B4F08" w:rsidRPr="001E1286" w:rsidRDefault="005B4F08"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(четирицифрен код) съгласно Класификация на икономическите дейности - КИД-2008.</w:t>
                      </w:r>
                    </w:p>
                  </w:txbxContent>
                </v:textbox>
                <w10:anchorlock/>
              </v:shape>
            </w:pict>
          </mc:Fallback>
        </mc:AlternateContent>
      </w:r>
      <w:r w:rsidR="001439F1" w:rsidRPr="000A3DFA">
        <w:rPr>
          <w:rFonts w:ascii="Times New Roman" w:hAnsi="Times New Roman" w:cs="Times New Roman"/>
          <w:color w:val="000000" w:themeColor="text1"/>
          <w:sz w:val="24"/>
          <w:szCs w:val="24"/>
        </w:rPr>
        <w:t xml:space="preserve">Кандидатите могат да задават </w:t>
      </w:r>
      <w:r w:rsidR="000D1C30" w:rsidRPr="000A3DFA">
        <w:rPr>
          <w:rFonts w:ascii="Times New Roman" w:hAnsi="Times New Roman" w:cs="Times New Roman"/>
          <w:color w:val="000000" w:themeColor="text1"/>
          <w:sz w:val="24"/>
          <w:szCs w:val="24"/>
        </w:rPr>
        <w:t xml:space="preserve">допълнителни </w:t>
      </w:r>
      <w:r w:rsidR="001439F1" w:rsidRPr="000A3DFA">
        <w:rPr>
          <w:rFonts w:ascii="Times New Roman" w:hAnsi="Times New Roman" w:cs="Times New Roman"/>
          <w:color w:val="000000" w:themeColor="text1"/>
          <w:sz w:val="24"/>
          <w:szCs w:val="24"/>
        </w:rPr>
        <w:t xml:space="preserve">въпроси и </w:t>
      </w:r>
      <w:r w:rsidR="00735A00" w:rsidRPr="000A3DFA">
        <w:rPr>
          <w:rFonts w:ascii="Times New Roman" w:hAnsi="Times New Roman" w:cs="Times New Roman"/>
          <w:color w:val="000000" w:themeColor="text1"/>
          <w:sz w:val="24"/>
          <w:szCs w:val="24"/>
        </w:rPr>
        <w:t>да</w:t>
      </w:r>
      <w:r w:rsidR="001439F1" w:rsidRPr="000A3DFA">
        <w:rPr>
          <w:rFonts w:ascii="Times New Roman" w:hAnsi="Times New Roman" w:cs="Times New Roman"/>
          <w:color w:val="000000" w:themeColor="text1"/>
          <w:sz w:val="24"/>
          <w:szCs w:val="24"/>
        </w:rPr>
        <w:t xml:space="preserve"> искат разяснения във връзка с </w:t>
      </w:r>
      <w:r w:rsidR="00B91A24">
        <w:rPr>
          <w:rFonts w:ascii="Times New Roman" w:hAnsi="Times New Roman" w:cs="Times New Roman"/>
          <w:color w:val="000000" w:themeColor="text1"/>
          <w:sz w:val="24"/>
          <w:szCs w:val="24"/>
        </w:rPr>
        <w:t>Условията</w:t>
      </w:r>
      <w:r w:rsidR="00735A00" w:rsidRPr="000A3DFA">
        <w:rPr>
          <w:rFonts w:ascii="Times New Roman" w:hAnsi="Times New Roman" w:cs="Times New Roman"/>
          <w:color w:val="000000" w:themeColor="text1"/>
          <w:sz w:val="24"/>
          <w:szCs w:val="24"/>
        </w:rPr>
        <w:t xml:space="preserve"> за кандидатстване до </w:t>
      </w:r>
      <w:r w:rsidR="00B91A24">
        <w:rPr>
          <w:rFonts w:ascii="Times New Roman" w:hAnsi="Times New Roman" w:cs="Times New Roman"/>
          <w:color w:val="000000" w:themeColor="text1"/>
          <w:sz w:val="24"/>
          <w:szCs w:val="24"/>
        </w:rPr>
        <w:t>три седмици</w:t>
      </w:r>
      <w:r w:rsidR="00735A00" w:rsidRPr="000A3DFA">
        <w:rPr>
          <w:rFonts w:ascii="Times New Roman" w:hAnsi="Times New Roman" w:cs="Times New Roman"/>
          <w:color w:val="000000" w:themeColor="text1"/>
          <w:sz w:val="24"/>
          <w:szCs w:val="24"/>
        </w:rPr>
        <w:t xml:space="preserve"> преди крайния срок за подаване на проектни предложения. </w:t>
      </w:r>
      <w:r w:rsidR="000D1C30" w:rsidRPr="000A3DFA">
        <w:rPr>
          <w:rFonts w:ascii="Times New Roman" w:hAnsi="Times New Roman" w:cs="Times New Roman"/>
          <w:color w:val="000000" w:themeColor="text1"/>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5D3648C0" w14:textId="77777777" w:rsidR="007F1B1E" w:rsidRDefault="005E05AF"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rPr>
      </w:pPr>
      <w:r w:rsidRPr="000A3DFA">
        <w:rPr>
          <w:rFonts w:ascii="Times New Roman" w:hAnsi="Times New Roman" w:cs="Times New Roman"/>
          <w:color w:val="000000" w:themeColor="text1"/>
          <w:sz w:val="24"/>
          <w:szCs w:val="24"/>
        </w:rPr>
        <w:t xml:space="preserve">Адрес на електронна поща: </w:t>
      </w:r>
      <w:hyperlink r:id="rId11" w:history="1">
        <w:r w:rsidR="007F1B1E" w:rsidRPr="004C339A">
          <w:rPr>
            <w:rFonts w:ascii="Times New Roman" w:hAnsi="Times New Roman"/>
          </w:rPr>
          <w:t>migsvilengrad@mail.bg</w:t>
        </w:r>
      </w:hyperlink>
    </w:p>
    <w:p w14:paraId="0ACE9879" w14:textId="4F16CA7A" w:rsidR="00876E3B" w:rsidRPr="00EF590D" w:rsidRDefault="00C968BC"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sz w:val="24"/>
          <w:szCs w:val="24"/>
        </w:rPr>
      </w:pPr>
      <w:r w:rsidRPr="00EF590D">
        <w:rPr>
          <w:rFonts w:ascii="Times New Roman" w:hAnsi="Times New Roman" w:cs="Times New Roman"/>
          <w:sz w:val="24"/>
          <w:szCs w:val="24"/>
        </w:rPr>
        <w:t xml:space="preserve">Отговорите на въпросите на кандидатите </w:t>
      </w:r>
      <w:r w:rsidR="00AB0504" w:rsidRPr="00EF590D">
        <w:rPr>
          <w:rFonts w:ascii="Times New Roman" w:hAnsi="Times New Roman" w:cs="Times New Roman"/>
          <w:sz w:val="24"/>
          <w:szCs w:val="24"/>
        </w:rPr>
        <w:t>се публикуват</w:t>
      </w:r>
      <w:r w:rsidRPr="00EF590D">
        <w:rPr>
          <w:rFonts w:ascii="Times New Roman" w:hAnsi="Times New Roman" w:cs="Times New Roman"/>
          <w:sz w:val="24"/>
          <w:szCs w:val="24"/>
        </w:rPr>
        <w:t xml:space="preserve"> на интернет страницата на </w:t>
      </w:r>
      <w:r w:rsidR="00C4371E" w:rsidRPr="00EF590D">
        <w:rPr>
          <w:rFonts w:ascii="Times New Roman" w:hAnsi="Times New Roman" w:cs="Times New Roman"/>
          <w:sz w:val="24"/>
          <w:szCs w:val="24"/>
        </w:rPr>
        <w:t>МИГ</w:t>
      </w:r>
      <w:r w:rsidR="008C55DC">
        <w:rPr>
          <w:rFonts w:ascii="Times New Roman" w:hAnsi="Times New Roman" w:cs="Times New Roman"/>
          <w:sz w:val="24"/>
          <w:szCs w:val="24"/>
        </w:rPr>
        <w:t xml:space="preserve"> </w:t>
      </w:r>
      <w:r w:rsidR="007F1EA9">
        <w:rPr>
          <w:rFonts w:ascii="Times New Roman" w:hAnsi="Times New Roman" w:cs="Times New Roman"/>
          <w:color w:val="000000" w:themeColor="text1"/>
          <w:sz w:val="24"/>
          <w:szCs w:val="24"/>
        </w:rPr>
        <w:t>Свиленград Ареал</w:t>
      </w:r>
      <w:r w:rsidR="00C4371E" w:rsidRPr="00EF590D">
        <w:rPr>
          <w:rFonts w:ascii="Times New Roman" w:hAnsi="Times New Roman" w:cs="Times New Roman"/>
          <w:sz w:val="24"/>
          <w:szCs w:val="24"/>
        </w:rPr>
        <w:t xml:space="preserve"> </w:t>
      </w:r>
      <w:r w:rsidRPr="00EF590D">
        <w:rPr>
          <w:rFonts w:ascii="Times New Roman" w:hAnsi="Times New Roman" w:cs="Times New Roman"/>
          <w:sz w:val="24"/>
          <w:szCs w:val="24"/>
        </w:rPr>
        <w:t xml:space="preserve"> - </w:t>
      </w:r>
      <w:hyperlink r:id="rId12" w:history="1">
        <w:r w:rsidR="007F1B1E" w:rsidRPr="007F1B1E">
          <w:rPr>
            <w:rStyle w:val="af3"/>
            <w:rFonts w:ascii="Times New Roman" w:hAnsi="Times New Roman"/>
            <w:sz w:val="24"/>
            <w:szCs w:val="24"/>
          </w:rPr>
          <w:t>www.migsvilengrad.</w:t>
        </w:r>
      </w:hyperlink>
      <w:r w:rsidR="007F1B1E" w:rsidRPr="007F1B1E">
        <w:rPr>
          <w:rFonts w:ascii="Times New Roman" w:hAnsi="Times New Roman"/>
          <w:sz w:val="24"/>
          <w:szCs w:val="24"/>
        </w:rPr>
        <w:t>org</w:t>
      </w:r>
      <w:r w:rsidR="00FA487C" w:rsidRPr="00A55D5B">
        <w:rPr>
          <w:rFonts w:ascii="Times New Roman" w:hAnsi="Times New Roman" w:cs="Times New Roman"/>
          <w:b/>
          <w:sz w:val="24"/>
          <w:szCs w:val="24"/>
        </w:rPr>
        <w:t xml:space="preserve">  </w:t>
      </w:r>
      <w:r w:rsidR="006C7FCE">
        <w:rPr>
          <w:rFonts w:ascii="Times New Roman" w:hAnsi="Times New Roman" w:cs="Times New Roman"/>
          <w:sz w:val="24"/>
          <w:szCs w:val="24"/>
        </w:rPr>
        <w:t xml:space="preserve">и в ИСУН 2020 </w:t>
      </w:r>
      <w:r w:rsidR="00826994" w:rsidRPr="00826994">
        <w:rPr>
          <w:rFonts w:ascii="Times New Roman" w:hAnsi="Times New Roman" w:cs="Times New Roman"/>
          <w:sz w:val="24"/>
          <w:szCs w:val="24"/>
        </w:rPr>
        <w:t xml:space="preserve">в 10-дневен срок от получаването им, но не по-късно от две седмици преди изтичането на срока за кандидатстване.  </w:t>
      </w:r>
      <w:r w:rsidR="00876E3B" w:rsidRPr="00EF590D">
        <w:rPr>
          <w:rFonts w:ascii="Times New Roman" w:hAnsi="Times New Roman" w:cs="Times New Roman"/>
          <w:sz w:val="24"/>
          <w:szCs w:val="24"/>
        </w:rPr>
        <w:t xml:space="preserve">  </w:t>
      </w:r>
    </w:p>
    <w:p w14:paraId="32BC226A" w14:textId="2DB159BB" w:rsidR="00876E3B" w:rsidRPr="000A3DFA" w:rsidRDefault="00113282"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Публикуваните отговори на въпроси задължително се вземат под внимание от страна на</w:t>
      </w:r>
      <w:r w:rsidR="00505823" w:rsidRPr="000A3DFA">
        <w:rPr>
          <w:rFonts w:ascii="Times New Roman" w:hAnsi="Times New Roman" w:cs="Times New Roman"/>
          <w:color w:val="000000" w:themeColor="text1"/>
          <w:sz w:val="24"/>
          <w:szCs w:val="24"/>
        </w:rPr>
        <w:t xml:space="preserve"> </w:t>
      </w:r>
      <w:r w:rsidR="00C4371E" w:rsidRPr="000A3DFA">
        <w:rPr>
          <w:rFonts w:ascii="Times New Roman" w:hAnsi="Times New Roman" w:cs="Times New Roman"/>
          <w:color w:val="000000" w:themeColor="text1"/>
          <w:sz w:val="24"/>
          <w:szCs w:val="24"/>
        </w:rPr>
        <w:t>МИГ, К</w:t>
      </w:r>
      <w:r w:rsidRPr="000A3DFA">
        <w:rPr>
          <w:rFonts w:ascii="Times New Roman" w:hAnsi="Times New Roman" w:cs="Times New Roman"/>
          <w:color w:val="000000" w:themeColor="text1"/>
          <w:sz w:val="24"/>
          <w:szCs w:val="24"/>
        </w:rPr>
        <w:t>омисия</w:t>
      </w:r>
      <w:r w:rsidR="00C4371E" w:rsidRPr="000A3DFA">
        <w:rPr>
          <w:rFonts w:ascii="Times New Roman" w:hAnsi="Times New Roman" w:cs="Times New Roman"/>
          <w:color w:val="000000" w:themeColor="text1"/>
          <w:sz w:val="24"/>
          <w:szCs w:val="24"/>
        </w:rPr>
        <w:t>та по подбор на проекти</w:t>
      </w:r>
      <w:r w:rsidRPr="000A3DFA">
        <w:rPr>
          <w:rFonts w:ascii="Times New Roman" w:hAnsi="Times New Roman" w:cs="Times New Roman"/>
          <w:color w:val="000000" w:themeColor="text1"/>
          <w:sz w:val="24"/>
          <w:szCs w:val="24"/>
        </w:rPr>
        <w:t xml:space="preserve"> по процедурата при оценката на проектните предложения и от </w:t>
      </w:r>
      <w:r w:rsidR="00505823" w:rsidRPr="000A3DFA">
        <w:rPr>
          <w:rFonts w:ascii="Times New Roman" w:hAnsi="Times New Roman" w:cs="Times New Roman"/>
          <w:color w:val="000000" w:themeColor="text1"/>
          <w:sz w:val="24"/>
          <w:szCs w:val="24"/>
        </w:rPr>
        <w:t>кандидатите по процедурата</w:t>
      </w:r>
      <w:r w:rsidRPr="000A3DFA">
        <w:rPr>
          <w:rFonts w:ascii="Times New Roman" w:hAnsi="Times New Roman" w:cs="Times New Roman"/>
          <w:color w:val="000000" w:themeColor="text1"/>
          <w:sz w:val="24"/>
          <w:szCs w:val="24"/>
        </w:rPr>
        <w:t>.</w:t>
      </w:r>
      <w:r w:rsidR="00885478" w:rsidRPr="000A3DFA">
        <w:rPr>
          <w:rFonts w:ascii="Times New Roman" w:hAnsi="Times New Roman" w:cs="Times New Roman"/>
          <w:color w:val="000000" w:themeColor="text1"/>
          <w:sz w:val="24"/>
          <w:szCs w:val="24"/>
        </w:rPr>
        <w:t xml:space="preserve"> </w:t>
      </w:r>
    </w:p>
    <w:p w14:paraId="768108C8" w14:textId="77777777" w:rsidR="00EF590D" w:rsidRPr="004524A5" w:rsidRDefault="00113282" w:rsidP="004524A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Не могат да се дават </w:t>
      </w:r>
      <w:r w:rsidR="007D70EE" w:rsidRPr="000A3DFA">
        <w:rPr>
          <w:rFonts w:ascii="Times New Roman" w:hAnsi="Times New Roman" w:cs="Times New Roman"/>
          <w:color w:val="000000" w:themeColor="text1"/>
          <w:sz w:val="24"/>
          <w:szCs w:val="24"/>
        </w:rPr>
        <w:t>разяснения</w:t>
      </w:r>
      <w:r w:rsidRPr="000A3DFA">
        <w:rPr>
          <w:rFonts w:ascii="Times New Roman" w:hAnsi="Times New Roman" w:cs="Times New Roman"/>
          <w:color w:val="000000" w:themeColor="text1"/>
          <w:sz w:val="24"/>
          <w:szCs w:val="24"/>
        </w:rPr>
        <w:t xml:space="preserve">, които съдържат становище относно </w:t>
      </w:r>
      <w:r w:rsidR="007D70EE" w:rsidRPr="000A3DFA">
        <w:rPr>
          <w:rFonts w:ascii="Times New Roman" w:hAnsi="Times New Roman" w:cs="Times New Roman"/>
          <w:color w:val="000000" w:themeColor="text1"/>
          <w:sz w:val="24"/>
          <w:szCs w:val="24"/>
        </w:rPr>
        <w:t>качеството на конкретно проектно предложение</w:t>
      </w:r>
      <w:r w:rsidRPr="000A3DFA">
        <w:rPr>
          <w:rFonts w:ascii="Times New Roman" w:hAnsi="Times New Roman" w:cs="Times New Roman"/>
          <w:color w:val="000000" w:themeColor="text1"/>
          <w:sz w:val="24"/>
          <w:szCs w:val="24"/>
        </w:rPr>
        <w:t>. Няма да бъдат предоставяни отговори на въпроси, зададени по телефона. Няма да бъдат изпращани индивидуални отговори на зададени от канд</w:t>
      </w:r>
      <w:bookmarkStart w:id="41" w:name="_Toc494709534"/>
      <w:r w:rsidR="004524A5">
        <w:rPr>
          <w:rFonts w:ascii="Times New Roman" w:hAnsi="Times New Roman" w:cs="Times New Roman"/>
          <w:color w:val="000000" w:themeColor="text1"/>
          <w:sz w:val="24"/>
          <w:szCs w:val="24"/>
        </w:rPr>
        <w:t>идатите по процедурата въпроси.</w:t>
      </w:r>
    </w:p>
    <w:p w14:paraId="4F3ADD69" w14:textId="77777777" w:rsidR="008B486B" w:rsidRPr="004770DA" w:rsidRDefault="002C08E5" w:rsidP="004524A5">
      <w:pPr>
        <w:pStyle w:val="1"/>
      </w:pPr>
      <w:r w:rsidRPr="004770DA">
        <w:t>2</w:t>
      </w:r>
      <w:r w:rsidR="001B1012" w:rsidRPr="004770DA">
        <w:t>6</w:t>
      </w:r>
      <w:r w:rsidR="002D4B6A" w:rsidRPr="004770DA">
        <w:t xml:space="preserve">. </w:t>
      </w:r>
      <w:r w:rsidR="0063166B" w:rsidRPr="004770DA">
        <w:t>Адрес за подаване на проектните предложения</w:t>
      </w:r>
      <w:bookmarkEnd w:id="41"/>
    </w:p>
    <w:p w14:paraId="204CEF9F" w14:textId="77777777" w:rsidR="00763228" w:rsidRPr="000A3DFA" w:rsidRDefault="00C437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Неприложимо </w:t>
      </w:r>
    </w:p>
    <w:p w14:paraId="42915E82" w14:textId="77777777" w:rsidR="00C4371E" w:rsidRPr="000A3DFA" w:rsidRDefault="003429B7" w:rsidP="00FE68DB">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5DE38075" w14:textId="77777777" w:rsidR="00BA13AC" w:rsidRPr="004770DA" w:rsidRDefault="001B1012" w:rsidP="004524A5">
      <w:pPr>
        <w:pStyle w:val="1"/>
      </w:pPr>
      <w:bookmarkStart w:id="42" w:name="_Toc489284318"/>
      <w:bookmarkStart w:id="43" w:name="_Toc494709535"/>
      <w:r w:rsidRPr="004770DA">
        <w:lastRenderedPageBreak/>
        <w:t>27</w:t>
      </w:r>
      <w:r w:rsidR="00876E3B" w:rsidRPr="004770DA">
        <w:t>.</w:t>
      </w:r>
      <w:r w:rsidR="00BA13AC" w:rsidRPr="004770DA">
        <w:t xml:space="preserve"> </w:t>
      </w:r>
      <w:bookmarkEnd w:id="42"/>
      <w:r w:rsidR="00E2439F" w:rsidRPr="004770DA">
        <w:t>Допълнителна информация</w:t>
      </w:r>
      <w:bookmarkEnd w:id="43"/>
    </w:p>
    <w:p w14:paraId="7BC40388" w14:textId="370236B3" w:rsidR="00E2439F" w:rsidRPr="00422728" w:rsidRDefault="00E2439F" w:rsidP="004770DA">
      <w:pPr>
        <w:pStyle w:val="2"/>
        <w:spacing w:before="0" w:line="276" w:lineRule="auto"/>
        <w:jc w:val="both"/>
        <w:rPr>
          <w:rFonts w:cstheme="majorHAnsi"/>
          <w:color w:val="0070C0"/>
          <w:sz w:val="24"/>
          <w:szCs w:val="24"/>
        </w:rPr>
      </w:pPr>
      <w:bookmarkStart w:id="44" w:name="_Toc494709536"/>
      <w:r w:rsidRPr="00422728">
        <w:rPr>
          <w:rFonts w:cstheme="majorHAnsi"/>
          <w:color w:val="0070C0"/>
          <w:sz w:val="24"/>
          <w:szCs w:val="24"/>
        </w:rPr>
        <w:t>2</w:t>
      </w:r>
      <w:r w:rsidR="001B1012" w:rsidRPr="00422728">
        <w:rPr>
          <w:rFonts w:cstheme="majorHAnsi"/>
          <w:color w:val="0070C0"/>
          <w:sz w:val="24"/>
          <w:szCs w:val="24"/>
        </w:rPr>
        <w:t>7</w:t>
      </w:r>
      <w:r w:rsidRPr="00422728">
        <w:rPr>
          <w:rFonts w:cstheme="majorHAnsi"/>
          <w:color w:val="0070C0"/>
          <w:sz w:val="24"/>
          <w:szCs w:val="24"/>
        </w:rPr>
        <w:t>.1</w:t>
      </w:r>
      <w:r w:rsidR="00D049C8" w:rsidRPr="00422728">
        <w:rPr>
          <w:rFonts w:cstheme="majorHAnsi"/>
          <w:color w:val="0070C0"/>
          <w:sz w:val="24"/>
          <w:szCs w:val="24"/>
        </w:rPr>
        <w:t>.</w:t>
      </w:r>
      <w:r w:rsidRPr="00422728">
        <w:rPr>
          <w:rFonts w:cstheme="majorHAnsi"/>
          <w:color w:val="0070C0"/>
          <w:sz w:val="24"/>
          <w:szCs w:val="24"/>
        </w:rPr>
        <w:t xml:space="preserve"> </w:t>
      </w:r>
      <w:r w:rsidR="001B1012" w:rsidRPr="00422728">
        <w:rPr>
          <w:rFonts w:cstheme="majorHAnsi"/>
          <w:color w:val="0070C0"/>
          <w:sz w:val="24"/>
          <w:szCs w:val="24"/>
        </w:rPr>
        <w:t>Процедура за уведомяване на неуспелите и одобрените кандидати и сключване на договори за предоставяне на безвъзмездна финансова помощ</w:t>
      </w:r>
      <w:bookmarkEnd w:id="44"/>
    </w:p>
    <w:p w14:paraId="29C8825A" w14:textId="0758106D"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olor w:val="000000"/>
          <w:sz w:val="24"/>
          <w:szCs w:val="24"/>
        </w:rPr>
      </w:pPr>
      <w:r w:rsidRPr="00326474">
        <w:rPr>
          <w:rFonts w:ascii="Times New Roman" w:hAnsi="Times New Roman"/>
          <w:color w:val="000000"/>
          <w:sz w:val="24"/>
          <w:szCs w:val="24"/>
        </w:rPr>
        <w:t xml:space="preserve">Комисията за подбор на проектни предложения се назначава от МИГ </w:t>
      </w:r>
      <w:r w:rsidR="008C55DC"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 xml:space="preserve">“ </w:t>
      </w:r>
      <w:r w:rsidRPr="00326474">
        <w:rPr>
          <w:rFonts w:ascii="Times New Roman" w:hAnsi="Times New Roman"/>
          <w:color w:val="000000"/>
          <w:sz w:val="24"/>
          <w:szCs w:val="24"/>
        </w:rPr>
        <w:t>и извършва оценка на всички постъпили проекти в срок до 30 работни дни от изтичане на крайния срок на приема.</w:t>
      </w:r>
    </w:p>
    <w:p w14:paraId="0C3D799C" w14:textId="053EEEA9"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Работата на Комисията за подбор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w:t>
      </w:r>
      <w:r w:rsidRPr="00326474">
        <w:rPr>
          <w:rFonts w:ascii="Times New Roman" w:hAnsi="Times New Roman"/>
          <w:sz w:val="24"/>
          <w:szCs w:val="24"/>
        </w:rPr>
        <w:t>. МИГ прикачва в ИСУН 2020 всички документи, свързани с процеса на оценка (вкл. и доклада) и уведомява УО за това.</w:t>
      </w:r>
    </w:p>
    <w:p w14:paraId="2D6F1104"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Оценителният доклад включва:</w:t>
      </w:r>
    </w:p>
    <w:p w14:paraId="18EC9AE6"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1. К</w:t>
      </w:r>
      <w:r w:rsidRPr="00326474">
        <w:rPr>
          <w:rFonts w:ascii="Times New Roman" w:hAnsi="Times New Roman"/>
          <w:sz w:val="24"/>
          <w:szCs w:val="24"/>
        </w:rPr>
        <w:t xml:space="preserve">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14:paraId="47FF383B"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2. </w:t>
      </w:r>
      <w:r>
        <w:rPr>
          <w:rFonts w:ascii="Times New Roman" w:hAnsi="Times New Roman"/>
          <w:sz w:val="24"/>
          <w:szCs w:val="24"/>
        </w:rPr>
        <w:t>Р</w:t>
      </w:r>
      <w:r w:rsidRPr="00326474">
        <w:rPr>
          <w:rFonts w:ascii="Times New Roman" w:hAnsi="Times New Roman"/>
          <w:sz w:val="24"/>
          <w:szCs w:val="24"/>
        </w:rPr>
        <w:t xml:space="preserve">азясненията, които са предоставяни на кандидатите преди представянето на проектните предложения; </w:t>
      </w:r>
    </w:p>
    <w:p w14:paraId="251CFEA3"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3. К</w:t>
      </w:r>
      <w:r w:rsidRPr="00326474">
        <w:rPr>
          <w:rFonts w:ascii="Times New Roman" w:hAnsi="Times New Roman"/>
          <w:sz w:val="24"/>
          <w:szCs w:val="24"/>
        </w:rPr>
        <w:t>ореспонденцията, водена с кандидатите по време на оценителния процес ;</w:t>
      </w:r>
    </w:p>
    <w:p w14:paraId="64616677"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4. К</w:t>
      </w:r>
      <w:r w:rsidRPr="00326474">
        <w:rPr>
          <w:rFonts w:ascii="Times New Roman" w:hAnsi="Times New Roman"/>
          <w:sz w:val="24"/>
          <w:szCs w:val="24"/>
        </w:rPr>
        <w:t>ореспонденция с компетентните органи/институции (ако има такава);</w:t>
      </w:r>
    </w:p>
    <w:p w14:paraId="07A4C65D"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5. П</w:t>
      </w:r>
      <w:r w:rsidRPr="00326474">
        <w:rPr>
          <w:rFonts w:ascii="Times New Roman" w:hAnsi="Times New Roman"/>
          <w:sz w:val="24"/>
          <w:szCs w:val="24"/>
        </w:rPr>
        <w:t>ротоколи от отделните етапи на оценката, подписани от участвалите в съответния етап на оценка лица;</w:t>
      </w:r>
    </w:p>
    <w:p w14:paraId="575A9D2C"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6. Д</w:t>
      </w:r>
      <w:r w:rsidRPr="00326474">
        <w:rPr>
          <w:rFonts w:ascii="Times New Roman" w:hAnsi="Times New Roman"/>
          <w:sz w:val="24"/>
          <w:szCs w:val="24"/>
        </w:rPr>
        <w:t>руги документи, ако е приложимо.</w:t>
      </w:r>
    </w:p>
    <w:p w14:paraId="4A4C9473" w14:textId="77777777" w:rsidR="009235EA" w:rsidRDefault="009235E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E7D617" w14:textId="77777777" w:rsidR="009235EA" w:rsidRPr="0090511A" w:rsidRDefault="0090511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Към </w:t>
      </w:r>
      <w:r>
        <w:rPr>
          <w:rFonts w:ascii="Times New Roman" w:hAnsi="Times New Roman"/>
          <w:sz w:val="24"/>
          <w:szCs w:val="24"/>
        </w:rPr>
        <w:t>оценителния доклад се прилагат:</w:t>
      </w:r>
    </w:p>
    <w:p w14:paraId="370D3A26"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1.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117C9F2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74F21206"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3. </w:t>
      </w:r>
      <w:r w:rsidR="004C3F85">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отхвърляне проектни предложения и</w:t>
      </w:r>
      <w:r w:rsidR="004C3F85">
        <w:rPr>
          <w:rFonts w:ascii="Times New Roman" w:hAnsi="Times New Roman" w:cs="Times New Roman"/>
          <w:color w:val="000000" w:themeColor="text1"/>
          <w:sz w:val="24"/>
          <w:szCs w:val="24"/>
        </w:rPr>
        <w:t xml:space="preserve"> основанието за отхвърлянето им;</w:t>
      </w:r>
    </w:p>
    <w:p w14:paraId="05AA6A3E" w14:textId="77777777" w:rsidR="004C3F85" w:rsidRPr="00326474" w:rsidRDefault="004C3F85" w:rsidP="004C3F8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4. </w:t>
      </w:r>
      <w:r>
        <w:rPr>
          <w:rFonts w:ascii="Times New Roman" w:hAnsi="Times New Roman"/>
          <w:sz w:val="24"/>
          <w:szCs w:val="24"/>
        </w:rPr>
        <w:t>С</w:t>
      </w:r>
      <w:r w:rsidRPr="00326474">
        <w:rPr>
          <w:rFonts w:ascii="Times New Roman" w:hAnsi="Times New Roman"/>
          <w:sz w:val="24"/>
          <w:szCs w:val="24"/>
        </w:rPr>
        <w:t>писък на оттеглените по време на оценката проектни предложения.</w:t>
      </w:r>
    </w:p>
    <w:p w14:paraId="75BA7BF3" w14:textId="77777777" w:rsidR="004C3F85" w:rsidRPr="000A3DFA" w:rsidRDefault="004C3F85"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E3218A9"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14:paraId="32E8B6C7" w14:textId="6304E99D"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МИГ</w:t>
      </w:r>
      <w:r w:rsidR="008C55DC">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изпраща Уведомително писмо до кандидатите, чието проектно предложение не е одобрено или че е частично одобрено</w:t>
      </w:r>
      <w:r w:rsidR="000B202A">
        <w:rPr>
          <w:rFonts w:ascii="Times New Roman" w:hAnsi="Times New Roman" w:cs="Times New Roman"/>
          <w:color w:val="000000" w:themeColor="text1"/>
          <w:sz w:val="24"/>
          <w:szCs w:val="24"/>
        </w:rPr>
        <w:t xml:space="preserve"> </w:t>
      </w:r>
      <w:r w:rsidR="000B202A" w:rsidRPr="00326474">
        <w:rPr>
          <w:rFonts w:ascii="Times New Roman" w:hAnsi="Times New Roman"/>
          <w:sz w:val="24"/>
          <w:szCs w:val="24"/>
        </w:rPr>
        <w:t xml:space="preserve">в срок до 5 работни дни от </w:t>
      </w:r>
      <w:r w:rsidR="000B202A" w:rsidRPr="00326474">
        <w:rPr>
          <w:rFonts w:ascii="Times New Roman" w:hAnsi="Times New Roman"/>
          <w:sz w:val="24"/>
          <w:szCs w:val="24"/>
        </w:rPr>
        <w:lastRenderedPageBreak/>
        <w:t>одобряването на оценителния докл</w:t>
      </w:r>
      <w:r w:rsidR="000B202A">
        <w:rPr>
          <w:rFonts w:ascii="Times New Roman" w:hAnsi="Times New Roman"/>
          <w:sz w:val="24"/>
          <w:szCs w:val="24"/>
        </w:rPr>
        <w:t>ад от Управителния съвет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Уведомяването на неуспелите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14:paraId="24B8D0A7" w14:textId="77777777" w:rsidR="00856916" w:rsidRPr="000A3DFA" w:rsidRDefault="00C4371E" w:rsidP="00C4371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Всеки кандидат, получил уведомително писмо, има право да възрази пред УО на ОПИК в срок до 3 работни дни от датата на 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14:paraId="612960C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връща проектното предложение за повторно извършване на процедурата по оценка;</w:t>
      </w:r>
    </w:p>
    <w:p w14:paraId="52732225" w14:textId="77777777" w:rsidR="00E83072"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потвърждава предварителното решение на МИГ</w:t>
      </w:r>
      <w:r w:rsidR="00576B65">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0011112B">
        <w:rPr>
          <w:noProof/>
          <w:lang w:eastAsia="bg-BG"/>
        </w:rPr>
        <mc:AlternateContent>
          <mc:Choice Requires="wps">
            <w:drawing>
              <wp:inline distT="0" distB="0" distL="0" distR="0" wp14:anchorId="5090CCD6" wp14:editId="5E0EFF6A">
                <wp:extent cx="1828800" cy="921827"/>
                <wp:effectExtent l="0" t="0" r="15240" b="12065"/>
                <wp:docPr id="10" name="Текстово поле 10"/>
                <wp:cNvGraphicFramePr/>
                <a:graphic xmlns:a="http://schemas.openxmlformats.org/drawingml/2006/main">
                  <a:graphicData uri="http://schemas.microsoft.com/office/word/2010/wordprocessingShape">
                    <wps:wsp>
                      <wps:cNvSpPr txBox="1"/>
                      <wps:spPr>
                        <a:xfrm>
                          <a:off x="0" y="0"/>
                          <a:ext cx="1828800" cy="921827"/>
                        </a:xfrm>
                        <a:prstGeom prst="rect">
                          <a:avLst/>
                        </a:prstGeom>
                        <a:solidFill>
                          <a:schemeClr val="bg1">
                            <a:lumMod val="85000"/>
                          </a:schemeClr>
                        </a:solidFill>
                        <a:ln w="6350">
                          <a:solidFill>
                            <a:prstClr val="black"/>
                          </a:solidFill>
                        </a:ln>
                        <a:effectLst/>
                      </wps:spPr>
                      <wps:txbx>
                        <w:txbxContent>
                          <w:p w14:paraId="38D40BBD" w14:textId="64EDA44E" w:rsidR="005B4F08" w:rsidRPr="0097141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90CCD6" id="Текстово поле 10" o:spid="_x0000_s1053" type="#_x0000_t202" style="width:2in;height:7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" fillcolor="#d8d8d8 [2732]" strokeweight=".5pt">
                <v:textbox>
                  <w:txbxContent>
                    <w:p w14:paraId="38D40BBD" w14:textId="64EDA44E" w:rsidR="005B4F08" w:rsidRPr="00971417"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v:textbox>
                <w10:anchorlock/>
              </v:shape>
            </w:pict>
          </mc:Fallback>
        </mc:AlternateContent>
      </w:r>
    </w:p>
    <w:p w14:paraId="3CA8FFE8" w14:textId="25F1C99F"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УО на ОПИК може да изиска допълнителни относими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3A6E338F" w14:textId="77777777" w:rsidR="00C4371E" w:rsidRPr="000B202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i/>
          <w:color w:val="000000" w:themeColor="text1"/>
          <w:sz w:val="24"/>
          <w:szCs w:val="24"/>
          <w:u w:val="single"/>
        </w:rPr>
      </w:pPr>
      <w:r w:rsidRPr="000B202A">
        <w:rPr>
          <w:rFonts w:ascii="Times New Roman" w:hAnsi="Times New Roman" w:cs="Times New Roman"/>
          <w:i/>
          <w:color w:val="000000" w:themeColor="text1"/>
          <w:sz w:val="24"/>
          <w:szCs w:val="24"/>
          <w:u w:val="single"/>
        </w:rPr>
        <w:t>Списък на документите, които се представят на етап договаряне и са част от документацията по чл. 26, ал. 1 на ЗУСЕСИФ:</w:t>
      </w:r>
    </w:p>
    <w:p w14:paraId="30BCCB58" w14:textId="423CEFB9" w:rsidR="00A666E0" w:rsidRPr="00A666E0" w:rsidRDefault="00C4371E"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1.</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Удостоверение от Националната агенция за приходите за липса на задължения на кандидата</w:t>
      </w:r>
      <w:r w:rsidR="004261FD" w:rsidRPr="004E50EA">
        <w:rPr>
          <w:rFonts w:ascii="Times New Roman" w:eastAsia="Calibri" w:hAnsi="Times New Roman" w:cs="Times New Roman"/>
          <w:sz w:val="24"/>
          <w:szCs w:val="24"/>
        </w:rPr>
        <w:t>(издадено след датата на получаване на п</w:t>
      </w:r>
      <w:r w:rsidR="004261FD">
        <w:rPr>
          <w:rFonts w:ascii="Times New Roman" w:eastAsia="Calibri" w:hAnsi="Times New Roman" w:cs="Times New Roman"/>
          <w:sz w:val="24"/>
          <w:szCs w:val="24"/>
        </w:rPr>
        <w:t>оканата за сключване на договор</w:t>
      </w:r>
      <w:r w:rsidR="004261FD" w:rsidRPr="004E50EA">
        <w:rPr>
          <w:rFonts w:ascii="Times New Roman" w:eastAsia="Calibri" w:hAnsi="Times New Roman" w:cs="Times New Roman"/>
          <w:sz w:val="24"/>
          <w:szCs w:val="24"/>
        </w:rPr>
        <w:t>)</w:t>
      </w:r>
      <w:r w:rsidR="00A666E0" w:rsidRPr="00A666E0">
        <w:rPr>
          <w:rFonts w:ascii="Times New Roman" w:hAnsi="Times New Roman" w:cs="Times New Roman"/>
          <w:color w:val="000000" w:themeColor="text1"/>
          <w:sz w:val="24"/>
          <w:szCs w:val="24"/>
        </w:rPr>
        <w:t>– оригинал и</w:t>
      </w:r>
      <w:r w:rsidR="00B8303F">
        <w:rPr>
          <w:rFonts w:ascii="Times New Roman" w:hAnsi="Times New Roman" w:cs="Times New Roman"/>
          <w:color w:val="000000" w:themeColor="text1"/>
          <w:sz w:val="24"/>
          <w:szCs w:val="24"/>
        </w:rPr>
        <w:t>ли копие, заверено от кандидата</w:t>
      </w:r>
    </w:p>
    <w:p w14:paraId="55D1B301" w14:textId="77777777"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 xml:space="preserve">или </w:t>
      </w:r>
    </w:p>
    <w:p w14:paraId="68CD0481" w14:textId="6DB54DF2"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4261FD" w:rsidRPr="001C21D3">
        <w:rPr>
          <w:rFonts w:ascii="Times New Roman" w:eastAsia="Calibri" w:hAnsi="Times New Roman" w:cs="Times New Roman"/>
          <w:sz w:val="24"/>
          <w:szCs w:val="24"/>
        </w:rPr>
        <w:t>, но не повече от 50 000 лв.</w:t>
      </w:r>
      <w:r w:rsidR="004261FD" w:rsidRPr="004E50EA">
        <w:rPr>
          <w:rFonts w:ascii="Times New Roman" w:eastAsia="Calibri" w:hAnsi="Times New Roman" w:cs="Times New Roman"/>
          <w:sz w:val="24"/>
          <w:szCs w:val="24"/>
        </w:rPr>
        <w:t xml:space="preserve"> </w:t>
      </w:r>
      <w:r w:rsidRPr="00A666E0">
        <w:rPr>
          <w:rFonts w:ascii="Times New Roman" w:hAnsi="Times New Roman" w:cs="Times New Roman"/>
          <w:color w:val="000000" w:themeColor="text1"/>
          <w:sz w:val="24"/>
          <w:szCs w:val="24"/>
        </w:rPr>
        <w:t xml:space="preserve"> - оригинал и</w:t>
      </w:r>
      <w:r w:rsidR="00B8303F">
        <w:rPr>
          <w:rFonts w:ascii="Times New Roman" w:hAnsi="Times New Roman" w:cs="Times New Roman"/>
          <w:color w:val="000000" w:themeColor="text1"/>
          <w:sz w:val="24"/>
          <w:szCs w:val="24"/>
        </w:rPr>
        <w:t>ли копие, заверено от кандидата</w:t>
      </w:r>
    </w:p>
    <w:p w14:paraId="78EFB850" w14:textId="77777777" w:rsidR="00C4371E" w:rsidRPr="000A3DFA" w:rsidRDefault="000D65D7"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00695EE7" wp14:editId="656A6BC7">
                <wp:extent cx="1828800" cy="1828800"/>
                <wp:effectExtent l="0" t="0" r="15240" b="20320"/>
                <wp:docPr id="11" name="Текстово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3F98D86" w14:textId="77777777" w:rsidR="005B4F08" w:rsidRPr="008B5D0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695EE7" id="Текстово поле 11" o:spid="_x0000_s105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gII6OYICAADt&#10;BAAADgAAAAAAAAAAAAAAAAAuAgAAZHJzL2Uyb0RvYy54bWxQSwECLQAUAAYACAAAACEAsD8FedkA&#10;AAAFAQAADwAAAAAAAAAAAAAAAADcBAAAZHJzL2Rvd25yZXYueG1sUEsFBgAAAAAEAAQA8wAAAOIF&#10;AAAAAA==&#10;" fillcolor="#d8d8d8 [2732]" strokeweight=".5pt">
                <v:textbox style="mso-fit-shape-to-text:t">
                  <w:txbxContent>
                    <w:p w14:paraId="73F98D86" w14:textId="77777777" w:rsidR="005B4F08" w:rsidRPr="008B5D0E"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v:textbox>
                <w10:anchorlock/>
              </v:shape>
            </w:pict>
          </mc:Fallback>
        </mc:AlternateContent>
      </w:r>
    </w:p>
    <w:p w14:paraId="1F7ED2DF" w14:textId="13EA7B4A"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2.</w:t>
      </w:r>
      <w:r w:rsidRPr="000A3DFA">
        <w:rPr>
          <w:rFonts w:ascii="Times New Roman" w:hAnsi="Times New Roman" w:cs="Times New Roman"/>
          <w:color w:val="000000" w:themeColor="text1"/>
          <w:sz w:val="24"/>
          <w:szCs w:val="24"/>
        </w:rPr>
        <w:t xml:space="preserve"> Удостоверение за липса на задължения към община </w:t>
      </w:r>
      <w:r w:rsidR="00A666E0" w:rsidRPr="00A666E0">
        <w:rPr>
          <w:rFonts w:ascii="Times New Roman" w:hAnsi="Times New Roman" w:cs="Times New Roman"/>
          <w:color w:val="000000" w:themeColor="text1"/>
          <w:sz w:val="24"/>
          <w:szCs w:val="24"/>
        </w:rPr>
        <w:t xml:space="preserve">по седалището на кандидата </w:t>
      </w:r>
      <w:r w:rsidRPr="000A3DFA">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(издадено след датата на получаване на поканата за сключване на договор)</w:t>
      </w:r>
      <w:r w:rsidRPr="000A3DFA">
        <w:rPr>
          <w:rFonts w:ascii="Times New Roman" w:hAnsi="Times New Roman" w:cs="Times New Roman"/>
          <w:color w:val="000000" w:themeColor="text1"/>
          <w:sz w:val="24"/>
          <w:szCs w:val="24"/>
        </w:rPr>
        <w:t>– оригинал или копие, заверено от кандидата.</w:t>
      </w:r>
    </w:p>
    <w:p w14:paraId="5F6C6796" w14:textId="258894DC" w:rsidR="00A666E0" w:rsidRPr="008B3B52" w:rsidRDefault="000D65D7" w:rsidP="008B3B5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3EB5A369" wp14:editId="594ACD82">
                <wp:extent cx="1828800" cy="1828800"/>
                <wp:effectExtent l="0" t="0" r="15240" b="26670"/>
                <wp:docPr id="12" name="Текстово 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5DB24EBE" w14:textId="77777777" w:rsidR="005B4F08" w:rsidRPr="00697749"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B5A369" id="Текстово поле 12" o:spid="_x0000_s105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4AFe4oICAADt&#10;BAAADgAAAAAAAAAAAAAAAAAuAgAAZHJzL2Uyb0RvYy54bWxQSwECLQAUAAYACAAAACEAsD8FedkA&#10;AAAFAQAADwAAAAAAAAAAAAAAAADcBAAAZHJzL2Rvd25yZXYueG1sUEsFBgAAAAAEAAQA8wAAAOIF&#10;AAAAAA==&#10;" fillcolor="#d8d8d8 [2732]" strokeweight=".5pt">
                <v:textbox style="mso-fit-shape-to-text:t">
                  <w:txbxContent>
                    <w:p w14:paraId="5DB24EBE" w14:textId="77777777" w:rsidR="005B4F08" w:rsidRPr="00697749" w:rsidRDefault="005B4F08"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v:textbox>
                <w10:anchorlock/>
              </v:shape>
            </w:pict>
          </mc:Fallback>
        </mc:AlternateContent>
      </w:r>
      <w:r w:rsidR="00A666E0" w:rsidRPr="00A666E0">
        <w:rPr>
          <w:rFonts w:ascii="Times New Roman" w:hAnsi="Times New Roman" w:cs="Times New Roman"/>
          <w:color w:val="000000" w:themeColor="text1"/>
          <w:sz w:val="24"/>
          <w:szCs w:val="24"/>
        </w:rPr>
        <w:t>От Удостоверенията по букви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1 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2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8B3B52" w:rsidRPr="00DB51B3">
        <w:rPr>
          <w:rFonts w:ascii="Times New Roman" w:eastAsia="Calibri" w:hAnsi="Times New Roman" w:cs="Times New Roman"/>
          <w:sz w:val="24"/>
          <w:szCs w:val="24"/>
        </w:rPr>
        <w:t>, но не повече от 50 000 лв.</w:t>
      </w:r>
    </w:p>
    <w:p w14:paraId="5CCED6A2" w14:textId="00D2CC3F" w:rsidR="00A666E0" w:rsidRPr="000A3DFA"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Кандидат, който видно от Удостоверенията по букви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1 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2 има задължения повече от 1 на сто от сумата на годишния общ оборот за последната приключена финансова година</w:t>
      </w:r>
      <w:r w:rsidR="008B3B52" w:rsidRPr="008B3B52">
        <w:rPr>
          <w:rFonts w:ascii="Times New Roman" w:eastAsia="Calibri" w:hAnsi="Times New Roman" w:cs="Times New Roman"/>
          <w:sz w:val="24"/>
          <w:szCs w:val="24"/>
        </w:rPr>
        <w:t xml:space="preserve"> </w:t>
      </w:r>
      <w:r w:rsidR="008B3B52" w:rsidRPr="00DB51B3">
        <w:rPr>
          <w:rFonts w:ascii="Times New Roman" w:eastAsia="Calibri" w:hAnsi="Times New Roman" w:cs="Times New Roman"/>
          <w:sz w:val="24"/>
          <w:szCs w:val="24"/>
        </w:rPr>
        <w:t>или повече от 50 000 лева</w:t>
      </w:r>
      <w:r w:rsidRPr="00A666E0">
        <w:rPr>
          <w:rFonts w:ascii="Times New Roman" w:hAnsi="Times New Roman" w:cs="Times New Roman"/>
          <w:color w:val="000000" w:themeColor="text1"/>
          <w:sz w:val="24"/>
          <w:szCs w:val="24"/>
        </w:rPr>
        <w:t xml:space="preserve">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w:t>
      </w:r>
      <w:r w:rsidR="008B3B52">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на задълженията, в това число начислените лихви и глоби (включително ново удостоверение за липса на задължения, издадено след датата на получаване на поканата за представяне на документи за сключване на договор)</w:t>
      </w:r>
      <w:r w:rsidRPr="00A666E0">
        <w:rPr>
          <w:rFonts w:ascii="Times New Roman" w:hAnsi="Times New Roman" w:cs="Times New Roman"/>
          <w:color w:val="000000" w:themeColor="text1"/>
          <w:sz w:val="24"/>
          <w:szCs w:val="24"/>
        </w:rPr>
        <w:t xml:space="preserve">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0CE956" w14:textId="27A8274E"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w:t>
      </w:r>
      <w:r w:rsidR="008B3B52" w:rsidRP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Свидетелство за съдимост на всички лица</w:t>
      </w:r>
      <w:r w:rsid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r w:rsidR="008B3B52" w:rsidRPr="000B0C92">
        <w:rPr>
          <w:rFonts w:ascii="Times New Roman" w:eastAsia="Calibri" w:hAnsi="Times New Roman" w:cs="Times New Roman"/>
          <w:sz w:val="24"/>
          <w:szCs w:val="24"/>
        </w:rPr>
        <w:t xml:space="preserve"> - оригинал или копие, заверено от кандидата.</w:t>
      </w:r>
    </w:p>
    <w:p w14:paraId="38602B9C" w14:textId="77777777" w:rsidR="00020486" w:rsidRPr="00020486" w:rsidRDefault="00020486" w:rsidP="0002048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020486">
        <w:rPr>
          <w:rFonts w:ascii="Times New Roman" w:eastAsia="Calibri" w:hAnsi="Times New Roman" w:cs="Times New Roman"/>
          <w:b/>
          <w:sz w:val="24"/>
          <w:szCs w:val="24"/>
        </w:rPr>
        <w:t>ВАЖНО:</w:t>
      </w:r>
      <w:r w:rsidRPr="00020486">
        <w:rPr>
          <w:rFonts w:ascii="Times New Roman" w:eastAsia="Calibri" w:hAnsi="Times New Roman" w:cs="Times New Roman"/>
          <w:sz w:val="24"/>
          <w:szCs w:val="24"/>
        </w:rPr>
        <w:t xml:space="preserve"> При условие че горепосочените лица са родени в България, не са осъждани и не им е наложено административно наказание, Управляващият орган ще извършва служебна проверка за тях. В този случай не е необходимо представянето на Свидетелство за съдимост на оправомощените да представляват кандидата лица.</w:t>
      </w:r>
    </w:p>
    <w:p w14:paraId="5C75CF52" w14:textId="77777777"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2E9F59DA" w14:textId="3748E54D"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Нотариално заверено пълномощно, в случаите, когато Административният договор за безвъзмездна финансова помощ ще бъде подписан от лице, различно от законния/ите представител/и на кандидата съгласно </w:t>
      </w:r>
      <w:r w:rsidR="00F649A4" w:rsidRPr="00F649A4">
        <w:rPr>
          <w:rFonts w:ascii="Times New Roman" w:hAnsi="Times New Roman" w:cs="Times New Roman"/>
          <w:color w:val="000000" w:themeColor="text1"/>
          <w:sz w:val="24"/>
          <w:szCs w:val="24"/>
        </w:rPr>
        <w:t>Търговския регистър и регистър</w:t>
      </w:r>
      <w:r w:rsidR="000F7F5B">
        <w:rPr>
          <w:rFonts w:ascii="Times New Roman" w:hAnsi="Times New Roman" w:cs="Times New Roman"/>
          <w:color w:val="000000" w:themeColor="text1"/>
          <w:sz w:val="24"/>
          <w:szCs w:val="24"/>
        </w:rPr>
        <w:t>а</w:t>
      </w:r>
      <w:r w:rsidR="00F649A4" w:rsidRPr="00F649A4">
        <w:rPr>
          <w:rFonts w:ascii="Times New Roman" w:hAnsi="Times New Roman" w:cs="Times New Roman"/>
          <w:color w:val="000000" w:themeColor="text1"/>
          <w:sz w:val="24"/>
          <w:szCs w:val="24"/>
        </w:rPr>
        <w:t xml:space="preserve"> на ЮЛНЦ – в оригинал.</w:t>
      </w:r>
    </w:p>
    <w:p w14:paraId="3246CA9A" w14:textId="3BB7E095"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5.</w:t>
      </w:r>
      <w:r w:rsidRPr="000A3DFA">
        <w:rPr>
          <w:rFonts w:ascii="Times New Roman" w:hAnsi="Times New Roman" w:cs="Times New Roman"/>
          <w:color w:val="000000" w:themeColor="text1"/>
          <w:sz w:val="24"/>
          <w:szCs w:val="24"/>
        </w:rPr>
        <w:t xml:space="preserve"> Заявление за профил за достъп на ръководител на бенефициента до ИСУН 2020 </w:t>
      </w:r>
      <w:r w:rsidRPr="00ED7CDB">
        <w:rPr>
          <w:rFonts w:ascii="Times New Roman" w:hAnsi="Times New Roman" w:cs="Times New Roman"/>
          <w:color w:val="000000" w:themeColor="text1"/>
          <w:sz w:val="24"/>
          <w:szCs w:val="24"/>
        </w:rPr>
        <w:t xml:space="preserve">(Приложение </w:t>
      </w:r>
      <w:r w:rsidR="0033147D">
        <w:rPr>
          <w:rFonts w:ascii="Times New Roman" w:hAnsi="Times New Roman" w:cs="Times New Roman"/>
          <w:color w:val="000000" w:themeColor="text1"/>
          <w:sz w:val="24"/>
          <w:szCs w:val="24"/>
        </w:rPr>
        <w:t>19</w:t>
      </w:r>
      <w:r w:rsidR="00F66021" w:rsidRPr="00ED7CDB">
        <w:rPr>
          <w:rFonts w:ascii="Times New Roman" w:hAnsi="Times New Roman" w:cs="Times New Roman"/>
          <w:color w:val="000000" w:themeColor="text1"/>
          <w:sz w:val="24"/>
          <w:szCs w:val="24"/>
        </w:rPr>
        <w:t xml:space="preserve"> </w:t>
      </w:r>
      <w:r w:rsidRPr="00ED7CDB">
        <w:rPr>
          <w:rFonts w:ascii="Times New Roman" w:hAnsi="Times New Roman" w:cs="Times New Roman"/>
          <w:color w:val="000000" w:themeColor="text1"/>
          <w:sz w:val="24"/>
          <w:szCs w:val="24"/>
        </w:rPr>
        <w:t>към Условията за изпълнение)</w:t>
      </w:r>
      <w:r w:rsidRPr="000A3DFA">
        <w:rPr>
          <w:rFonts w:ascii="Times New Roman" w:hAnsi="Times New Roman" w:cs="Times New Roman"/>
          <w:color w:val="000000" w:themeColor="text1"/>
          <w:sz w:val="24"/>
          <w:szCs w:val="24"/>
        </w:rPr>
        <w:t xml:space="preserve"> и/или Заявление за профил за достъп на упълномощени от бенефициента лица до ИСУН 2020 (Приложение </w:t>
      </w:r>
      <w:r w:rsidR="0033147D">
        <w:rPr>
          <w:rFonts w:ascii="Times New Roman" w:hAnsi="Times New Roman" w:cs="Times New Roman"/>
          <w:color w:val="000000" w:themeColor="text1"/>
          <w:sz w:val="24"/>
          <w:szCs w:val="24"/>
        </w:rPr>
        <w:t>20</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w:t>
      </w:r>
      <w:r w:rsidR="004F24E0">
        <w:rPr>
          <w:rFonts w:ascii="Times New Roman" w:hAnsi="Times New Roman" w:cs="Times New Roman"/>
          <w:color w:val="000000" w:themeColor="text1"/>
          <w:sz w:val="24"/>
          <w:szCs w:val="24"/>
        </w:rPr>
        <w:t>еки</w:t>
      </w:r>
      <w:r w:rsidR="004619B4">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от тях.</w:t>
      </w:r>
    </w:p>
    <w:p w14:paraId="60D73795" w14:textId="77777777" w:rsidR="00C4371E" w:rsidRDefault="00C4371E"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1B5F33">
        <w:rPr>
          <w:rFonts w:ascii="Times New Roman" w:hAnsi="Times New Roman" w:cs="Times New Roman"/>
          <w:b/>
          <w:color w:val="000000" w:themeColor="text1"/>
          <w:sz w:val="24"/>
          <w:szCs w:val="24"/>
        </w:rPr>
        <w:t>6.</w:t>
      </w:r>
      <w:r w:rsidRPr="000A3DFA">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 54, ал. 1, т. 6 от ЗОП - оригинал или копие, заверено от кандидата.</w:t>
      </w:r>
      <w:r w:rsidR="00ED7CDB">
        <w:rPr>
          <w:rFonts w:ascii="Times New Roman" w:hAnsi="Times New Roman" w:cs="Times New Roman"/>
          <w:color w:val="000000" w:themeColor="text1"/>
          <w:sz w:val="24"/>
          <w:szCs w:val="24"/>
        </w:rPr>
        <w:t xml:space="preserve"> </w:t>
      </w:r>
    </w:p>
    <w:p w14:paraId="3B7C2D77" w14:textId="77777777" w:rsidR="00ED7CDB" w:rsidRDefault="00AC30BB"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Pr>
          <w:rFonts w:ascii="Times New Roman" w:hAnsi="Times New Roman"/>
          <w:sz w:val="24"/>
          <w:szCs w:val="24"/>
        </w:rPr>
        <w:t xml:space="preserve">По отношение на издаваните от </w:t>
      </w:r>
      <w:r w:rsidR="00ED7CDB" w:rsidRPr="00A60922">
        <w:rPr>
          <w:rFonts w:ascii="Times New Roman" w:hAnsi="Times New Roman"/>
          <w:sz w:val="24"/>
          <w:szCs w:val="24"/>
        </w:rPr>
        <w:t>ораните на Изпълнителна агенция „Главна инспекция по труда“ документи, във връзка с чл. 54, ал. 1, т. 6 от ЗОП, Управляващият орган ще изисква тази информация по служебен път за всеки от предложените за финансиране кандидати.</w:t>
      </w:r>
    </w:p>
    <w:p w14:paraId="25E8FC02"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7618A108"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sidRPr="006F6B1C">
        <w:rPr>
          <w:rFonts w:ascii="Times New Roman" w:hAnsi="Times New Roman"/>
          <w:b/>
          <w:sz w:val="24"/>
          <w:szCs w:val="24"/>
        </w:rPr>
        <w:t>ВАЖНО:</w:t>
      </w:r>
      <w:r w:rsidRPr="006F6B1C">
        <w:rPr>
          <w:rFonts w:ascii="Times New Roman" w:hAnsi="Times New Roman"/>
          <w:sz w:val="24"/>
          <w:szCs w:val="24"/>
        </w:rPr>
        <w:t xml:space="preserve"> В случай че се установят нарушения във връзка с обстоятелствата по чл. 54, ал. 1, т. 6 от ЗОП и същите са отстраними, до кандидата ще бъде изпратено писмо със съответните указания за отстраняване на констатираните нарушения.</w:t>
      </w:r>
    </w:p>
    <w:p w14:paraId="29E6949D" w14:textId="77777777" w:rsidR="006F6B1C" w:rsidRPr="00ED7CDB"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0DE0034F" w14:textId="77777777" w:rsidR="0004117A" w:rsidRPr="00326474" w:rsidRDefault="001B5F33"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eastAsia="Calibri" w:hAnsi="Times New Roman" w:cs="Times New Roman"/>
          <w:b/>
          <w:sz w:val="24"/>
          <w:szCs w:val="24"/>
        </w:rPr>
        <w:t>7.</w:t>
      </w:r>
      <w:r w:rsidRPr="00526EBE">
        <w:rPr>
          <w:rFonts w:ascii="Times New Roman" w:eastAsia="Calibri" w:hAnsi="Times New Roman" w:cs="Times New Roman"/>
          <w:b/>
          <w:sz w:val="24"/>
          <w:szCs w:val="24"/>
        </w:rPr>
        <w:t xml:space="preserve"> </w:t>
      </w:r>
      <w:r w:rsidR="0004117A" w:rsidRPr="00326474">
        <w:rPr>
          <w:rFonts w:ascii="Times New Roman" w:hAnsi="Times New Roman"/>
          <w:sz w:val="24"/>
          <w:szCs w:val="24"/>
        </w:rPr>
        <w:t>За документална проверка на декларираната категория предприятие при сключване на административните договори за предоставяне на безвъзмездна финансова помощ одобрените кандидати следва да представят в горепосочения срок, указан от Управляващия орган и:</w:t>
      </w:r>
    </w:p>
    <w:p w14:paraId="65EBB0F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а/ Справка за обобщените параметри на предприятието, което подава Декларация за обстоятелствата по чл. 3 и чл. 4 на ЗМСП – не се изисква за независими предприятия по смисъла на чл. 4, ал. 2 и ал. 4 от ЗМСП.</w:t>
      </w:r>
      <w:r w:rsidR="006F6B1C" w:rsidRPr="006F6B1C">
        <w:t xml:space="preserve"> </w:t>
      </w:r>
      <w:r w:rsidR="006F6B1C" w:rsidRPr="006F6B1C">
        <w:rPr>
          <w:rFonts w:ascii="Times New Roman" w:hAnsi="Times New Roman"/>
          <w:sz w:val="24"/>
          <w:szCs w:val="24"/>
        </w:rPr>
        <w:t>Справките следва да бъдат изготвени въз основа на данните на предприятието за последните две приключени финансови години към датата на представяне. В случай че данните за последните две приключени финансови години, към датата на представяне, не потвърждават статуса на малко или средно предприятие, се представят и справки за последните две последователни финансови години, в които предприятието запазва своите параметри по чл. 3 от Закона за малките и средните предприятия без промяна;</w:t>
      </w:r>
    </w:p>
    <w:p w14:paraId="1DF191B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б/ Следните документи, относими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57709922"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 приложимо за акционерните дружества с поименни акции;</w:t>
      </w:r>
    </w:p>
    <w:p w14:paraId="15AFA444"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E3D824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и устав - приложимо за командитните дружества с акции;</w:t>
      </w:r>
    </w:p>
    <w:p w14:paraId="68BC5CE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Устав - приложимо за кооперациите;</w:t>
      </w:r>
    </w:p>
    <w:p w14:paraId="1D45B63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Справка за разпределение капитала на дружеството – приложимо за акционерните дружества.</w:t>
      </w:r>
    </w:p>
    <w:p w14:paraId="166CCFE0" w14:textId="35567C16" w:rsidR="0004117A"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lastRenderedPageBreak/>
        <w:t>Посочените документи се представят като копие, заверено от кандидата, в случай че не са оповестени в Търговския регистър</w:t>
      </w:r>
      <w:r w:rsidR="000F7F5B">
        <w:rPr>
          <w:rFonts w:ascii="Times New Roman" w:hAnsi="Times New Roman"/>
          <w:sz w:val="24"/>
          <w:szCs w:val="24"/>
        </w:rPr>
        <w:t xml:space="preserve"> </w:t>
      </w:r>
      <w:r w:rsidR="000F7F5B" w:rsidRPr="000F7F5B">
        <w:rPr>
          <w:rFonts w:ascii="Times New Roman" w:hAnsi="Times New Roman"/>
          <w:sz w:val="24"/>
          <w:szCs w:val="24"/>
        </w:rPr>
        <w:t>и регистъра на ЮЛНЦ</w:t>
      </w:r>
      <w:r w:rsidRPr="00326474">
        <w:rPr>
          <w:rFonts w:ascii="Times New Roman" w:hAnsi="Times New Roman"/>
          <w:sz w:val="24"/>
          <w:szCs w:val="24"/>
        </w:rPr>
        <w:t>. В случай че посочените документи са оповестени в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 същите ще се проверяват по служебен път съгласно чл. 23, ал. 6 от Закона за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w:t>
      </w:r>
    </w:p>
    <w:p w14:paraId="3BB747F6" w14:textId="77777777" w:rsidR="0083288F" w:rsidRDefault="0083288F"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315580F" w14:textId="4C61F759" w:rsidR="0004117A" w:rsidRPr="00A57320" w:rsidRDefault="0004117A"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г/ Отчет за заетите лица, средствата за работна заплата и други разходи за труд</w:t>
      </w:r>
      <w:r>
        <w:rPr>
          <w:rStyle w:val="a8"/>
          <w:rFonts w:ascii="Times New Roman" w:hAnsi="Times New Roman"/>
          <w:sz w:val="24"/>
          <w:szCs w:val="24"/>
        </w:rPr>
        <w:footnoteReference w:id="32"/>
      </w:r>
      <w:r w:rsidRPr="00326474">
        <w:rPr>
          <w:rFonts w:ascii="Times New Roman" w:hAnsi="Times New Roman"/>
          <w:sz w:val="24"/>
          <w:szCs w:val="24"/>
        </w:rPr>
        <w:t xml:space="preserve"> за последните две приключени финансови години</w:t>
      </w:r>
      <w:r w:rsidR="0083288F" w:rsidRPr="0083288F">
        <w:rPr>
          <w:rFonts w:ascii="Times New Roman" w:hAnsi="Times New Roman"/>
          <w:sz w:val="24"/>
          <w:szCs w:val="24"/>
        </w:rPr>
        <w:t>, във формат идентичен на този, в който са подадени към НСИ</w:t>
      </w:r>
      <w:r w:rsidR="00CE0E8D">
        <w:rPr>
          <w:rFonts w:ascii="Times New Roman" w:hAnsi="Times New Roman"/>
          <w:sz w:val="24"/>
          <w:szCs w:val="24"/>
        </w:rPr>
        <w:t xml:space="preserve"> – оригинал или копие, заверено от кандидата</w:t>
      </w:r>
      <w:r>
        <w:rPr>
          <w:rFonts w:ascii="Times New Roman" w:hAnsi="Times New Roman"/>
          <w:sz w:val="24"/>
          <w:szCs w:val="24"/>
        </w:rPr>
        <w:t>.</w:t>
      </w:r>
      <w:r w:rsidR="00A57320" w:rsidRPr="00A55D5B">
        <w:rPr>
          <w:rFonts w:ascii="Times New Roman" w:hAnsi="Times New Roman"/>
          <w:sz w:val="24"/>
          <w:szCs w:val="24"/>
        </w:rPr>
        <w:t xml:space="preserve"> </w:t>
      </w:r>
    </w:p>
    <w:p w14:paraId="14E032D2" w14:textId="77777777" w:rsidR="001B5F33" w:rsidRPr="00526EBE" w:rsidRDefault="009A2691"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25BAD051" wp14:editId="0AD66FF9">
                <wp:extent cx="1828800" cy="725557"/>
                <wp:effectExtent l="0" t="0" r="15240" b="17780"/>
                <wp:docPr id="24" name="Текстово поле 24"/>
                <wp:cNvGraphicFramePr/>
                <a:graphic xmlns:a="http://schemas.openxmlformats.org/drawingml/2006/main">
                  <a:graphicData uri="http://schemas.microsoft.com/office/word/2010/wordprocessingShape">
                    <wps:wsp>
                      <wps:cNvSpPr txBox="1"/>
                      <wps:spPr>
                        <a:xfrm>
                          <a:off x="0" y="0"/>
                          <a:ext cx="1828800" cy="725557"/>
                        </a:xfrm>
                        <a:prstGeom prst="rect">
                          <a:avLst/>
                        </a:prstGeom>
                        <a:solidFill>
                          <a:schemeClr val="bg1">
                            <a:lumMod val="85000"/>
                          </a:schemeClr>
                        </a:solidFill>
                        <a:ln w="6350">
                          <a:solidFill>
                            <a:prstClr val="black"/>
                          </a:solidFill>
                        </a:ln>
                        <a:effectLst/>
                      </wps:spPr>
                      <wps:txbx>
                        <w:txbxContent>
                          <w:p w14:paraId="03030BAD" w14:textId="3716F992" w:rsidR="005B4F08" w:rsidRPr="00E448B7" w:rsidRDefault="005B4F08"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Управляващият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BAD051" id="Текстово поле 24" o:spid="_x0000_s1056" type="#_x0000_t202" style="width:2in;height:5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" fillcolor="#d8d8d8 [2732]" strokeweight=".5pt">
                <v:textbox>
                  <w:txbxContent>
                    <w:p w14:paraId="03030BAD" w14:textId="3716F992" w:rsidR="005B4F08" w:rsidRPr="00E448B7" w:rsidRDefault="005B4F08"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Управляващият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v:textbox>
                <w10:anchorlock/>
              </v:shape>
            </w:pict>
          </mc:Fallback>
        </mc:AlternateContent>
      </w:r>
      <w:r w:rsidR="00A16E2F">
        <w:rPr>
          <w:rFonts w:ascii="Times New Roman" w:eastAsia="Calibri" w:hAnsi="Times New Roman" w:cs="Times New Roman"/>
          <w:b/>
          <w:sz w:val="24"/>
          <w:szCs w:val="24"/>
        </w:rPr>
        <w:t xml:space="preserve">8. </w:t>
      </w:r>
      <w:r w:rsidR="001B5F33" w:rsidRPr="00526EBE">
        <w:rPr>
          <w:rFonts w:ascii="Times New Roman" w:eastAsia="Calibri" w:hAnsi="Times New Roman" w:cs="Times New Roman"/>
          <w:sz w:val="24"/>
          <w:szCs w:val="24"/>
        </w:rPr>
        <w:t>Декларация за нередности (</w:t>
      </w:r>
      <w:r w:rsidR="001B5F33" w:rsidRPr="00A16E2F">
        <w:rPr>
          <w:rFonts w:ascii="Times New Roman" w:eastAsia="Calibri" w:hAnsi="Times New Roman" w:cs="Times New Roman"/>
          <w:sz w:val="24"/>
          <w:szCs w:val="24"/>
        </w:rPr>
        <w:t xml:space="preserve">Приложение </w:t>
      </w:r>
      <w:r w:rsidR="00E87076">
        <w:rPr>
          <w:rFonts w:ascii="Times New Roman" w:eastAsia="Calibri" w:hAnsi="Times New Roman" w:cs="Times New Roman"/>
          <w:sz w:val="24"/>
          <w:szCs w:val="24"/>
        </w:rPr>
        <w:t>17</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780A6BCA" w14:textId="59C104C3" w:rsidR="001B5F33" w:rsidRPr="00737A91"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1B5F33">
        <w:rPr>
          <w:rFonts w:ascii="Times New Roman" w:eastAsia="Calibri" w:hAnsi="Times New Roman" w:cs="Times New Roman"/>
          <w:b/>
          <w:sz w:val="24"/>
          <w:szCs w:val="24"/>
        </w:rPr>
        <w:t>.</w:t>
      </w:r>
      <w:r w:rsidR="001B5F33" w:rsidRPr="00526EBE">
        <w:rPr>
          <w:rFonts w:ascii="Times New Roman" w:eastAsia="Calibri" w:hAnsi="Times New Roman" w:cs="Times New Roman"/>
          <w:b/>
          <w:sz w:val="24"/>
          <w:szCs w:val="24"/>
        </w:rPr>
        <w:t xml:space="preserve"> </w:t>
      </w:r>
      <w:r w:rsidR="001B5F33" w:rsidRPr="00526EBE">
        <w:rPr>
          <w:rFonts w:ascii="Times New Roman" w:eastAsia="Calibri" w:hAnsi="Times New Roman" w:cs="Times New Roman"/>
          <w:sz w:val="24"/>
          <w:szCs w:val="24"/>
        </w:rPr>
        <w:t>Декларация за съгласие данните на кандидата да бъдат предоставени от НСИ на</w:t>
      </w:r>
      <w:r w:rsidR="001B5F33">
        <w:rPr>
          <w:rFonts w:ascii="Times New Roman" w:eastAsia="Calibri" w:hAnsi="Times New Roman" w:cs="Times New Roman"/>
          <w:sz w:val="24"/>
          <w:szCs w:val="24"/>
        </w:rPr>
        <w:t xml:space="preserve"> УО по служебен път (</w:t>
      </w:r>
      <w:r w:rsidR="001B5F33" w:rsidRPr="00A16E2F">
        <w:rPr>
          <w:rFonts w:ascii="Times New Roman" w:eastAsia="Calibri" w:hAnsi="Times New Roman" w:cs="Times New Roman"/>
          <w:sz w:val="24"/>
          <w:szCs w:val="24"/>
        </w:rPr>
        <w:t xml:space="preserve">Приложение </w:t>
      </w:r>
      <w:r w:rsidR="00A16E2F">
        <w:rPr>
          <w:rFonts w:ascii="Times New Roman" w:eastAsia="Calibri" w:hAnsi="Times New Roman" w:cs="Times New Roman"/>
          <w:sz w:val="24"/>
          <w:szCs w:val="24"/>
        </w:rPr>
        <w:t>1</w:t>
      </w:r>
      <w:r w:rsidR="00F56ABC">
        <w:rPr>
          <w:rFonts w:ascii="Times New Roman" w:eastAsia="Calibri" w:hAnsi="Times New Roman" w:cs="Times New Roman"/>
          <w:sz w:val="24"/>
          <w:szCs w:val="24"/>
        </w:rPr>
        <w:t>4</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2D62BDA" w14:textId="2F5EB312" w:rsidR="00D636F2"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bookmarkStart w:id="45" w:name="_Toc494709537"/>
      <w:r>
        <w:rPr>
          <w:rFonts w:ascii="Times New Roman" w:hAnsi="Times New Roman" w:cs="Times New Roman"/>
          <w:color w:val="000000" w:themeColor="text1"/>
          <w:sz w:val="24"/>
          <w:szCs w:val="24"/>
        </w:rPr>
        <w:t xml:space="preserve"> </w:t>
      </w:r>
    </w:p>
    <w:p w14:paraId="2D5D339F" w14:textId="77777777"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10. Декларация по чл. 25, ал. 2 от Закона за управление на средствата от европейските структурни и инвестиционни фондове и чл. 7 от ПМС 162/2016 г., попълнена по образец (Приложение 11 към Условията за кандидатстване) и подписана от всички лица, оправомощени да представляват кандидата (независимо от това дали заедно и/или поотделно, и/или по друг начин).</w:t>
      </w:r>
    </w:p>
    <w:p w14:paraId="6B92240A" w14:textId="530C6648"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11. Декларация за минимални</w:t>
      </w:r>
      <w:r w:rsidR="009958CD">
        <w:rPr>
          <w:rFonts w:ascii="Times New Roman" w:eastAsia="Calibri" w:hAnsi="Times New Roman" w:cs="Times New Roman"/>
          <w:sz w:val="24"/>
          <w:szCs w:val="24"/>
        </w:rPr>
        <w:t xml:space="preserve"> </w:t>
      </w:r>
      <w:r w:rsidRPr="008B601D">
        <w:rPr>
          <w:rFonts w:ascii="Times New Roman" w:eastAsia="Calibri" w:hAnsi="Times New Roman" w:cs="Times New Roman"/>
          <w:sz w:val="24"/>
          <w:szCs w:val="24"/>
        </w:rPr>
        <w:t>помощи, попълнена по образец (Приложение 12 към Условията за кандидатстване),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257B556B" w14:textId="77777777" w:rsidR="00875CD3" w:rsidRPr="00A55D5B"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12. Декларация за обстоятелствата по чл. 3 и чл. 4 от Закона за малките и средните предприятия, попълнена по образец (Приложение </w:t>
      </w:r>
      <w:r>
        <w:rPr>
          <w:rFonts w:ascii="Times New Roman" w:eastAsia="Calibri" w:hAnsi="Times New Roman" w:cs="Times New Roman"/>
          <w:sz w:val="24"/>
          <w:szCs w:val="24"/>
        </w:rPr>
        <w:t>13</w:t>
      </w:r>
      <w:r w:rsidRPr="008B601D">
        <w:rPr>
          <w:rFonts w:ascii="Times New Roman" w:eastAsia="Calibri" w:hAnsi="Times New Roman" w:cs="Times New Roman"/>
          <w:sz w:val="24"/>
          <w:szCs w:val="24"/>
        </w:rPr>
        <w:t xml:space="preserve"> към Условията за кандидатстване), подписана от лицето/ата законен/ни представляващ/и кандидата – подава се 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B87B3C4" w14:textId="0788AFC8" w:rsidR="0083288F" w:rsidRPr="006D3DD4"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6D3DD4">
        <w:rPr>
          <w:rFonts w:ascii="Times New Roman" w:hAnsi="Times New Roman" w:cs="Times New Roman"/>
          <w:b/>
          <w:bCs/>
          <w:sz w:val="24"/>
          <w:szCs w:val="24"/>
        </w:rPr>
        <w:lastRenderedPageBreak/>
        <w:t>УО на ОПИК може да изиска допълнителни относими документи към Списъка на документите, които се представят на етап договаряне на основа на приложимото законодателство и в съответствие с настоящата мярка от Стратегията за местно развитие, когато е приложимо</w:t>
      </w:r>
      <w:r w:rsidRPr="006D3DD4">
        <w:rPr>
          <w:rFonts w:ascii="Times New Roman" w:hAnsi="Times New Roman" w:cs="Times New Roman"/>
          <w:sz w:val="24"/>
          <w:szCs w:val="24"/>
        </w:rPr>
        <w:t>.</w:t>
      </w:r>
    </w:p>
    <w:p w14:paraId="30084D75" w14:textId="7B945D28" w:rsidR="0083288F"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r w:rsidRPr="009A437D">
        <w:rPr>
          <w:rFonts w:ascii="Times New Roman" w:eastAsia="Times New Roman" w:hAnsi="Times New Roman" w:cs="Times New Roman"/>
          <w:b/>
          <w:sz w:val="24"/>
          <w:szCs w:val="24"/>
          <w:lang w:eastAsia="bg-BG"/>
        </w:rPr>
        <w:t xml:space="preserve">13. </w:t>
      </w:r>
      <w:r w:rsidRPr="009A437D">
        <w:rPr>
          <w:rFonts w:ascii="Times New Roman" w:eastAsia="Times New Roman" w:hAnsi="Times New Roman" w:cs="Times New Roman"/>
          <w:sz w:val="24"/>
          <w:szCs w:val="24"/>
          <w:lang w:eastAsia="bg-BG"/>
        </w:rPr>
        <w:t>Декларация, че кандидатът е запознат с условията за кандидатстване и условията за изпълнение</w:t>
      </w:r>
      <w:r>
        <w:rPr>
          <w:rFonts w:ascii="Times New Roman" w:eastAsia="Times New Roman" w:hAnsi="Times New Roman" w:cs="Times New Roman"/>
          <w:sz w:val="24"/>
          <w:szCs w:val="24"/>
          <w:lang w:eastAsia="bg-BG"/>
        </w:rPr>
        <w:t xml:space="preserve"> - </w:t>
      </w:r>
      <w:r w:rsidRPr="00C42D64">
        <w:rPr>
          <w:rFonts w:ascii="Times New Roman" w:eastAsia="Times New Roman" w:hAnsi="Times New Roman" w:cs="Times New Roman"/>
          <w:sz w:val="24"/>
          <w:szCs w:val="24"/>
          <w:lang w:eastAsia="bg-BG"/>
        </w:rPr>
        <w:t>попълнена по образец</w:t>
      </w:r>
      <w:r>
        <w:rPr>
          <w:rFonts w:ascii="Times New Roman" w:eastAsia="Times New Roman" w:hAnsi="Times New Roman" w:cs="Times New Roman"/>
          <w:sz w:val="24"/>
          <w:szCs w:val="24"/>
          <w:lang w:eastAsia="bg-BG"/>
        </w:rPr>
        <w:t xml:space="preserve"> Приложение 10</w:t>
      </w:r>
      <w:r w:rsidRPr="00C42D64">
        <w:rPr>
          <w:rFonts w:ascii="Times New Roman" w:eastAsia="Times New Roman" w:hAnsi="Times New Roman" w:cs="Times New Roman"/>
          <w:sz w:val="24"/>
          <w:szCs w:val="24"/>
          <w:lang w:eastAsia="bg-BG"/>
        </w:rPr>
        <w:t>,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D7BCBC7" w14:textId="77777777" w:rsidR="004619B4" w:rsidRDefault="004619B4" w:rsidP="00191D46">
      <w:pPr>
        <w:pBdr>
          <w:top w:val="single" w:sz="4" w:space="1" w:color="auto"/>
          <w:left w:val="single" w:sz="4" w:space="0"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4619B4">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Документите по т. 10, 11, 12 и 13 се подават </w:t>
      </w:r>
      <w:r w:rsidRPr="00C42D64">
        <w:rPr>
          <w:rFonts w:ascii="Times New Roman" w:eastAsia="Times New Roman" w:hAnsi="Times New Roman" w:cs="Times New Roman"/>
          <w:sz w:val="24"/>
          <w:szCs w:val="24"/>
          <w:lang w:eastAsia="bg-BG"/>
        </w:rPr>
        <w:t>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w:t>
      </w:r>
    </w:p>
    <w:p w14:paraId="374AD936" w14:textId="77777777" w:rsidR="004619B4" w:rsidRPr="004619B4"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p>
    <w:p w14:paraId="49904085" w14:textId="77777777" w:rsidR="00E2439F" w:rsidRPr="00422728" w:rsidRDefault="001B1012" w:rsidP="004524A5">
      <w:pPr>
        <w:pStyle w:val="2"/>
        <w:rPr>
          <w:sz w:val="24"/>
          <w:szCs w:val="24"/>
        </w:rPr>
      </w:pPr>
      <w:r w:rsidRPr="00422728">
        <w:rPr>
          <w:sz w:val="24"/>
          <w:szCs w:val="24"/>
        </w:rPr>
        <w:t>27</w:t>
      </w:r>
      <w:r w:rsidR="00E2439F" w:rsidRPr="00422728">
        <w:rPr>
          <w:sz w:val="24"/>
          <w:szCs w:val="24"/>
        </w:rPr>
        <w:t xml:space="preserve">.2 Процедура за сключване на Административен договор за </w:t>
      </w:r>
      <w:r w:rsidRPr="00422728">
        <w:rPr>
          <w:sz w:val="24"/>
          <w:szCs w:val="24"/>
        </w:rPr>
        <w:t xml:space="preserve">предоставяне на </w:t>
      </w:r>
      <w:r w:rsidR="00E2439F" w:rsidRPr="00422728">
        <w:rPr>
          <w:sz w:val="24"/>
          <w:szCs w:val="24"/>
        </w:rPr>
        <w:t>безвъзмездна финансова помощ</w:t>
      </w:r>
      <w:bookmarkEnd w:id="45"/>
    </w:p>
    <w:p w14:paraId="3E07FEF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изпраща 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Административен договор УО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114FC7">
        <w:rPr>
          <w:rFonts w:ascii="Times New Roman" w:hAnsi="Times New Roman" w:cs="Times New Roman"/>
          <w:color w:val="000000" w:themeColor="text1"/>
          <w:sz w:val="24"/>
          <w:szCs w:val="24"/>
        </w:rPr>
        <w:t>3</w:t>
      </w:r>
      <w:r w:rsidRPr="000A3DFA">
        <w:rPr>
          <w:rFonts w:ascii="Times New Roman" w:hAnsi="Times New Roman" w:cs="Times New Roman"/>
          <w:color w:val="000000" w:themeColor="text1"/>
          <w:sz w:val="24"/>
          <w:szCs w:val="24"/>
        </w:rPr>
        <w:t>0 дни, считано от датата на получаване на поканата.</w:t>
      </w:r>
    </w:p>
    <w:p w14:paraId="3DFC95C4" w14:textId="7B4965B2" w:rsidR="00EE268A" w:rsidRPr="00EE268A" w:rsidRDefault="00EE268A"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Документите изискани с поканата за подписване на Административен договор за безвъзмездна финансова помощ следва (когато това е посочено в поканата) да бъдат подписани с валиден КЕП от лицата с право да представляват кандидата и прикачени в ИСУН 2020. В този случай, следва документите (включително административния договор за предоставяне на безвъзмездна финансова помощ (Приложение 15 към Условията за изпълнение) да бъдат подписани с валиден КЕП на локалния компютър чрез </w:t>
      </w:r>
      <w:r>
        <w:rPr>
          <w:rFonts w:ascii="Times New Roman" w:hAnsi="Times New Roman" w:cs="Times New Roman"/>
          <w:color w:val="000000" w:themeColor="text1"/>
          <w:sz w:val="24"/>
          <w:szCs w:val="24"/>
          <w:lang w:val="en-US"/>
        </w:rPr>
        <w:t>attached</w:t>
      </w:r>
      <w:r w:rsidRPr="00A55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signature</w:t>
      </w:r>
      <w:r w:rsidRPr="00A55D5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файл и подпис в един документ. Детайлните указания по отношение на подписването с КЕП и прикачването на документите в ИСУН 2020 ще бъдат описани в поканата за подписване на административен договор за безвъзмездна финансова помощ.</w:t>
      </w:r>
    </w:p>
    <w:p w14:paraId="53CC281C" w14:textId="655AF270"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Административен договор за предоставяне на безвъзмездна финансова помощ УО </w:t>
      </w:r>
      <w:r w:rsidR="00687D09">
        <w:rPr>
          <w:rFonts w:ascii="Times New Roman" w:hAnsi="Times New Roman" w:cs="Times New Roman"/>
          <w:color w:val="000000" w:themeColor="text1"/>
          <w:sz w:val="24"/>
          <w:szCs w:val="24"/>
        </w:rPr>
        <w:t>н</w:t>
      </w:r>
      <w:r w:rsidRPr="000A3DFA">
        <w:rPr>
          <w:rFonts w:ascii="Times New Roman" w:hAnsi="Times New Roman" w:cs="Times New Roman"/>
          <w:color w:val="000000" w:themeColor="text1"/>
          <w:sz w:val="24"/>
          <w:szCs w:val="24"/>
        </w:rPr>
        <w:t>а ОПИК извършва проверка на:</w:t>
      </w:r>
    </w:p>
    <w:p w14:paraId="5A2B9BBA"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съответствие на кандидатите с изискванията на чл. 25, ал. 2 от ЗУСЕСИФ на основа на представените документи;</w:t>
      </w:r>
    </w:p>
    <w:p w14:paraId="56021B7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обстоятелството дали кандидатът е регистриран по реда на Търговския закон или Закона за кооперациите;</w:t>
      </w:r>
    </w:p>
    <w:p w14:paraId="29E394F8"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декларираната от одобрените кандидати категория на малко или средно предприятие;</w:t>
      </w:r>
    </w:p>
    <w:p w14:paraId="1AD6BC8C"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кандидатите за свързани предприятия, осъществяващи сходна дейност;</w:t>
      </w:r>
    </w:p>
    <w:p w14:paraId="3B0C0127"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дейностите, предложени от потенциалните бенефициенти на помощта с цел избягване на двойно финансиране.</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За извършване на проверката се използва:</w:t>
      </w:r>
    </w:p>
    <w:p w14:paraId="56951B2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 информацията от извършена справка за двойно финансиране в ИСУН 2020;</w:t>
      </w:r>
    </w:p>
    <w:p w14:paraId="313F3C73"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информацията, предоставена от кандидата в проектното предложение;</w:t>
      </w:r>
    </w:p>
    <w:p w14:paraId="61FED1BB"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в) при съмнение за непълна или невярна информация, предоставена от кандидата, се изпраща писмено искане до органа, сключил договор за финансиране на проект със същия кандидат относно предоставяне на допълнителна информация за характера на финансираните дейности;</w:t>
      </w:r>
    </w:p>
    <w:p w14:paraId="07C0D77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други способи, които по преценка на екипа по договаряне по процедурата са приложими за проверка за липса на двойно финансиране;</w:t>
      </w:r>
    </w:p>
    <w:p w14:paraId="0C17A7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допустимост на минималната помощ;</w:t>
      </w:r>
    </w:p>
    <w:p w14:paraId="0272A8B4" w14:textId="77777777" w:rsidR="00447CDB"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праговете за минимална помощ надхвърлят установените в акт на ЕС.</w:t>
      </w:r>
    </w:p>
    <w:p w14:paraId="5F2D894C"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7F2DC6">
        <w:rPr>
          <w:rFonts w:ascii="Times New Roman" w:eastAsia="Times New Roman" w:hAnsi="Times New Roman" w:cs="Times New Roman"/>
          <w:sz w:val="24"/>
          <w:szCs w:val="24"/>
          <w:lang w:eastAsia="bg-BG"/>
        </w:rPr>
        <w:t xml:space="preserve">УО на ОПИК  </w:t>
      </w:r>
      <w:r w:rsidRPr="009843D2">
        <w:rPr>
          <w:rFonts w:ascii="Times New Roman" w:eastAsia="Times New Roman" w:hAnsi="Times New Roman" w:cs="Times New Roman"/>
          <w:sz w:val="24"/>
          <w:szCs w:val="24"/>
          <w:lang w:eastAsia="bg-BG"/>
        </w:rPr>
        <w:t>извършва посочените проверки</w:t>
      </w:r>
      <w:r w:rsidRPr="007F2DC6">
        <w:rPr>
          <w:rFonts w:ascii="Times New Roman" w:eastAsia="Times New Roman" w:hAnsi="Times New Roman" w:cs="Times New Roman"/>
          <w:sz w:val="24"/>
          <w:szCs w:val="24"/>
          <w:lang w:eastAsia="bg-BG"/>
        </w:rPr>
        <w:t xml:space="preserve"> на основа на </w:t>
      </w:r>
      <w:r w:rsidRPr="00232B42">
        <w:rPr>
          <w:rFonts w:ascii="Times New Roman" w:eastAsia="Times New Roman" w:hAnsi="Times New Roman" w:cs="Times New Roman"/>
          <w:sz w:val="24"/>
          <w:szCs w:val="24"/>
          <w:lang w:eastAsia="bg-BG"/>
        </w:rPr>
        <w:t>електронно</w:t>
      </w:r>
      <w:r w:rsidRPr="007F2DC6">
        <w:rPr>
          <w:rFonts w:ascii="Times New Roman" w:eastAsia="Times New Roman" w:hAnsi="Times New Roman" w:cs="Times New Roman"/>
          <w:sz w:val="24"/>
          <w:szCs w:val="24"/>
          <w:lang w:eastAsia="bg-BG"/>
        </w:rPr>
        <w:t xml:space="preserve"> подадените</w:t>
      </w:r>
      <w:r w:rsidRPr="00232B42">
        <w:rPr>
          <w:rFonts w:ascii="Times New Roman" w:eastAsia="Times New Roman" w:hAnsi="Times New Roman" w:cs="Times New Roman"/>
          <w:sz w:val="24"/>
          <w:szCs w:val="24"/>
          <w:lang w:eastAsia="bg-BG"/>
        </w:rPr>
        <w:t xml:space="preserve"> на етап кандидатстване документи: </w:t>
      </w:r>
    </w:p>
    <w:p w14:paraId="70F90CA3"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че кандидатът е запознат с условията за кандидатстване и условията за изпълнение;</w:t>
      </w:r>
    </w:p>
    <w:p w14:paraId="1D66B5DD" w14:textId="4F3AE6A2"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по чл. 25, ал. 2 от Закона за управление на средствата от европейските структурни и инвестиционни фондове и чл. 7 от ПМС 162/2016;</w:t>
      </w:r>
    </w:p>
    <w:p w14:paraId="085BA173" w14:textId="13E3698B"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за минимални помощи;</w:t>
      </w:r>
    </w:p>
    <w:p w14:paraId="3D7AD18D" w14:textId="2C8B0C4F" w:rsidR="00CB4772" w:rsidRDefault="00CB4772" w:rsidP="009958CD">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за обстоятелствата по чл. 3 и чл. 4 от Закона за малките и средните предприятия;</w:t>
      </w:r>
      <w:r w:rsidRPr="00823F4C">
        <w:rPr>
          <w:rFonts w:ascii="Times New Roman" w:eastAsia="Times New Roman" w:hAnsi="Times New Roman" w:cs="Times New Roman"/>
          <w:sz w:val="24"/>
          <w:szCs w:val="24"/>
          <w:lang w:eastAsia="bg-BG"/>
        </w:rPr>
        <w:t xml:space="preserve"> </w:t>
      </w:r>
    </w:p>
    <w:p w14:paraId="2BC5D927" w14:textId="77777777" w:rsidR="00CB477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b/>
          <w:sz w:val="24"/>
          <w:szCs w:val="24"/>
          <w:lang w:eastAsia="bg-BG"/>
        </w:rPr>
      </w:pPr>
    </w:p>
    <w:p w14:paraId="60287938" w14:textId="77777777" w:rsidR="00CB4772" w:rsidRPr="00A12E9D"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ВАЖНО: </w:t>
      </w:r>
      <w:r w:rsidRPr="00A12E9D">
        <w:rPr>
          <w:rFonts w:ascii="Times New Roman" w:eastAsia="Times New Roman" w:hAnsi="Times New Roman" w:cs="Times New Roman"/>
          <w:sz w:val="24"/>
          <w:szCs w:val="24"/>
          <w:lang w:eastAsia="bg-BG"/>
        </w:rPr>
        <w:t>За обстоятелства, за които след датата на кандидатстване е настъпила промяна, декларацията, в която тези обстоятелства се декларират, се представя от кандидата датирана и подписана и на етап договаряне, на хартия, в оригинал.</w:t>
      </w:r>
    </w:p>
    <w:p w14:paraId="772BEA82" w14:textId="1E4FDBE0" w:rsidR="008B1C40" w:rsidRDefault="008B1C40"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r w:rsidRPr="008B1C40">
        <w:rPr>
          <w:rFonts w:ascii="Times New Roman" w:hAnsi="Times New Roman" w:cs="Times New Roman"/>
          <w:b/>
          <w:color w:val="000000" w:themeColor="text1"/>
          <w:sz w:val="24"/>
          <w:szCs w:val="24"/>
        </w:rPr>
        <w:t>ВАЖНО:</w:t>
      </w:r>
      <w:r w:rsidRPr="008B1C40">
        <w:rPr>
          <w:rFonts w:ascii="Times New Roman" w:hAnsi="Times New Roman" w:cs="Times New Roman"/>
          <w:i/>
          <w:color w:val="000000" w:themeColor="text1"/>
          <w:sz w:val="24"/>
          <w:szCs w:val="24"/>
        </w:rPr>
        <w:t xml:space="preserve"> </w:t>
      </w:r>
      <w:r w:rsidRPr="00A12E9D">
        <w:rPr>
          <w:rFonts w:ascii="Times New Roman" w:hAnsi="Times New Roman" w:cs="Times New Roman"/>
          <w:b/>
          <w:color w:val="000000" w:themeColor="text1"/>
          <w:sz w:val="24"/>
          <w:szCs w:val="24"/>
        </w:rPr>
        <w:t xml:space="preserve">В случай на електронно договаряне чрез ИСУН 2020 оригиналите  на подадените на етап кандидатстване документи: Пълномощно за подаване на проектното предложение с КЕП (в случай че е приложимо), Декларация за минимални помощи (Приложение </w:t>
      </w:r>
      <w:r w:rsidR="002D0964">
        <w:rPr>
          <w:rFonts w:ascii="Times New Roman" w:hAnsi="Times New Roman" w:cs="Times New Roman"/>
          <w:b/>
          <w:color w:val="000000" w:themeColor="text1"/>
          <w:sz w:val="24"/>
          <w:szCs w:val="24"/>
        </w:rPr>
        <w:t xml:space="preserve">12 </w:t>
      </w:r>
      <w:r w:rsidRPr="00A12E9D">
        <w:rPr>
          <w:rFonts w:ascii="Times New Roman" w:hAnsi="Times New Roman" w:cs="Times New Roman"/>
          <w:b/>
          <w:color w:val="000000" w:themeColor="text1"/>
          <w:sz w:val="24"/>
          <w:szCs w:val="24"/>
        </w:rPr>
        <w:t xml:space="preserve">към Условията за кандидатстване), Декларация за обстоятелствата по чл. 3 и чл. 4 от Закона за малките и средните предприятия (Приложение </w:t>
      </w:r>
      <w:r w:rsidR="002D0964">
        <w:rPr>
          <w:rFonts w:ascii="Times New Roman" w:hAnsi="Times New Roman" w:cs="Times New Roman"/>
          <w:b/>
          <w:color w:val="000000" w:themeColor="text1"/>
          <w:sz w:val="24"/>
          <w:szCs w:val="24"/>
        </w:rPr>
        <w:t xml:space="preserve">13 </w:t>
      </w:r>
      <w:r w:rsidRPr="00A12E9D">
        <w:rPr>
          <w:rFonts w:ascii="Times New Roman" w:hAnsi="Times New Roman" w:cs="Times New Roman"/>
          <w:b/>
          <w:color w:val="000000" w:themeColor="text1"/>
          <w:sz w:val="24"/>
          <w:szCs w:val="24"/>
        </w:rPr>
        <w:t xml:space="preserve">към Условията за кандидатстване), Декларация по чл. 25, ал. 2 от Закона за управление на средствата от европейските структурни и инвестиционни фондове и чл. 7 от ПМС 162/2016 г. (Приложение </w:t>
      </w:r>
      <w:r w:rsidR="002D0964">
        <w:rPr>
          <w:rFonts w:ascii="Times New Roman" w:hAnsi="Times New Roman" w:cs="Times New Roman"/>
          <w:b/>
          <w:color w:val="000000" w:themeColor="text1"/>
          <w:sz w:val="24"/>
          <w:szCs w:val="24"/>
        </w:rPr>
        <w:t xml:space="preserve">11 </w:t>
      </w:r>
      <w:r w:rsidRPr="00A12E9D">
        <w:rPr>
          <w:rFonts w:ascii="Times New Roman" w:hAnsi="Times New Roman" w:cs="Times New Roman"/>
          <w:b/>
          <w:color w:val="000000" w:themeColor="text1"/>
          <w:sz w:val="24"/>
          <w:szCs w:val="24"/>
        </w:rPr>
        <w:t xml:space="preserve">към Условията за кандидатстване), Декларация, че кандидатът е запознат с условията за кандидатстване и условията за изпълнение – (Приложение </w:t>
      </w:r>
      <w:r w:rsidR="002D0964">
        <w:rPr>
          <w:rFonts w:ascii="Times New Roman" w:hAnsi="Times New Roman" w:cs="Times New Roman"/>
          <w:b/>
          <w:color w:val="000000" w:themeColor="text1"/>
          <w:sz w:val="24"/>
          <w:szCs w:val="24"/>
        </w:rPr>
        <w:t>10</w:t>
      </w:r>
      <w:r w:rsidRPr="00A12E9D">
        <w:rPr>
          <w:rFonts w:ascii="Times New Roman" w:hAnsi="Times New Roman" w:cs="Times New Roman"/>
          <w:b/>
          <w:color w:val="000000" w:themeColor="text1"/>
          <w:sz w:val="24"/>
          <w:szCs w:val="24"/>
        </w:rPr>
        <w:t xml:space="preserve"> към Условията за кандидатстване) и друго приложимо, следва да се съхраняват от кандидата и да се предоставят при поискване или извършване на проверки, както от УО на ОПИК, така и от организациите по чл. 14.5 от Общите условия на АДБФП в сроковете по чл. 14.8 от Общите условия на АДБФП.</w:t>
      </w:r>
    </w:p>
    <w:p w14:paraId="70099B6B" w14:textId="77777777" w:rsidR="00984279" w:rsidRPr="00A12E9D" w:rsidRDefault="00984279"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p>
    <w:p w14:paraId="03BEB878" w14:textId="77777777" w:rsidR="007C60E2" w:rsidRPr="000A3DFA" w:rsidRDefault="00447CDB" w:rsidP="00447C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46B774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w:t>
      </w:r>
      <w:r w:rsidRPr="000A3DFA">
        <w:rPr>
          <w:rFonts w:ascii="Times New Roman" w:hAnsi="Times New Roman" w:cs="Times New Roman"/>
          <w:color w:val="000000" w:themeColor="text1"/>
          <w:sz w:val="24"/>
          <w:szCs w:val="24"/>
        </w:rPr>
        <w:lastRenderedPageBreak/>
        <w:t>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поредността на класирането в съответната категория предприятие, до изчерпване на общия наличен бюджет по процедурата.</w:t>
      </w:r>
    </w:p>
    <w:p w14:paraId="06EE66E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поредността на класирането в съответната категория предприятие, до изчерпване на наличния бюджет по процедурата.</w:t>
      </w:r>
    </w:p>
    <w:p w14:paraId="02EF59F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Уведомяването на всички кандидати се извършва само и единствено чрез ИСУН</w:t>
      </w:r>
      <w:r w:rsidR="004A2483">
        <w:rPr>
          <w:rFonts w:ascii="Times New Roman" w:hAnsi="Times New Roman" w:cs="Times New Roman"/>
          <w:color w:val="000000" w:themeColor="text1"/>
          <w:sz w:val="24"/>
          <w:szCs w:val="24"/>
        </w:rPr>
        <w:t xml:space="preserve"> 2020</w:t>
      </w:r>
      <w:r w:rsidRPr="000A3DFA">
        <w:rPr>
          <w:rFonts w:ascii="Times New Roman" w:hAnsi="Times New Roman" w:cs="Times New Roman"/>
          <w:color w:val="000000" w:themeColor="text1"/>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335AC6E6" w14:textId="77777777" w:rsidR="00C56ED7" w:rsidRDefault="00447CDB"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ОПИК и/или от бенефициентите на безвъзмездна финансова помощ по ОПИК, които при изпълнение на договор, сключен по проект финансиран от Европейския фонд за регионално развитие, предоставят невярна и/или подвеждаща информация за вписване в регистъра и проверка.</w:t>
      </w:r>
    </w:p>
    <w:p w14:paraId="3C8D368E" w14:textId="77777777" w:rsidR="00C56ED7" w:rsidRDefault="00C56ED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F924DF1" wp14:editId="0AC4F005">
                <wp:extent cx="5941060" cy="940700"/>
                <wp:effectExtent l="0" t="0" r="15240" b="10795"/>
                <wp:docPr id="42" name="Текстово поле 42"/>
                <wp:cNvGraphicFramePr/>
                <a:graphic xmlns:a="http://schemas.openxmlformats.org/drawingml/2006/main">
                  <a:graphicData uri="http://schemas.microsoft.com/office/word/2010/wordprocessingShape">
                    <wps:wsp>
                      <wps:cNvSpPr txBox="1"/>
                      <wps:spPr>
                        <a:xfrm>
                          <a:off x="0" y="0"/>
                          <a:ext cx="5941060" cy="940700"/>
                        </a:xfrm>
                        <a:prstGeom prst="rect">
                          <a:avLst/>
                        </a:prstGeom>
                        <a:solidFill>
                          <a:schemeClr val="bg1">
                            <a:lumMod val="85000"/>
                          </a:schemeClr>
                        </a:solidFill>
                        <a:ln w="6350">
                          <a:solidFill>
                            <a:prstClr val="black"/>
                          </a:solidFill>
                        </a:ln>
                        <a:effectLst/>
                      </wps:spPr>
                      <wps:txbx>
                        <w:txbxContent>
                          <w:p w14:paraId="0424F330" w14:textId="6AB09D0D" w:rsidR="005B4F08" w:rsidRPr="003F70CC" w:rsidRDefault="005B4F08"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924DF1" id="Текстово поле 42" o:spid="_x0000_s1057" type="#_x0000_t202" style="width:467.8pt;height:7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" fillcolor="#d8d8d8 [2732]" strokeweight=".5pt">
                <v:textbox style="mso-fit-shape-to-text:t">
                  <w:txbxContent>
                    <w:p w14:paraId="0424F330" w14:textId="6AB09D0D" w:rsidR="005B4F08" w:rsidRPr="003F70CC" w:rsidRDefault="005B4F08"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v:textbox>
                <w10:anchorlock/>
              </v:shape>
            </w:pict>
          </mc:Fallback>
        </mc:AlternateContent>
      </w:r>
    </w:p>
    <w:p w14:paraId="1072BDA1" w14:textId="77777777" w:rsidR="00E2439F" w:rsidRPr="004770DA" w:rsidRDefault="001B1012" w:rsidP="004524A5">
      <w:pPr>
        <w:pStyle w:val="1"/>
      </w:pPr>
      <w:bookmarkStart w:id="46" w:name="_Toc494709538"/>
      <w:r w:rsidRPr="004770DA">
        <w:t>28.</w:t>
      </w:r>
      <w:r w:rsidR="00E2439F" w:rsidRPr="004770DA">
        <w:t xml:space="preserve"> Приложения към Условията за кандидатстване</w:t>
      </w:r>
      <w:bookmarkEnd w:id="46"/>
    </w:p>
    <w:p w14:paraId="1CE18D60" w14:textId="77777777" w:rsidR="00CC0783" w:rsidRPr="000A3DFA" w:rsidRDefault="009203A2"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rPr>
        <w:t xml:space="preserve">1. </w:t>
      </w:r>
      <w:r w:rsidR="00E2439F" w:rsidRPr="009203A2">
        <w:rPr>
          <w:rFonts w:ascii="Times New Roman" w:hAnsi="Times New Roman" w:cs="Times New Roman"/>
          <w:b/>
          <w:i/>
          <w:color w:val="000000" w:themeColor="text1"/>
          <w:sz w:val="24"/>
          <w:szCs w:val="24"/>
          <w:u w:val="single"/>
        </w:rPr>
        <w:t>Списък с документи за информация на кандидатите</w:t>
      </w:r>
      <w:r w:rsidR="0027434A" w:rsidRPr="009203A2">
        <w:rPr>
          <w:rFonts w:ascii="Times New Roman" w:hAnsi="Times New Roman" w:cs="Times New Roman"/>
          <w:b/>
          <w:i/>
          <w:color w:val="000000" w:themeColor="text1"/>
          <w:sz w:val="24"/>
          <w:szCs w:val="24"/>
          <w:u w:val="single"/>
        </w:rPr>
        <w:t>:</w:t>
      </w:r>
    </w:p>
    <w:p w14:paraId="13F96515" w14:textId="77777777" w:rsidR="00214FDE" w:rsidRPr="00214FDE" w:rsidRDefault="00214FDE"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1A79BDC"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1</w:t>
      </w:r>
      <w:r w:rsidRPr="009203A2">
        <w:rPr>
          <w:rFonts w:ascii="Times New Roman" w:eastAsia="Calibri" w:hAnsi="Times New Roman" w:cs="Times New Roman"/>
          <w:color w:val="000000" w:themeColor="text1"/>
          <w:sz w:val="24"/>
          <w:szCs w:val="24"/>
        </w:rPr>
        <w:t xml:space="preserve"> Указания за попълване на електронен формуляр за кандидатстване</w:t>
      </w:r>
      <w:r w:rsidR="00394564" w:rsidRPr="00A55D5B">
        <w:rPr>
          <w:rFonts w:ascii="Times New Roman" w:eastAsia="Calibri" w:hAnsi="Times New Roman" w:cs="Times New Roman"/>
          <w:color w:val="000000" w:themeColor="text1"/>
          <w:sz w:val="24"/>
          <w:szCs w:val="24"/>
        </w:rPr>
        <w:t>;</w:t>
      </w:r>
    </w:p>
    <w:p w14:paraId="761340D4"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2</w:t>
      </w:r>
      <w:r w:rsidRPr="009203A2">
        <w:rPr>
          <w:rFonts w:ascii="Times New Roman" w:eastAsia="Calibri" w:hAnsi="Times New Roman" w:cs="Times New Roman"/>
          <w:color w:val="000000" w:themeColor="text1"/>
          <w:sz w:val="24"/>
          <w:szCs w:val="24"/>
        </w:rPr>
        <w:t xml:space="preserve"> </w:t>
      </w:r>
      <w:r w:rsidRPr="009203A2">
        <w:rPr>
          <w:rFonts w:ascii="Times New Roman" w:hAnsi="Times New Roman" w:cs="Times New Roman"/>
          <w:color w:val="000000" w:themeColor="text1"/>
          <w:sz w:val="24"/>
          <w:szCs w:val="24"/>
        </w:rPr>
        <w:t xml:space="preserve">Приложение I към Договора за </w:t>
      </w:r>
      <w:r w:rsidR="00394564">
        <w:rPr>
          <w:rFonts w:ascii="Times New Roman" w:hAnsi="Times New Roman" w:cs="Times New Roman"/>
          <w:color w:val="000000" w:themeColor="text1"/>
          <w:sz w:val="24"/>
          <w:szCs w:val="24"/>
        </w:rPr>
        <w:t>функциониране на Европейския съюз</w:t>
      </w:r>
      <w:r w:rsidR="00394564" w:rsidRPr="00A55D5B">
        <w:rPr>
          <w:rFonts w:ascii="Times New Roman" w:hAnsi="Times New Roman" w:cs="Times New Roman"/>
          <w:color w:val="000000" w:themeColor="text1"/>
          <w:sz w:val="24"/>
          <w:szCs w:val="24"/>
        </w:rPr>
        <w:t>;</w:t>
      </w:r>
    </w:p>
    <w:p w14:paraId="5BAAF329"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3 </w:t>
      </w:r>
      <w:r>
        <w:rPr>
          <w:rFonts w:ascii="Times New Roman" w:eastAsia="Calibri" w:hAnsi="Times New Roman" w:cs="Times New Roman"/>
          <w:color w:val="000000" w:themeColor="text1"/>
          <w:sz w:val="24"/>
          <w:szCs w:val="24"/>
        </w:rPr>
        <w:t>Списък на общините в обхвата на селските райони на Република България</w:t>
      </w:r>
      <w:r w:rsidR="00DF5F1D">
        <w:rPr>
          <w:rFonts w:ascii="Times New Roman" w:eastAsia="Calibri" w:hAnsi="Times New Roman" w:cs="Times New Roman"/>
          <w:color w:val="000000" w:themeColor="text1"/>
          <w:sz w:val="24"/>
          <w:szCs w:val="24"/>
        </w:rPr>
        <w:t>;</w:t>
      </w:r>
    </w:p>
    <w:p w14:paraId="483F4655"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4 </w:t>
      </w:r>
      <w:r w:rsidRPr="000A3DFA">
        <w:rPr>
          <w:rFonts w:ascii="Times New Roman" w:eastAsia="Calibri" w:hAnsi="Times New Roman" w:cs="Times New Roman"/>
          <w:color w:val="000000" w:themeColor="text1"/>
          <w:sz w:val="24"/>
          <w:szCs w:val="24"/>
        </w:rPr>
        <w:t>Класификация на икономическите дейности /КИД - 2008/</w:t>
      </w:r>
      <w:r w:rsidR="00DF5F1D">
        <w:rPr>
          <w:rFonts w:ascii="Times New Roman" w:eastAsia="Calibri" w:hAnsi="Times New Roman" w:cs="Times New Roman"/>
          <w:color w:val="000000" w:themeColor="text1"/>
          <w:sz w:val="24"/>
          <w:szCs w:val="24"/>
        </w:rPr>
        <w:t>;</w:t>
      </w:r>
    </w:p>
    <w:p w14:paraId="3E7A0DEF"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5 </w:t>
      </w:r>
      <w:r w:rsidRPr="000A3DFA">
        <w:rPr>
          <w:rFonts w:ascii="Times New Roman" w:eastAsia="Calibri" w:hAnsi="Times New Roman" w:cs="Times New Roman"/>
          <w:color w:val="000000" w:themeColor="text1"/>
          <w:sz w:val="24"/>
          <w:szCs w:val="24"/>
        </w:rPr>
        <w:t>Използвани съкращения и основни дефиниции</w:t>
      </w:r>
      <w:r w:rsidR="00DF5F1D">
        <w:rPr>
          <w:rFonts w:ascii="Times New Roman" w:eastAsia="Calibri" w:hAnsi="Times New Roman" w:cs="Times New Roman"/>
          <w:color w:val="000000" w:themeColor="text1"/>
          <w:sz w:val="24"/>
          <w:szCs w:val="24"/>
        </w:rPr>
        <w:t>;</w:t>
      </w:r>
    </w:p>
    <w:p w14:paraId="6B75689B"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6 </w:t>
      </w:r>
      <w:r>
        <w:rPr>
          <w:rFonts w:ascii="Times New Roman" w:hAnsi="Times New Roman" w:cs="Times New Roman"/>
          <w:color w:val="000000" w:themeColor="text1"/>
          <w:sz w:val="24"/>
          <w:szCs w:val="24"/>
        </w:rPr>
        <w:t>Указание на Министъра на финансите за третиране на ДДС</w:t>
      </w:r>
      <w:r w:rsidR="00DF5F1D">
        <w:rPr>
          <w:rFonts w:ascii="Times New Roman" w:hAnsi="Times New Roman" w:cs="Times New Roman"/>
          <w:color w:val="000000" w:themeColor="text1"/>
          <w:sz w:val="24"/>
          <w:szCs w:val="24"/>
        </w:rPr>
        <w:t>;</w:t>
      </w:r>
    </w:p>
    <w:p w14:paraId="123AF9E6" w14:textId="77777777" w:rsidR="009203A2" w:rsidRPr="003E617A"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7 </w:t>
      </w:r>
      <w:r w:rsidRPr="000A3DFA">
        <w:rPr>
          <w:rFonts w:ascii="Times New Roman" w:eastAsia="Calibri" w:hAnsi="Times New Roman" w:cs="Times New Roman"/>
          <w:color w:val="000000" w:themeColor="text1"/>
          <w:sz w:val="24"/>
          <w:szCs w:val="24"/>
        </w:rPr>
        <w:t>Критерии и методология за оценка на проектни предложения</w:t>
      </w:r>
      <w:r w:rsidR="00DF5F1D">
        <w:rPr>
          <w:rFonts w:ascii="Times New Roman" w:eastAsia="Calibri" w:hAnsi="Times New Roman" w:cs="Times New Roman"/>
          <w:color w:val="000000" w:themeColor="text1"/>
          <w:sz w:val="24"/>
          <w:szCs w:val="24"/>
        </w:rPr>
        <w:t>;</w:t>
      </w:r>
    </w:p>
    <w:p w14:paraId="35CA6C01" w14:textId="78FAAFAE" w:rsidR="003E617A" w:rsidRPr="009203A2" w:rsidRDefault="00C36889"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sidRPr="009F4EC7">
        <w:rPr>
          <w:rFonts w:ascii="Times New Roman" w:eastAsia="Calibri" w:hAnsi="Times New Roman" w:cs="Times New Roman"/>
          <w:color w:val="000000" w:themeColor="text1"/>
          <w:sz w:val="24"/>
          <w:szCs w:val="24"/>
        </w:rPr>
        <w:t xml:space="preserve"> </w:t>
      </w:r>
      <w:r w:rsidR="003E617A" w:rsidRPr="00C36889">
        <w:rPr>
          <w:rFonts w:ascii="Times New Roman" w:eastAsia="Calibri" w:hAnsi="Times New Roman" w:cs="Times New Roman"/>
          <w:b/>
          <w:i/>
          <w:color w:val="000000" w:themeColor="text1"/>
          <w:sz w:val="24"/>
          <w:szCs w:val="24"/>
        </w:rPr>
        <w:t>Приложение № 8</w:t>
      </w:r>
      <w:r w:rsidR="003E617A">
        <w:rPr>
          <w:rFonts w:ascii="Times New Roman" w:eastAsia="Calibri" w:hAnsi="Times New Roman" w:cs="Times New Roman"/>
          <w:color w:val="000000" w:themeColor="text1"/>
          <w:sz w:val="24"/>
          <w:szCs w:val="24"/>
        </w:rPr>
        <w:t xml:space="preserve"> </w:t>
      </w:r>
      <w:r w:rsidR="003E617A">
        <w:rPr>
          <w:rFonts w:ascii="Times New Roman" w:eastAsia="Calibri" w:hAnsi="Times New Roman" w:cs="Times New Roman"/>
          <w:color w:val="000000" w:themeColor="text1"/>
          <w:sz w:val="24"/>
          <w:szCs w:val="24"/>
          <w:lang w:val="en-US"/>
        </w:rPr>
        <w:t>ISIS 2019</w:t>
      </w:r>
    </w:p>
    <w:p w14:paraId="7B919C21" w14:textId="77777777" w:rsidR="00E2439F" w:rsidRPr="000A3DFA" w:rsidRDefault="00E2439F" w:rsidP="00E2439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C1FAB4E" w14:textId="77777777" w:rsidR="0027434A" w:rsidRPr="009203A2" w:rsidRDefault="0027434A" w:rsidP="009203A2">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u w:val="single"/>
        </w:rPr>
        <w:t>Списък с документи за попълване:</w:t>
      </w:r>
    </w:p>
    <w:p w14:paraId="05FB98FF" w14:textId="77777777" w:rsidR="008E21FE" w:rsidRDefault="008E21FE" w:rsidP="00D636F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02910F5"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8 </w:t>
      </w:r>
      <w:r w:rsidRPr="000A3DFA">
        <w:rPr>
          <w:rFonts w:ascii="Times New Roman" w:eastAsia="Calibri" w:hAnsi="Times New Roman" w:cs="Times New Roman"/>
          <w:color w:val="000000" w:themeColor="text1"/>
          <w:sz w:val="24"/>
          <w:szCs w:val="24"/>
        </w:rPr>
        <w:t>Техническа спецификация на предвидените за закупуване ДМА и ДНА</w:t>
      </w:r>
      <w:r w:rsidR="00DF5F1D">
        <w:rPr>
          <w:rFonts w:ascii="Times New Roman" w:eastAsia="Calibri" w:hAnsi="Times New Roman" w:cs="Times New Roman"/>
          <w:color w:val="000000" w:themeColor="text1"/>
          <w:sz w:val="24"/>
          <w:szCs w:val="24"/>
        </w:rPr>
        <w:t>;</w:t>
      </w:r>
    </w:p>
    <w:p w14:paraId="627C41D2"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9 </w:t>
      </w:r>
      <w:r w:rsidRPr="000A3DFA">
        <w:rPr>
          <w:rFonts w:ascii="Times New Roman" w:hAnsi="Times New Roman" w:cs="Times New Roman"/>
          <w:color w:val="000000" w:themeColor="text1"/>
          <w:sz w:val="24"/>
          <w:szCs w:val="24"/>
        </w:rPr>
        <w:t>Бизнес план</w:t>
      </w:r>
      <w:r w:rsidR="00DF5F1D">
        <w:rPr>
          <w:rFonts w:ascii="Times New Roman" w:hAnsi="Times New Roman" w:cs="Times New Roman"/>
          <w:color w:val="000000" w:themeColor="text1"/>
          <w:sz w:val="24"/>
          <w:szCs w:val="24"/>
        </w:rPr>
        <w:t>;</w:t>
      </w:r>
    </w:p>
    <w:p w14:paraId="53F605AE"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10 </w:t>
      </w:r>
      <w:r w:rsidRPr="000A3DFA">
        <w:rPr>
          <w:rFonts w:ascii="Times New Roman" w:hAnsi="Times New Roman" w:cs="Times New Roman"/>
          <w:color w:val="000000" w:themeColor="text1"/>
          <w:sz w:val="24"/>
          <w:szCs w:val="24"/>
        </w:rPr>
        <w:t>Декларация, че кандидатът е запознат с Условията за кандидатстване и Условията за изпълнение на проектите</w:t>
      </w:r>
      <w:r w:rsidR="00DF5F1D">
        <w:rPr>
          <w:rFonts w:ascii="Times New Roman" w:hAnsi="Times New Roman" w:cs="Times New Roman"/>
          <w:color w:val="000000" w:themeColor="text1"/>
          <w:sz w:val="24"/>
          <w:szCs w:val="24"/>
        </w:rPr>
        <w:t>;</w:t>
      </w:r>
    </w:p>
    <w:p w14:paraId="2044CFBC" w14:textId="54D6656B"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11 </w:t>
      </w:r>
      <w:r w:rsidRPr="000A3DFA">
        <w:rPr>
          <w:rFonts w:ascii="Times New Roman" w:hAnsi="Times New Roman" w:cs="Times New Roman"/>
          <w:color w:val="000000" w:themeColor="text1"/>
          <w:sz w:val="24"/>
          <w:szCs w:val="24"/>
        </w:rPr>
        <w:t>Декларация по чл. 25, ал. 2 от Закона за управление на средствата от европейските структурни и инвестиционни фондове и чл. 7 от ПМС 162/2016 г.</w:t>
      </w:r>
      <w:r w:rsidR="00DF5F1D">
        <w:rPr>
          <w:rFonts w:ascii="Times New Roman" w:hAnsi="Times New Roman" w:cs="Times New Roman"/>
          <w:color w:val="000000" w:themeColor="text1"/>
          <w:sz w:val="24"/>
          <w:szCs w:val="24"/>
        </w:rPr>
        <w:t>;</w:t>
      </w:r>
    </w:p>
    <w:p w14:paraId="0AE22BE1" w14:textId="6C7D0FC1" w:rsidR="00D636F2"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12 </w:t>
      </w:r>
      <w:r w:rsidR="00D636F2" w:rsidRPr="008E21FE">
        <w:rPr>
          <w:rFonts w:ascii="Times New Roman" w:hAnsi="Times New Roman" w:cs="Times New Roman"/>
          <w:color w:val="000000" w:themeColor="text1"/>
          <w:sz w:val="24"/>
          <w:szCs w:val="24"/>
        </w:rPr>
        <w:t xml:space="preserve">Декларация за </w:t>
      </w:r>
      <w:r w:rsidR="00096F27">
        <w:rPr>
          <w:rFonts w:ascii="Times New Roman" w:hAnsi="Times New Roman" w:cs="Times New Roman"/>
          <w:color w:val="000000" w:themeColor="text1"/>
          <w:sz w:val="24"/>
          <w:szCs w:val="24"/>
        </w:rPr>
        <w:t>държавни/</w:t>
      </w:r>
      <w:r w:rsidR="00D636F2" w:rsidRPr="008E21FE">
        <w:rPr>
          <w:rFonts w:ascii="Times New Roman" w:hAnsi="Times New Roman" w:cs="Times New Roman"/>
          <w:color w:val="000000" w:themeColor="text1"/>
          <w:sz w:val="24"/>
          <w:szCs w:val="24"/>
        </w:rPr>
        <w:t>минимални</w:t>
      </w:r>
      <w:r w:rsidR="006324F4">
        <w:rPr>
          <w:rFonts w:ascii="Times New Roman" w:hAnsi="Times New Roman" w:cs="Times New Roman"/>
          <w:color w:val="000000" w:themeColor="text1"/>
          <w:sz w:val="24"/>
          <w:szCs w:val="24"/>
        </w:rPr>
        <w:t xml:space="preserve"> </w:t>
      </w:r>
      <w:r w:rsidR="00D636F2" w:rsidRPr="008E21FE">
        <w:rPr>
          <w:rFonts w:ascii="Times New Roman" w:hAnsi="Times New Roman" w:cs="Times New Roman"/>
          <w:color w:val="000000" w:themeColor="text1"/>
          <w:sz w:val="24"/>
          <w:szCs w:val="24"/>
        </w:rPr>
        <w:t>помощи</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21B9FC48" w14:textId="77777777" w:rsidR="00D636F2" w:rsidRPr="008E21FE" w:rsidRDefault="008E21FE" w:rsidP="00D636F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13 </w:t>
      </w:r>
      <w:r w:rsidR="00D636F2" w:rsidRPr="008E21FE">
        <w:rPr>
          <w:rFonts w:ascii="Times New Roman" w:hAnsi="Times New Roman" w:cs="Times New Roman"/>
          <w:color w:val="000000" w:themeColor="text1"/>
          <w:sz w:val="24"/>
          <w:szCs w:val="24"/>
        </w:rPr>
        <w:t>Декларация за обстоятелствата по чл. 3 и чл. 4 от Закона за малките и средните предприятия</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771009B4" w14:textId="77777777" w:rsidR="00891632" w:rsidRDefault="00891632" w:rsidP="0027434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3D513D65" w14:textId="77777777" w:rsidR="00891632" w:rsidRPr="007B16E5" w:rsidRDefault="00891632" w:rsidP="008E21FE">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7B16E5">
        <w:rPr>
          <w:rFonts w:ascii="Times New Roman" w:hAnsi="Times New Roman" w:cs="Times New Roman"/>
          <w:b/>
          <w:i/>
          <w:color w:val="000000" w:themeColor="text1"/>
          <w:sz w:val="24"/>
          <w:szCs w:val="24"/>
          <w:u w:val="single"/>
        </w:rPr>
        <w:t>Списък с документи към условията за изпълнение:</w:t>
      </w:r>
    </w:p>
    <w:p w14:paraId="70AD2108" w14:textId="77777777" w:rsidR="008E21FE" w:rsidRPr="007B16E5" w:rsidRDefault="008E21FE" w:rsidP="0089163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p>
    <w:p w14:paraId="3CD92BD7" w14:textId="77777777" w:rsidR="00375494"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 xml:space="preserve">Приложение № 14 </w:t>
      </w:r>
      <w:r w:rsidR="00375494" w:rsidRPr="00C87442">
        <w:rPr>
          <w:rFonts w:ascii="Times New Roman" w:eastAsia="Calibri" w:hAnsi="Times New Roman" w:cs="Times New Roman"/>
          <w:color w:val="000000"/>
          <w:sz w:val="24"/>
          <w:szCs w:val="24"/>
        </w:rPr>
        <w:t>Декларация за съгласие данните на кандидата да бъдат предоставени от НСИ</w:t>
      </w:r>
      <w:r w:rsidR="00375494">
        <w:rPr>
          <w:rFonts w:ascii="Times New Roman" w:eastAsia="Calibri" w:hAnsi="Times New Roman" w:cs="Times New Roman"/>
          <w:color w:val="000000"/>
          <w:sz w:val="24"/>
          <w:szCs w:val="24"/>
        </w:rPr>
        <w:t xml:space="preserve"> на УО на ОПИК по служебен път</w:t>
      </w:r>
      <w:r w:rsidR="00375494" w:rsidRPr="00A55D5B">
        <w:rPr>
          <w:rFonts w:ascii="Times New Roman" w:eastAsia="Calibri" w:hAnsi="Times New Roman" w:cs="Times New Roman"/>
          <w:color w:val="000000"/>
          <w:sz w:val="24"/>
          <w:szCs w:val="24"/>
        </w:rPr>
        <w:t>;</w:t>
      </w:r>
    </w:p>
    <w:p w14:paraId="72739B5D" w14:textId="77777777" w:rsidR="008E21FE"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375494">
        <w:rPr>
          <w:rFonts w:ascii="Times New Roman" w:eastAsia="Calibri" w:hAnsi="Times New Roman" w:cs="Times New Roman"/>
          <w:b/>
          <w:i/>
          <w:color w:val="000000" w:themeColor="text1"/>
          <w:sz w:val="24"/>
          <w:szCs w:val="24"/>
        </w:rPr>
        <w:t>Приложение № 15</w:t>
      </w:r>
      <w:r w:rsidR="00010FAD" w:rsidRPr="00375494">
        <w:rPr>
          <w:rFonts w:ascii="Times New Roman" w:eastAsia="Calibri" w:hAnsi="Times New Roman" w:cs="Times New Roman"/>
          <w:b/>
          <w:i/>
          <w:color w:val="000000" w:themeColor="text1"/>
          <w:sz w:val="24"/>
          <w:szCs w:val="24"/>
        </w:rPr>
        <w:t xml:space="preserve"> </w:t>
      </w:r>
      <w:r w:rsidR="00375494" w:rsidRPr="00375494">
        <w:rPr>
          <w:rFonts w:ascii="Times New Roman" w:eastAsia="Calibri" w:hAnsi="Times New Roman" w:cs="Times New Roman"/>
          <w:color w:val="000000"/>
          <w:sz w:val="24"/>
          <w:szCs w:val="24"/>
        </w:rPr>
        <w:t>Административен договор за предоставяне на безвъзмездна финансова помощ по ОПИК;</w:t>
      </w:r>
    </w:p>
    <w:p w14:paraId="581C2AD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16</w:t>
      </w:r>
      <w:r w:rsidR="00A50F56" w:rsidRPr="007B16E5">
        <w:rPr>
          <w:rFonts w:ascii="Times New Roman" w:eastAsia="Calibri" w:hAnsi="Times New Roman" w:cs="Times New Roman"/>
          <w:b/>
          <w:i/>
          <w:color w:val="000000" w:themeColor="text1"/>
          <w:sz w:val="24"/>
          <w:szCs w:val="24"/>
        </w:rPr>
        <w:t xml:space="preserve"> </w:t>
      </w:r>
      <w:r w:rsidR="00375494" w:rsidRPr="00C87442">
        <w:rPr>
          <w:rFonts w:ascii="Times New Roman" w:eastAsia="Calibri" w:hAnsi="Times New Roman" w:cs="Times New Roman"/>
          <w:color w:val="000000"/>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w:t>
      </w:r>
      <w:r w:rsidR="00375494">
        <w:rPr>
          <w:rFonts w:ascii="Times New Roman" w:eastAsia="Calibri" w:hAnsi="Times New Roman" w:cs="Times New Roman"/>
          <w:color w:val="000000"/>
          <w:sz w:val="24"/>
          <w:szCs w:val="24"/>
        </w:rPr>
        <w:t>а безвъзмездна финансова помощ</w:t>
      </w:r>
      <w:r w:rsidR="00316273" w:rsidRPr="00A55D5B">
        <w:rPr>
          <w:rFonts w:ascii="Times New Roman" w:eastAsia="Calibri" w:hAnsi="Times New Roman" w:cs="Times New Roman"/>
          <w:color w:val="000000"/>
          <w:sz w:val="24"/>
          <w:szCs w:val="24"/>
        </w:rPr>
        <w:t>;</w:t>
      </w:r>
    </w:p>
    <w:p w14:paraId="4BA4048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Приложение № 17</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Декларация за нередности</w:t>
      </w:r>
      <w:r w:rsidR="00316273">
        <w:rPr>
          <w:rFonts w:ascii="Times New Roman" w:eastAsia="Calibri" w:hAnsi="Times New Roman" w:cs="Times New Roman"/>
          <w:color w:val="000000" w:themeColor="text1"/>
          <w:sz w:val="24"/>
          <w:szCs w:val="24"/>
          <w:lang w:val="en-US"/>
        </w:rPr>
        <w:t>;</w:t>
      </w:r>
    </w:p>
    <w:p w14:paraId="6E4E45AB"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18</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Банкова гаранция</w:t>
      </w:r>
      <w:r w:rsidR="00316273">
        <w:rPr>
          <w:rFonts w:ascii="Times New Roman" w:eastAsia="Calibri" w:hAnsi="Times New Roman" w:cs="Times New Roman"/>
          <w:color w:val="000000" w:themeColor="text1"/>
          <w:sz w:val="24"/>
          <w:szCs w:val="24"/>
          <w:lang w:val="en-US"/>
        </w:rPr>
        <w:t>;</w:t>
      </w:r>
    </w:p>
    <w:p w14:paraId="4BD3ABC7"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19</w:t>
      </w:r>
      <w:r w:rsidR="00A50F56"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ръководител на бенефициента до ИСУН 2020</w:t>
      </w:r>
      <w:r w:rsidR="00316273" w:rsidRPr="00A55D5B">
        <w:rPr>
          <w:rFonts w:ascii="Times New Roman" w:hAnsi="Times New Roman" w:cs="Times New Roman"/>
          <w:color w:val="000000" w:themeColor="text1"/>
          <w:sz w:val="24"/>
          <w:szCs w:val="24"/>
        </w:rPr>
        <w:t>;</w:t>
      </w:r>
    </w:p>
    <w:p w14:paraId="1271D879"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20</w:t>
      </w:r>
      <w:r w:rsidR="00D4253A"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упълномощени от бенефициента лица до ИСУН 2020</w:t>
      </w:r>
      <w:r w:rsidR="00316273" w:rsidRPr="00A55D5B">
        <w:rPr>
          <w:rFonts w:ascii="Times New Roman" w:hAnsi="Times New Roman" w:cs="Times New Roman"/>
          <w:color w:val="000000" w:themeColor="text1"/>
          <w:sz w:val="24"/>
          <w:szCs w:val="24"/>
        </w:rPr>
        <w:t>.</w:t>
      </w:r>
    </w:p>
    <w:p w14:paraId="3978C51C" w14:textId="77777777" w:rsidR="00E2439F" w:rsidRPr="000A3DFA" w:rsidRDefault="00E2439F" w:rsidP="00F26FF5">
      <w:pPr>
        <w:pStyle w:val="3"/>
        <w:spacing w:before="0" w:line="276" w:lineRule="auto"/>
        <w:rPr>
          <w:rFonts w:ascii="Times New Roman" w:hAnsi="Times New Roman" w:cs="Times New Roman"/>
          <w:color w:val="000000" w:themeColor="text1"/>
          <w:sz w:val="24"/>
          <w:szCs w:val="24"/>
        </w:rPr>
      </w:pPr>
    </w:p>
    <w:sectPr w:rsidR="00E2439F" w:rsidRPr="000A3DFA" w:rsidSect="004A58E5">
      <w:headerReference w:type="default" r:id="rId13"/>
      <w:footerReference w:type="default" r:id="rId14"/>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80A7" w14:textId="77777777" w:rsidR="00BD6255" w:rsidRDefault="00BD6255" w:rsidP="002325A3">
      <w:pPr>
        <w:spacing w:after="0" w:line="240" w:lineRule="auto"/>
      </w:pPr>
      <w:r>
        <w:separator/>
      </w:r>
    </w:p>
  </w:endnote>
  <w:endnote w:type="continuationSeparator" w:id="0">
    <w:p w14:paraId="1528AF6E" w14:textId="77777777" w:rsidR="00BD6255" w:rsidRDefault="00BD6255"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5414"/>
      <w:docPartObj>
        <w:docPartGallery w:val="Page Numbers (Bottom of Page)"/>
        <w:docPartUnique/>
      </w:docPartObj>
    </w:sdtPr>
    <w:sdtEndPr/>
    <w:sdtContent>
      <w:p w14:paraId="1EDC1DBF" w14:textId="11B4FF87" w:rsidR="005B4F08" w:rsidRDefault="005B4F08">
        <w:pPr>
          <w:pStyle w:val="ad"/>
          <w:jc w:val="right"/>
        </w:pPr>
        <w:r>
          <w:fldChar w:fldCharType="begin"/>
        </w:r>
        <w:r>
          <w:instrText>PAGE   \* MERGEFORMAT</w:instrText>
        </w:r>
        <w:r>
          <w:fldChar w:fldCharType="separate"/>
        </w:r>
        <w:r w:rsidR="00937783">
          <w:rPr>
            <w:noProof/>
          </w:rPr>
          <w:t>37</w:t>
        </w:r>
        <w:r>
          <w:fldChar w:fldCharType="end"/>
        </w:r>
      </w:p>
    </w:sdtContent>
  </w:sdt>
  <w:p w14:paraId="7D6DEE24" w14:textId="77777777" w:rsidR="005B4F08" w:rsidRDefault="005B4F0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3BB4" w14:textId="77777777" w:rsidR="00BD6255" w:rsidRDefault="00BD6255" w:rsidP="002325A3">
      <w:pPr>
        <w:spacing w:after="0" w:line="240" w:lineRule="auto"/>
      </w:pPr>
      <w:r>
        <w:separator/>
      </w:r>
    </w:p>
  </w:footnote>
  <w:footnote w:type="continuationSeparator" w:id="0">
    <w:p w14:paraId="347AC955" w14:textId="77777777" w:rsidR="00BD6255" w:rsidRDefault="00BD6255" w:rsidP="002325A3">
      <w:pPr>
        <w:spacing w:after="0" w:line="240" w:lineRule="auto"/>
      </w:pPr>
      <w:r>
        <w:continuationSeparator/>
      </w:r>
    </w:p>
  </w:footnote>
  <w:footnote w:id="1">
    <w:p w14:paraId="0146CBAE" w14:textId="77777777" w:rsidR="005B4F08" w:rsidRPr="00A2152F" w:rsidRDefault="005B4F08">
      <w:pPr>
        <w:pStyle w:val="a6"/>
        <w:rPr>
          <w:rFonts w:ascii="Times New Roman" w:hAnsi="Times New Roman" w:cs="Times New Roman"/>
        </w:rPr>
      </w:pPr>
      <w:r>
        <w:rPr>
          <w:rStyle w:val="a8"/>
        </w:rPr>
        <w:footnoteRef/>
      </w:r>
      <w:r>
        <w:t xml:space="preserve"> </w:t>
      </w:r>
      <w:r w:rsidRPr="00A2152F">
        <w:rPr>
          <w:rFonts w:ascii="Times New Roman" w:hAnsi="Times New Roman" w:cs="Times New Roman"/>
        </w:rPr>
        <w:t xml:space="preserve">Моля, запознайте се с използваните съкращения и основни дефиниции по процедурата (Приложение </w:t>
      </w:r>
      <w:r>
        <w:rPr>
          <w:rFonts w:ascii="Times New Roman" w:hAnsi="Times New Roman" w:cs="Times New Roman"/>
        </w:rPr>
        <w:t>5</w:t>
      </w:r>
      <w:r w:rsidRPr="00A2152F">
        <w:rPr>
          <w:rFonts w:ascii="Times New Roman" w:hAnsi="Times New Roman" w:cs="Times New Roman"/>
        </w:rPr>
        <w:t>).</w:t>
      </w:r>
    </w:p>
  </w:footnote>
  <w:footnote w:id="2">
    <w:p w14:paraId="1FB191E7" w14:textId="34F53251" w:rsidR="005B4F08" w:rsidRDefault="005B4F08">
      <w:pPr>
        <w:pStyle w:val="a6"/>
      </w:pPr>
      <w:r>
        <w:rPr>
          <w:rStyle w:val="a8"/>
        </w:rPr>
        <w:footnoteRef/>
      </w:r>
      <w:r>
        <w:t xml:space="preserve"> </w:t>
      </w:r>
      <w:r w:rsidRPr="000C27C2">
        <w:t>По смисъла на чл. 2, пар. 2 от Регламент (ЕС) № 1407/2013 на Комисията.</w:t>
      </w:r>
    </w:p>
  </w:footnote>
  <w:footnote w:id="3">
    <w:p w14:paraId="14008F6E" w14:textId="77777777" w:rsidR="005B4F08" w:rsidRDefault="005B4F08">
      <w:pPr>
        <w:pStyle w:val="a6"/>
      </w:pPr>
      <w:r>
        <w:rPr>
          <w:rStyle w:val="a8"/>
        </w:rPr>
        <w:footnoteRef/>
      </w:r>
      <w:r>
        <w:t xml:space="preserve"> </w:t>
      </w:r>
      <w:r w:rsidRPr="00080925">
        <w:rPr>
          <w:rFonts w:ascii="Times New Roman" w:hAnsi="Times New Roman" w:cs="Times New Roman"/>
        </w:rPr>
        <w:t>Проектите, реализирани в тематичната област, следва да са в съобразени с демаркацията с ПРСР и ОПМДР и ограниченията за предприятията от секторите на рибарството и аквакултурите, първично производство на селскостопански продукти, преработката и продажбата на селскостопански продукти</w:t>
      </w:r>
    </w:p>
  </w:footnote>
  <w:footnote w:id="4">
    <w:p w14:paraId="748B31CC" w14:textId="77777777" w:rsidR="005B4F08" w:rsidRDefault="005B4F08" w:rsidP="0024084B">
      <w:pPr>
        <w:pStyle w:val="a6"/>
        <w:jc w:val="both"/>
      </w:pPr>
      <w:r>
        <w:rPr>
          <w:rStyle w:val="a8"/>
        </w:rPr>
        <w:footnoteRef/>
      </w:r>
      <w:r>
        <w:t xml:space="preserve"> </w:t>
      </w:r>
      <w:r w:rsidRPr="00A2152F">
        <w:rPr>
          <w:rFonts w:ascii="Times New Roman" w:hAnsi="Times New Roman" w:cs="Times New Roman"/>
        </w:rPr>
        <w:t>Раздел А „Приходи”, т. I „Приходи от оперативна дейност”, сбор от сумите по ред „Нетни приходи от продажби” от приходната част на Отчета за приходите и разходите за последните три</w:t>
      </w:r>
      <w:r>
        <w:rPr>
          <w:rFonts w:ascii="Times New Roman" w:hAnsi="Times New Roman" w:cs="Times New Roman"/>
        </w:rPr>
        <w:t xml:space="preserve"> приключени</w:t>
      </w:r>
      <w:r w:rsidRPr="00A2152F">
        <w:rPr>
          <w:rFonts w:ascii="Times New Roman" w:hAnsi="Times New Roman" w:cs="Times New Roman"/>
        </w:rPr>
        <w:t xml:space="preserve"> финансови години.</w:t>
      </w:r>
    </w:p>
  </w:footnote>
  <w:footnote w:id="5">
    <w:p w14:paraId="60FB7B22" w14:textId="77777777" w:rsidR="005B4F08" w:rsidRPr="00E6420F" w:rsidRDefault="005B4F08" w:rsidP="00E6420F">
      <w:pPr>
        <w:spacing w:after="0" w:line="240" w:lineRule="auto"/>
        <w:jc w:val="both"/>
        <w:rPr>
          <w:rFonts w:ascii="Times New Roman" w:hAnsi="Times New Roman" w:cs="Times New Roman"/>
          <w:sz w:val="18"/>
          <w:szCs w:val="18"/>
        </w:rPr>
      </w:pPr>
      <w:r>
        <w:rPr>
          <w:rStyle w:val="a8"/>
        </w:rPr>
        <w:footnoteRef/>
      </w:r>
      <w:r>
        <w:t xml:space="preserve"> </w:t>
      </w:r>
      <w:r w:rsidRPr="00E6420F">
        <w:rPr>
          <w:rFonts w:ascii="Times New Roman" w:hAnsi="Times New Roman" w:cs="Times New Roman"/>
          <w:sz w:val="18"/>
          <w:szCs w:val="18"/>
        </w:rPr>
        <w:t>Съгласно чл. 2, пар. 1 от Регламент (ЕС) 1407/2013,</w:t>
      </w:r>
    </w:p>
    <w:p w14:paraId="2AAFABC2" w14:textId="77777777" w:rsidR="005B4F08" w:rsidRPr="00E6420F" w:rsidRDefault="005B4F08"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а)</w:t>
      </w:r>
      <w:r w:rsidRPr="005022C8">
        <w:rPr>
          <w:rFonts w:ascii="Times New Roman" w:hAnsi="Times New Roman" w:cs="Times New Roman"/>
          <w:sz w:val="18"/>
          <w:szCs w:val="18"/>
        </w:rPr>
        <w:t>„селскостопански продукти“ са продукти, изброени в приложение I към Договора, с изключение на продуктите на рибарството и аквакултурите, включени в приложното поле на Регламент (ЕО) № 104/2000;</w:t>
      </w:r>
    </w:p>
    <w:p w14:paraId="305CF43D" w14:textId="77777777" w:rsidR="005B4F08" w:rsidRPr="00E6420F" w:rsidRDefault="005B4F08"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 xml:space="preserve">б) </w:t>
      </w:r>
      <w:r w:rsidRPr="005022C8">
        <w:rPr>
          <w:rFonts w:ascii="Times New Roman" w:hAnsi="Times New Roman" w:cs="Times New Roman"/>
          <w:sz w:val="18"/>
          <w:szCs w:val="18"/>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5E4CEB27" w14:textId="79129BED" w:rsidR="005B4F08" w:rsidRPr="00E6420F" w:rsidRDefault="005B4F08" w:rsidP="00E6420F">
      <w:pPr>
        <w:pStyle w:val="a6"/>
        <w:jc w:val="both"/>
        <w:rPr>
          <w:rFonts w:ascii="Times New Roman" w:hAnsi="Times New Roman" w:cs="Times New Roman"/>
        </w:rPr>
      </w:pPr>
      <w:r w:rsidRPr="00E6420F">
        <w:rPr>
          <w:rFonts w:ascii="Times New Roman" w:hAnsi="Times New Roman" w:cs="Times New Roman"/>
          <w:sz w:val="18"/>
          <w:szCs w:val="18"/>
        </w:rPr>
        <w:t xml:space="preserve">в) </w:t>
      </w:r>
      <w:r w:rsidRPr="005022C8">
        <w:rPr>
          <w:rFonts w:ascii="Times New Roman" w:hAnsi="Times New Roman" w:cs="Times New Roman"/>
          <w:sz w:val="18"/>
          <w:szCs w:val="18"/>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1B02455A" w14:textId="5F15CE67" w:rsidR="005B4F08" w:rsidRDefault="005B4F08" w:rsidP="00080925">
      <w:pPr>
        <w:pStyle w:val="a6"/>
        <w:jc w:val="both"/>
      </w:pPr>
      <w:r>
        <w:rPr>
          <w:rStyle w:val="a8"/>
        </w:rPr>
        <w:footnoteRef/>
      </w:r>
      <w:r>
        <w:t xml:space="preserve"> </w:t>
      </w:r>
      <w:r w:rsidRPr="00080925">
        <w:rPr>
          <w:rFonts w:ascii="Times New Roman" w:hAnsi="Times New Roman" w:cs="Times New Roman"/>
        </w:rPr>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footnote>
  <w:footnote w:id="7">
    <w:p w14:paraId="412B4EA9" w14:textId="77777777" w:rsidR="005B4F08" w:rsidRPr="00460924" w:rsidRDefault="005B4F08" w:rsidP="00245302">
      <w:pPr>
        <w:pStyle w:val="a6"/>
        <w:jc w:val="both"/>
        <w:rPr>
          <w:rFonts w:ascii="Times New Roman" w:hAnsi="Times New Roman" w:cs="Times New Roman"/>
        </w:rPr>
      </w:pPr>
      <w:r w:rsidRPr="00E24954">
        <w:rPr>
          <w:rStyle w:val="a8"/>
        </w:rPr>
        <w:footnoteRef/>
      </w:r>
      <w:r w:rsidRPr="00460924">
        <w:rPr>
          <w:rFonts w:ascii="Times New Roman" w:hAnsi="Times New Roman" w:cs="Times New Roman"/>
        </w:rPr>
        <w:t xml:space="preserve"> Присъждане на екомаркировката на ЕС – съгласно чл. 137, ал. 2 от Закона за опазване на околната среда (ЗООС), екомаркировката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 При осъществяване на проекти/дейности за присъждане на екомаркировката на ЕС, допустими са услуги, извършени от съответните компетентни органи, съгласно чл. 138 от ЗООС (в съответствие с Регламент (ЕО) № 66/2010 относно екомаркировката на ЕС). Задължителен краен резултат от дейностите за услуги във връзка с присъждане на екомаркировката на ЕС е присъждането на екомаркировката на ЕС. </w:t>
      </w:r>
    </w:p>
  </w:footnote>
  <w:footnote w:id="8">
    <w:p w14:paraId="35756F61" w14:textId="77777777" w:rsidR="005B4F08" w:rsidRPr="00080925" w:rsidRDefault="005B4F08" w:rsidP="00080925">
      <w:pPr>
        <w:pStyle w:val="a6"/>
        <w:jc w:val="both"/>
        <w:rPr>
          <w:rFonts w:ascii="Times New Roman" w:hAnsi="Times New Roman" w:cs="Times New Roman"/>
        </w:rPr>
      </w:pPr>
      <w:r w:rsidRPr="00080925">
        <w:rPr>
          <w:rStyle w:val="a8"/>
          <w:rFonts w:ascii="Times New Roman" w:hAnsi="Times New Roman" w:cs="Times New Roman"/>
        </w:rPr>
        <w:footnoteRef/>
      </w:r>
      <w:r w:rsidRPr="00080925">
        <w:rPr>
          <w:rFonts w:ascii="Times New Roman" w:hAnsi="Times New Roman" w:cs="Times New Roman"/>
        </w:rPr>
        <w:t xml:space="preserve"> Хармонизиран европейски стандарт е европейски стандарт (EN), разработен по мандат на Европейската комисия и Европейската асоциация за свободна търговия (EFTA), който поддържа съществените изисквания на директивите и регламентите от Нов подход и е обявен в Официалния вестник на Европейския съюз. Прилагането на хармонизираните стандарти е доброволно, но е най-лесният начин за доказване на съответствието на продуктите със съществените изисквания на директивите и регламентите. Постигането на продуктово съответствие с национални/европейски/международни стандарти задължително се удостоверява с получаването на сертификат, като допустими са услуги извършени от орган по сертификация на продукти, притежаващ валидна акредитация от национален орган по акредитация - българския национален орган по акредитация – Изпълнителна агенция „Българска служба за акредитация”, от национален орган по акредитация на друга държава-членка на ЕС, от национален орган по акредитация – страна по Споразумението за Европейско икономическо пространство и Конфедерация Швейцария или от национален орган по акредитация на държава, кандидат за пълноправно членство в ЕС, които са страна по Споразумението за взаимно признаване на Европейската организация по акредитация – EAMLA в област сертификация на продукти, в съответствие с БДС EN ISO/IEC 17065 (или други идентични въвеждания от страни членки на ЕС). Ако в срока на изпълнение на проекта не бъде получен съответният сертификат, извършените разходи за въвеждането, инвестициите и удостоверяването, няма да бъдат признати, като бенефициентът следва да върне предоставените му по настоящата процедура средства със съответната законова лихва.</w:t>
      </w:r>
    </w:p>
  </w:footnote>
  <w:footnote w:id="9">
    <w:p w14:paraId="753EA8BD" w14:textId="77777777" w:rsidR="005B4F08" w:rsidRDefault="005B4F08" w:rsidP="00891656">
      <w:pPr>
        <w:pStyle w:val="a6"/>
        <w:jc w:val="both"/>
      </w:pPr>
      <w:r>
        <w:rPr>
          <w:rStyle w:val="a8"/>
        </w:rPr>
        <w:footnoteRef/>
      </w:r>
      <w:r>
        <w:t xml:space="preserve"> </w:t>
      </w:r>
      <w:r w:rsidRPr="00891656">
        <w:rPr>
          <w:rFonts w:ascii="Times New Roman" w:hAnsi="Times New Roman" w:cs="Times New Roman"/>
        </w:rPr>
        <w:t>За целите на процедурите по ОПИК и съгласно приложимата нормативна уредба в областта (Регламент № 2023/2006; Регламент № 1223/2009; Регламент ЕС № 852/2004; Директива 2003/94) под „добра производствена практика (ДПП)“ се разбират онези аспекти на гарантиране на качеството в областта на: производството на козметични продукти, лекарства и лекарствени вещества, хранителни продукти, материали и предмети, предназначени за контакт с храни, които осигуряват постоянно производство и контрол на продукти/материалите/предметите, така че те да съответстват на правилата, приложими за тях, и на стандартите за качество, съответстващи на предназначението им, като не представляват риск за здравето на потребителя, или обществеността.</w:t>
      </w:r>
    </w:p>
  </w:footnote>
  <w:footnote w:id="10">
    <w:p w14:paraId="7FDC45F4" w14:textId="77777777" w:rsidR="005B4F08" w:rsidRPr="00891656" w:rsidRDefault="005B4F08" w:rsidP="00891656">
      <w:pPr>
        <w:pStyle w:val="a6"/>
        <w:jc w:val="both"/>
        <w:rPr>
          <w:rFonts w:ascii="Times New Roman" w:hAnsi="Times New Roman" w:cs="Times New Roman"/>
        </w:rPr>
      </w:pPr>
      <w:r>
        <w:rPr>
          <w:rStyle w:val="a8"/>
        </w:rPr>
        <w:footnoteRef/>
      </w:r>
      <w:r>
        <w:t xml:space="preserve"> </w:t>
      </w:r>
      <w:r w:rsidRPr="00891656">
        <w:rPr>
          <w:rFonts w:ascii="Times New Roman" w:hAnsi="Times New Roman" w:cs="Times New Roman"/>
        </w:rPr>
        <w:t>За целите на процедурите по ОПИК е възприето следното определение за реинженеринг на процесите в предприятията: фундаментално преосмисляне и пълно препроектиране на бизнес процесите за достигане на коренни подобрения в основните показатели на предприятието. Примерната последователност на дейностите при реинженеринг на процесите в предприятията включва най-малко: диагностика и измервания на бизнес процесите в предприятието; избор на процесите, които ще бъдат изменени и препроектирани вследствие на реинжинеринга; техническо изготвяне на модел на предлаганото решение-визия; персонализиране на модела спрямо спецификите на предприятието, обучение на персонала; въвеждане на препроектираните процеси (предписанията от реинженеринга) в дейността на предприятието.</w:t>
      </w:r>
    </w:p>
  </w:footnote>
  <w:footnote w:id="11">
    <w:p w14:paraId="393D3240" w14:textId="77777777" w:rsidR="005B4F08" w:rsidRDefault="005B4F08" w:rsidP="00011375">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2">
    <w:p w14:paraId="3AA48013" w14:textId="77777777" w:rsidR="005B4F08" w:rsidRDefault="005B4F08" w:rsidP="00647EAE">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3">
    <w:p w14:paraId="4074A60A" w14:textId="5314AF22" w:rsidR="005B4F08" w:rsidRDefault="005B4F08" w:rsidP="00A5145A">
      <w:pPr>
        <w:pStyle w:val="a6"/>
        <w:jc w:val="both"/>
      </w:pPr>
      <w:r w:rsidRPr="00797B87">
        <w:rPr>
          <w:rStyle w:val="a8"/>
          <w:sz w:val="22"/>
          <w:szCs w:val="22"/>
        </w:rPr>
        <w:footnoteRef/>
      </w:r>
      <w:r w:rsidRPr="00797B87">
        <w:t xml:space="preserve"> </w:t>
      </w:r>
      <w:r w:rsidRPr="008870D6">
        <w:rPr>
          <w:rFonts w:ascii="Times New Roman" w:eastAsia="Calibri" w:hAnsi="Times New Roman" w:cs="Times New Roman"/>
          <w:sz w:val="24"/>
          <w:szCs w:val="24"/>
        </w:rPr>
        <w:t xml:space="preserve"> </w:t>
      </w:r>
      <w:r w:rsidRPr="008870D6">
        <w:rPr>
          <w:rFonts w:ascii="Times New Roman" w:eastAsia="Calibri" w:hAnsi="Times New Roman" w:cs="Times New Roman"/>
        </w:rPr>
        <w:t>Съгласно чл. 192, § 2 от Регламент (ЕС) № 1046/2018 „Печалбата се определя като излишък, изчислен при плащането на окончателното салдо, на приходите спрямо допустимите разходи на действието или работната програма, при което приходите се ограничават до безвъзмездните средства от Съюза и постъпленията от това действие или работна програма. При безвъзмездни средства за оперативни разходи сумите, предвидени за натрупване на резерви, не се вземат предвид при проверката на спазването на принципа на забрана за извличане на печалба.“</w:t>
      </w:r>
    </w:p>
  </w:footnote>
  <w:footnote w:id="14">
    <w:p w14:paraId="24762138" w14:textId="77777777" w:rsidR="005B4F08" w:rsidRPr="00460924" w:rsidRDefault="005B4F08" w:rsidP="008646E9">
      <w:pPr>
        <w:pStyle w:val="a6"/>
        <w:jc w:val="both"/>
        <w:rPr>
          <w:rFonts w:ascii="Times New Roman" w:eastAsia="Times New Roman" w:hAnsi="Times New Roman" w:cs="Times New Roman"/>
          <w:lang w:eastAsia="bg-BG"/>
        </w:rPr>
      </w:pPr>
      <w:r>
        <w:rPr>
          <w:rStyle w:val="a8"/>
        </w:rPr>
        <w:footnoteRef/>
      </w:r>
      <w:r>
        <w:t xml:space="preserve"> </w:t>
      </w:r>
      <w:r w:rsidRPr="00460924">
        <w:rPr>
          <w:rFonts w:ascii="Times New Roman" w:eastAsia="Times New Roman" w:hAnsi="Times New Roman" w:cs="Times New Roman"/>
          <w:lang w:eastAsia="bg-BG"/>
        </w:rPr>
        <w:t>Saa</w:t>
      </w:r>
      <w:r>
        <w:rPr>
          <w:rFonts w:ascii="Times New Roman" w:eastAsia="Times New Roman" w:hAnsi="Times New Roman" w:cs="Times New Roman"/>
          <w:lang w:val="en-US" w:eastAsia="bg-BG"/>
        </w:rPr>
        <w:t>S</w:t>
      </w:r>
      <w:r w:rsidRPr="00460924">
        <w:rPr>
          <w:rFonts w:ascii="Times New Roman" w:eastAsia="Times New Roman" w:hAnsi="Times New Roman" w:cs="Times New Roman"/>
          <w:lang w:eastAsia="bg-BG"/>
        </w:rPr>
        <w:t xml:space="preserve"> (Software as a service) е модел на доставка на софтуер, при който софтуерът и асоциираните данни са хоствани централно (напр. в облак) и са достъпни за потребителите, чрез клиентска програма, обикновено с използване на уеб браузър през интернет.</w:t>
      </w:r>
    </w:p>
  </w:footnote>
  <w:footnote w:id="15">
    <w:p w14:paraId="62E51A10" w14:textId="77777777" w:rsidR="005B4F08" w:rsidRPr="00734763" w:rsidRDefault="005B4F08" w:rsidP="00A412B6">
      <w:pPr>
        <w:spacing w:before="120" w:after="120" w:line="240" w:lineRule="auto"/>
        <w:jc w:val="both"/>
        <w:rPr>
          <w:rFonts w:ascii="Times New Roman" w:eastAsia="Times New Roman" w:hAnsi="Times New Roman" w:cs="Times New Roman"/>
          <w:sz w:val="20"/>
          <w:szCs w:val="20"/>
          <w:lang w:eastAsia="bg-BG"/>
        </w:rPr>
      </w:pPr>
      <w:r>
        <w:rPr>
          <w:rStyle w:val="a8"/>
        </w:rPr>
        <w:footnoteRef/>
      </w:r>
      <w:r>
        <w:t xml:space="preserve"> </w:t>
      </w:r>
      <w:r w:rsidRPr="00734763">
        <w:rPr>
          <w:rFonts w:ascii="Times New Roman" w:eastAsia="Times New Roman" w:hAnsi="Times New Roman" w:cs="Times New Roman"/>
          <w:sz w:val="20"/>
          <w:szCs w:val="20"/>
          <w:lang w:eastAsia="bg-BG"/>
        </w:rPr>
        <w:t>Посоченото ограничение не се отнася за разходите за придобиване на ИКТ базирани софтуери за управление на бизнес процесите в предприятията, които също представляват дълготрайни нематериални активи (ДНА).</w:t>
      </w:r>
    </w:p>
    <w:p w14:paraId="0A25C4E9" w14:textId="77777777" w:rsidR="005B4F08" w:rsidRDefault="005B4F08" w:rsidP="00A412B6">
      <w:pPr>
        <w:pStyle w:val="a6"/>
      </w:pPr>
    </w:p>
  </w:footnote>
  <w:footnote w:id="16">
    <w:p w14:paraId="425D0206" w14:textId="77777777" w:rsidR="005B4F08" w:rsidRPr="00734763" w:rsidRDefault="005B4F08" w:rsidP="00AD3F00">
      <w:pPr>
        <w:pStyle w:val="a6"/>
        <w:jc w:val="both"/>
        <w:rPr>
          <w:rFonts w:ascii="Times New Roman" w:hAnsi="Times New Roman" w:cs="Times New Roman"/>
        </w:rPr>
      </w:pPr>
      <w:r>
        <w:rPr>
          <w:rStyle w:val="a8"/>
        </w:rPr>
        <w:footnoteRef/>
      </w:r>
      <w:r>
        <w:t xml:space="preserve"> </w:t>
      </w:r>
      <w:r w:rsidRPr="00734763">
        <w:rPr>
          <w:rFonts w:ascii="Times New Roman" w:hAnsi="Times New Roman" w:cs="Times New Roman"/>
        </w:rPr>
        <w:t xml:space="preserve">Съгласно </w:t>
      </w:r>
      <w:r w:rsidRPr="00731335">
        <w:rPr>
          <w:rFonts w:ascii="Times New Roman" w:hAnsi="Times New Roman" w:cs="Times New Roman"/>
        </w:rPr>
        <w:t xml:space="preserve">разпоредбите на чл. </w:t>
      </w:r>
      <w:r w:rsidRPr="00463D55">
        <w:rPr>
          <w:rFonts w:ascii="Times New Roman" w:hAnsi="Times New Roman" w:cs="Times New Roman"/>
        </w:rPr>
        <w:t>57, ал. 2 на ЗУСЕСИФ.</w:t>
      </w:r>
    </w:p>
  </w:footnote>
  <w:footnote w:id="17">
    <w:p w14:paraId="24DEA1E6" w14:textId="77777777" w:rsidR="005B4F08" w:rsidRPr="005022C8" w:rsidRDefault="005B4F08" w:rsidP="00D167FD">
      <w:pPr>
        <w:pStyle w:val="a6"/>
        <w:jc w:val="both"/>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0BF5AFFA" w14:textId="77777777" w:rsidR="005B4F08" w:rsidRPr="005022C8" w:rsidRDefault="005B4F08"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а) дадено предприятие притежава мнозинството от гласовете на акционерите или съдружниците в друго предприятие;</w:t>
      </w:r>
    </w:p>
    <w:p w14:paraId="6B6CBEDE" w14:textId="77777777" w:rsidR="005B4F08" w:rsidRPr="005022C8" w:rsidRDefault="005B4F08"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45E33B91" w14:textId="77777777" w:rsidR="005B4F08" w:rsidRPr="005022C8" w:rsidRDefault="005B4F08"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3970F953" w14:textId="77777777" w:rsidR="005B4F08" w:rsidRPr="005022C8" w:rsidRDefault="005B4F08"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3E19C237" w14:textId="77777777" w:rsidR="005B4F08" w:rsidRPr="005022C8" w:rsidRDefault="005B4F08"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18">
    <w:p w14:paraId="1C82300F" w14:textId="380BAD59" w:rsidR="005B4F08" w:rsidRPr="005022C8" w:rsidRDefault="005B4F08">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пар.3 и пар.7 на Регламент (ЕС) №1407/2013,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de minimis не се използват за придобиване на товарни автомобили.</w:t>
      </w:r>
    </w:p>
    <w:p w14:paraId="4F1ADE68" w14:textId="2EDC0CD1" w:rsidR="005B4F08" w:rsidRPr="005022C8" w:rsidRDefault="005B4F08">
      <w:pPr>
        <w:pStyle w:val="a6"/>
        <w:rPr>
          <w:rFonts w:ascii="Times New Roman" w:hAnsi="Times New Roman" w:cs="Times New Roman"/>
          <w:sz w:val="18"/>
          <w:szCs w:val="18"/>
        </w:rPr>
      </w:pPr>
      <w:r w:rsidRPr="005022C8">
        <w:rPr>
          <w:rFonts w:ascii="Times New Roman" w:hAnsi="Times New Roman" w:cs="Times New Roman"/>
          <w:sz w:val="18"/>
          <w:szCs w:val="18"/>
        </w:rPr>
        <w:t>Когато с отпускането на нова помощ de minimis може да бъде надвишен съответния таван, никоя част от тази нова помощ не може да попада в приложното поле на настоящия регламент.</w:t>
      </w:r>
    </w:p>
  </w:footnote>
  <w:footnote w:id="19">
    <w:p w14:paraId="194E2113" w14:textId="68396EB9" w:rsidR="005B4F08" w:rsidRPr="005C5C72" w:rsidRDefault="005B4F08" w:rsidP="005C5C72">
      <w:pPr>
        <w:pStyle w:val="a6"/>
        <w:jc w:val="both"/>
        <w:rPr>
          <w:rFonts w:ascii="Times New Roman" w:hAnsi="Times New Roman" w:cs="Times New Roman"/>
          <w:sz w:val="18"/>
          <w:szCs w:val="18"/>
        </w:rPr>
      </w:pPr>
      <w:r w:rsidRPr="005C5C72">
        <w:rPr>
          <w:rStyle w:val="a8"/>
          <w:rFonts w:ascii="Times New Roman" w:hAnsi="Times New Roman" w:cs="Times New Roman"/>
          <w:sz w:val="18"/>
          <w:szCs w:val="18"/>
        </w:rPr>
        <w:footnoteRef/>
      </w:r>
      <w:r w:rsidRPr="005C5C72">
        <w:rPr>
          <w:rFonts w:ascii="Times New Roman" w:hAnsi="Times New Roman" w:cs="Times New Roman"/>
          <w:sz w:val="18"/>
          <w:szCs w:val="18"/>
        </w:rPr>
        <w:t xml:space="preserve"> Под три бюджетни години се има предвид текущата бюджетна година и предходните две.</w:t>
      </w:r>
    </w:p>
  </w:footnote>
  <w:footnote w:id="20">
    <w:p w14:paraId="27E15C0A" w14:textId="4D255436" w:rsidR="005B4F08" w:rsidRPr="005C5C72" w:rsidRDefault="005B4F08" w:rsidP="005C5C72">
      <w:pPr>
        <w:pStyle w:val="a6"/>
        <w:jc w:val="both"/>
        <w:rPr>
          <w:rFonts w:ascii="Times New Roman" w:hAnsi="Times New Roman" w:cs="Times New Roman"/>
          <w:sz w:val="18"/>
          <w:szCs w:val="18"/>
        </w:rPr>
      </w:pPr>
      <w:r w:rsidRPr="005C5C72">
        <w:rPr>
          <w:rFonts w:ascii="Times New Roman" w:hAnsi="Times New Roman" w:cs="Times New Roman"/>
          <w:sz w:val="18"/>
          <w:szCs w:val="18"/>
          <w:vertAlign w:val="superscript"/>
        </w:rPr>
        <w:footnoteRef/>
      </w:r>
      <w:r w:rsidRPr="005C5C72">
        <w:rPr>
          <w:rFonts w:ascii="Times New Roman" w:hAnsi="Times New Roman" w:cs="Times New Roman"/>
          <w:sz w:val="18"/>
          <w:szCs w:val="18"/>
          <w:vertAlign w:val="superscript"/>
        </w:rPr>
        <w:t xml:space="preserve"> </w:t>
      </w:r>
      <w:r w:rsidRPr="005C5C72">
        <w:rPr>
          <w:rFonts w:ascii="Times New Roman" w:hAnsi="Times New Roman" w:cs="Times New Roman"/>
          <w:sz w:val="18"/>
          <w:szCs w:val="18"/>
        </w:rPr>
        <w:t>Съгласно чл. 1 пар. 2 от Регламент (ЕС) № 1407/2013, 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настоящия регламент, настоящият регламент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w:t>
      </w:r>
      <w:r w:rsidRPr="005C5C72">
        <w:rPr>
          <w:color w:val="444444"/>
          <w:sz w:val="24"/>
          <w:szCs w:val="24"/>
          <w:shd w:val="clear" w:color="auto" w:fill="FFFFFF"/>
        </w:rPr>
        <w:t xml:space="preserve"> </w:t>
      </w:r>
      <w:r w:rsidRPr="005C5C72">
        <w:rPr>
          <w:rFonts w:ascii="Times New Roman" w:hAnsi="Times New Roman" w:cs="Times New Roman"/>
          <w:sz w:val="18"/>
          <w:szCs w:val="18"/>
        </w:rPr>
        <w:t>изключените сектори не се ползват от помощ de minimis, предоставена съгласно настоящия Регламент.</w:t>
      </w:r>
    </w:p>
  </w:footnote>
  <w:footnote w:id="21">
    <w:p w14:paraId="7D3C8261" w14:textId="77777777" w:rsidR="005B4F08" w:rsidRDefault="005B4F08">
      <w:pPr>
        <w:pStyle w:val="a6"/>
      </w:pPr>
      <w:r>
        <w:rPr>
          <w:rStyle w:val="a8"/>
        </w:rPr>
        <w:footnoteRef/>
      </w:r>
      <w:r>
        <w:t xml:space="preserve"> </w:t>
      </w:r>
      <w:r w:rsidRPr="00AB3677">
        <w:rPr>
          <w:rFonts w:ascii="Times New Roman" w:hAnsi="Times New Roman"/>
        </w:rPr>
        <w:t>Представител на публичния сектор е лице по смисъла на § 1 т. 21  от Допълнителните разпоредби на Наредба 22 от 14.12.2015г.</w:t>
      </w:r>
    </w:p>
  </w:footnote>
  <w:footnote w:id="22">
    <w:p w14:paraId="1562D19B" w14:textId="577D24D0" w:rsidR="005B4F08" w:rsidRPr="00D167FD" w:rsidRDefault="005B4F08"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При изчисляване на показателите по този раздел следва да се има предвид, че  N, N+1, N+2 и N+</w:t>
      </w:r>
      <w:r>
        <w:rPr>
          <w:rFonts w:ascii="Times New Roman" w:hAnsi="Times New Roman" w:cs="Times New Roman"/>
        </w:rPr>
        <w:t>8</w:t>
      </w:r>
      <w:r w:rsidRPr="00D167FD">
        <w:rPr>
          <w:rFonts w:ascii="Times New Roman" w:hAnsi="Times New Roman" w:cs="Times New Roman"/>
        </w:rPr>
        <w:t>3 са прогнозни години, при които N е годината на приключване изпълнението на договора/проекта</w:t>
      </w:r>
    </w:p>
  </w:footnote>
  <w:footnote w:id="23">
    <w:p w14:paraId="0B0FDF49" w14:textId="77777777" w:rsidR="005B4F08" w:rsidRPr="00D167FD" w:rsidRDefault="005B4F08"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Вътрешна норма на възвръщаемост се изчислява чрез стандартна функция на Excel (fn IRR).</w:t>
      </w:r>
    </w:p>
  </w:footnote>
  <w:footnote w:id="24">
    <w:p w14:paraId="7AF59AEE" w14:textId="77777777" w:rsidR="005B4F08" w:rsidRPr="00042329" w:rsidRDefault="005B4F08" w:rsidP="00042329">
      <w:pPr>
        <w:pStyle w:val="a6"/>
        <w:jc w:val="both"/>
        <w:rPr>
          <w:rFonts w:ascii="Times New Roman" w:hAnsi="Times New Roman" w:cs="Times New Roman"/>
        </w:rPr>
      </w:pPr>
      <w:r>
        <w:rPr>
          <w:rStyle w:val="a8"/>
        </w:rPr>
        <w:footnoteRef/>
      </w:r>
      <w:r>
        <w:t xml:space="preserve"> </w:t>
      </w:r>
      <w:r w:rsidRPr="00042329">
        <w:rPr>
          <w:rFonts w:ascii="Times New Roman" w:hAnsi="Times New Roman" w:cs="Times New Roman"/>
        </w:rPr>
        <w:t>Приоритетно се подкрепят проекти, попадащи в тематичните области на Иновационната стратегия за интелигентна специализация:</w:t>
      </w:r>
      <w:r w:rsidRPr="00042329">
        <w:rPr>
          <w:rFonts w:ascii="Times New Roman" w:hAnsi="Times New Roman" w:cs="Times New Roman"/>
        </w:rPr>
        <w:tab/>
        <w:t xml:space="preserve">ИКТ и информатика; </w:t>
      </w:r>
      <w:r w:rsidRPr="00042329">
        <w:rPr>
          <w:rFonts w:ascii="Times New Roman" w:hAnsi="Times New Roman" w:cs="Times New Roman"/>
        </w:rPr>
        <w:tab/>
        <w:t>Мехатроника и чисти технологии; Индустрия за здравословен живот и биотехнологии; Нови технологии в креативните и рекреативните индустрии</w:t>
      </w:r>
      <w:r>
        <w:rPr>
          <w:rFonts w:ascii="Times New Roman" w:hAnsi="Times New Roman" w:cs="Times New Roman"/>
        </w:rPr>
        <w:t>.</w:t>
      </w:r>
    </w:p>
  </w:footnote>
  <w:footnote w:id="25">
    <w:p w14:paraId="3B458B21" w14:textId="77777777" w:rsidR="005B4F08" w:rsidRPr="00E079C1" w:rsidRDefault="005B4F08" w:rsidP="00E079C1">
      <w:pPr>
        <w:pStyle w:val="a6"/>
        <w:jc w:val="both"/>
        <w:rPr>
          <w:rFonts w:ascii="Times New Roman" w:hAnsi="Times New Roman" w:cs="Times New Roman"/>
        </w:rPr>
      </w:pPr>
      <w:r>
        <w:rPr>
          <w:rStyle w:val="a8"/>
        </w:rPr>
        <w:footnoteRef/>
      </w:r>
      <w:r>
        <w:t xml:space="preserve"> </w:t>
      </w:r>
      <w:r w:rsidRPr="00E079C1">
        <w:rPr>
          <w:rFonts w:ascii="Times New Roman" w:hAnsi="Times New Roman" w:cs="Times New Roman"/>
        </w:rPr>
        <w:t>Съгласно Насоки за интеграция на политиката по околна среда и политиката по изменение на климата в Европейските структурни и инвестиционни фондове – фаза Изпълнение на Споразумението за партньорство и програмите в периода 2014 – 2020 г.</w:t>
      </w:r>
    </w:p>
  </w:footnote>
  <w:footnote w:id="26">
    <w:p w14:paraId="75F755C4" w14:textId="77777777" w:rsidR="005B4F08" w:rsidRPr="00F13B64" w:rsidRDefault="005B4F08" w:rsidP="00F13B64">
      <w:pPr>
        <w:pStyle w:val="a6"/>
        <w:jc w:val="both"/>
        <w:rPr>
          <w:rFonts w:ascii="Times New Roman" w:hAnsi="Times New Roman" w:cs="Times New Roman"/>
        </w:rPr>
      </w:pPr>
      <w:r>
        <w:rPr>
          <w:rStyle w:val="a8"/>
        </w:rPr>
        <w:footnoteRef/>
      </w:r>
      <w:r>
        <w:t xml:space="preserve"> </w:t>
      </w:r>
      <w:r w:rsidRPr="00C01E3C">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предприятието.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rPr>
          <w:rFonts w:ascii="Times New Roman" w:hAnsi="Times New Roman" w:cs="Times New Roman"/>
        </w:rPr>
        <w:t>.</w:t>
      </w:r>
    </w:p>
  </w:footnote>
  <w:footnote w:id="27">
    <w:p w14:paraId="2CA225CF" w14:textId="77777777" w:rsidR="005B4F08" w:rsidRPr="00F13B64" w:rsidRDefault="005B4F08" w:rsidP="00F13B64">
      <w:pPr>
        <w:pStyle w:val="a6"/>
        <w:jc w:val="both"/>
        <w:rPr>
          <w:rFonts w:ascii="Times New Roman" w:hAnsi="Times New Roman" w:cs="Times New Roman"/>
        </w:rPr>
      </w:pPr>
      <w:r w:rsidRPr="00F13B64">
        <w:rPr>
          <w:rStyle w:val="a8"/>
          <w:rFonts w:ascii="Times New Roman" w:hAnsi="Times New Roman" w:cs="Times New Roman"/>
        </w:rPr>
        <w:footnoteRef/>
      </w:r>
      <w:r w:rsidRPr="00F13B64">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28">
    <w:p w14:paraId="6391355D" w14:textId="77777777" w:rsidR="005B4F08" w:rsidRDefault="005B4F08">
      <w:pPr>
        <w:pStyle w:val="a6"/>
      </w:pPr>
      <w:r>
        <w:rPr>
          <w:rStyle w:val="a8"/>
        </w:rPr>
        <w:footnoteRef/>
      </w:r>
      <w:r>
        <w:t xml:space="preserve"> </w:t>
      </w:r>
      <w:r w:rsidRPr="00C01E3C">
        <w:t>Например: КЕП на друго юридическо лице, криптиран ключ, не се отваря подписа и др</w:t>
      </w:r>
      <w:r>
        <w:t>.</w:t>
      </w:r>
    </w:p>
  </w:footnote>
  <w:footnote w:id="29">
    <w:p w14:paraId="0A929E60" w14:textId="77777777" w:rsidR="005B4F08" w:rsidRPr="004A1051" w:rsidRDefault="005B4F08" w:rsidP="00DB1FF6">
      <w:pPr>
        <w:pStyle w:val="a6"/>
      </w:pPr>
      <w:r>
        <w:rPr>
          <w:rStyle w:val="a8"/>
        </w:rPr>
        <w:footnoteRef/>
      </w:r>
      <w:r>
        <w:t xml:space="preserve"> </w:t>
      </w:r>
      <w:r w:rsidRPr="001E0E5A">
        <w:t>За целите на настоящата процедура под „лице с право да представлява кандидата“ следва да се разбира официален представител на предприятието-кандидат.</w:t>
      </w:r>
    </w:p>
  </w:footnote>
  <w:footnote w:id="30">
    <w:p w14:paraId="67DE004F" w14:textId="77777777" w:rsidR="005B4F08" w:rsidRDefault="005B4F08">
      <w:pPr>
        <w:pStyle w:val="a6"/>
      </w:pPr>
      <w:r>
        <w:rPr>
          <w:rStyle w:val="a8"/>
        </w:rPr>
        <w:footnoteRef/>
      </w:r>
      <w:r>
        <w:t xml:space="preserve"> </w:t>
      </w:r>
      <w:r w:rsidRPr="00887579">
        <w:rPr>
          <w:rFonts w:ascii="Times New Roman" w:hAnsi="Times New Roman"/>
        </w:rPr>
        <w:t xml:space="preserve">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лв</w:t>
      </w:r>
      <w:r w:rsidRPr="00E97F3A">
        <w:rPr>
          <w:rFonts w:ascii="Times New Roman" w:hAnsi="Times New Roman"/>
          <w:lang w:val="ru-RU"/>
        </w:rPr>
        <w:t xml:space="preserve">. </w:t>
      </w:r>
      <w:r>
        <w:rPr>
          <w:rFonts w:ascii="Times New Roman" w:hAnsi="Times New Roman"/>
        </w:rPr>
        <w:t>В този случай се предст</w:t>
      </w:r>
      <w:r w:rsidRPr="00887579">
        <w:rPr>
          <w:rFonts w:ascii="Times New Roman" w:hAnsi="Times New Roman"/>
        </w:rPr>
        <w:t>авя Справка заети лица към Отчета за приходи и разходи към Годишния отчет за дейността.</w:t>
      </w:r>
    </w:p>
  </w:footnote>
  <w:footnote w:id="31">
    <w:p w14:paraId="4ABED6C0" w14:textId="77777777" w:rsidR="005B4F08" w:rsidRDefault="005B4F08">
      <w:pPr>
        <w:pStyle w:val="a6"/>
      </w:pPr>
      <w:r>
        <w:rPr>
          <w:rStyle w:val="a8"/>
        </w:rPr>
        <w:footnoteRef/>
      </w:r>
      <w:r>
        <w:t xml:space="preserve"> </w:t>
      </w:r>
      <w:r w:rsidRPr="00887579">
        <w:rPr>
          <w:rFonts w:ascii="Times New Roman" w:hAnsi="Times New Roman"/>
        </w:rPr>
        <w:t xml:space="preserve">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лв</w:t>
      </w:r>
      <w:r w:rsidRPr="00E97F3A">
        <w:rPr>
          <w:rFonts w:ascii="Times New Roman" w:hAnsi="Times New Roman"/>
          <w:lang w:val="ru-RU"/>
        </w:rPr>
        <w:t xml:space="preserve">. </w:t>
      </w:r>
      <w:r w:rsidRPr="00887579">
        <w:rPr>
          <w:rFonts w:ascii="Times New Roman" w:hAnsi="Times New Roman"/>
        </w:rPr>
        <w:t>В този случай се представя Справка дълготрайни материални и нематериални активи към Отчета за приходи и разходи.</w:t>
      </w:r>
    </w:p>
  </w:footnote>
  <w:footnote w:id="32">
    <w:p w14:paraId="519845B5" w14:textId="77777777" w:rsidR="005B4F08" w:rsidRPr="00AE23CE" w:rsidRDefault="005B4F08" w:rsidP="0004117A">
      <w:pPr>
        <w:pStyle w:val="a6"/>
      </w:pPr>
      <w:r>
        <w:rPr>
          <w:rStyle w:val="a8"/>
        </w:rPr>
        <w:footnoteRef/>
      </w:r>
      <w:r>
        <w:t xml:space="preserve"> </w:t>
      </w:r>
      <w:r w:rsidRPr="00E52561">
        <w:rPr>
          <w:rFonts w:ascii="Times New Roman" w:hAnsi="Times New Roman"/>
        </w:rPr>
        <w:t xml:space="preserve">Посоченият документ е част от Годишния отчет за дейността на кандидата. Съгласно чл. 92, ал. З, чл. 219, ал. 4, чл. 252, ал. 2, чл. 259, ал. З от ЗКПО и чл. 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200 000</w:t>
      </w:r>
      <w:r w:rsidRPr="00E52561">
        <w:rPr>
          <w:rFonts w:ascii="Times New Roman" w:hAnsi="Times New Roman"/>
        </w:rPr>
        <w:t xml:space="preserve"> лв. В този случай се представя Справка заети лица към Отчета за приходи и разходи към Годишния отчет за дейността.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2CE1" w14:textId="52ACA4C3" w:rsidR="005B4F08" w:rsidRPr="00192A92" w:rsidRDefault="005B4F08" w:rsidP="00192A92">
    <w:pPr>
      <w:pStyle w:val="ab"/>
    </w:pPr>
    <w:r>
      <w:rPr>
        <w:noProof/>
        <w:lang w:eastAsia="bg-BG"/>
      </w:rPr>
      <w:drawing>
        <wp:inline distT="0" distB="0" distL="0" distR="0" wp14:anchorId="0C8F1027" wp14:editId="5C730629">
          <wp:extent cx="5941060" cy="857126"/>
          <wp:effectExtent l="0" t="0" r="2540" b="635"/>
          <wp:docPr id="16" name="Картина 16" descr="ЛОГО ОПИК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ОПИК_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57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F6DF3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D78A66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EBA"/>
    <w:multiLevelType w:val="hybridMultilevel"/>
    <w:tmpl w:val="31087150"/>
    <w:lvl w:ilvl="0" w:tplc="AF8E8C76">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0DC3188A"/>
    <w:multiLevelType w:val="hybridMultilevel"/>
    <w:tmpl w:val="D5F81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652780"/>
    <w:multiLevelType w:val="multilevel"/>
    <w:tmpl w:val="14B0F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6704BC"/>
    <w:multiLevelType w:val="hybridMultilevel"/>
    <w:tmpl w:val="18A4B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072082D"/>
    <w:multiLevelType w:val="hybridMultilevel"/>
    <w:tmpl w:val="649870CC"/>
    <w:lvl w:ilvl="0" w:tplc="00C25D80">
      <w:start w:val="24"/>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15:restartNumberingAfterBreak="0">
    <w:nsid w:val="11830338"/>
    <w:multiLevelType w:val="hybridMultilevel"/>
    <w:tmpl w:val="36D61188"/>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4" w15:restartNumberingAfterBreak="0">
    <w:nsid w:val="1F303CC0"/>
    <w:multiLevelType w:val="hybridMultilevel"/>
    <w:tmpl w:val="7B968768"/>
    <w:lvl w:ilvl="0" w:tplc="75C0B274">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FC3D42"/>
    <w:multiLevelType w:val="hybridMultilevel"/>
    <w:tmpl w:val="81A86FAA"/>
    <w:lvl w:ilvl="0" w:tplc="C4B8839C">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E33B8"/>
    <w:multiLevelType w:val="hybridMultilevel"/>
    <w:tmpl w:val="A89A91FC"/>
    <w:lvl w:ilvl="0" w:tplc="DA408800">
      <w:start w:val="1"/>
      <w:numFmt w:val="decimal"/>
      <w:lvlText w:val="%1."/>
      <w:lvlJc w:val="left"/>
      <w:pPr>
        <w:ind w:left="420" w:hanging="360"/>
      </w:pPr>
      <w:rPr>
        <w:rFonts w:ascii="Times New Roman" w:eastAsiaTheme="minorHAnsi" w:hAnsi="Times New Roman" w:cs="Times New Roman"/>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4" w15:restartNumberingAfterBreak="0">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72760"/>
    <w:multiLevelType w:val="hybridMultilevel"/>
    <w:tmpl w:val="C9D45200"/>
    <w:lvl w:ilvl="0" w:tplc="E63C313A">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4B6464C"/>
    <w:multiLevelType w:val="hybridMultilevel"/>
    <w:tmpl w:val="C3A8BCFA"/>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7A42EEF"/>
    <w:multiLevelType w:val="hybridMultilevel"/>
    <w:tmpl w:val="EAEE2A46"/>
    <w:lvl w:ilvl="0" w:tplc="E6DADB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CD2428"/>
    <w:multiLevelType w:val="hybridMultilevel"/>
    <w:tmpl w:val="367EFD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E4A43"/>
    <w:multiLevelType w:val="hybridMultilevel"/>
    <w:tmpl w:val="CA3C1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E270DFB"/>
    <w:multiLevelType w:val="hybridMultilevel"/>
    <w:tmpl w:val="02AA8A34"/>
    <w:lvl w:ilvl="0" w:tplc="D2187CE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F445EF1"/>
    <w:multiLevelType w:val="multilevel"/>
    <w:tmpl w:val="2F4022E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15:restartNumberingAfterBreak="0">
    <w:nsid w:val="725C70C5"/>
    <w:multiLevelType w:val="hybridMultilevel"/>
    <w:tmpl w:val="78E2E91A"/>
    <w:lvl w:ilvl="0" w:tplc="1ECAB694">
      <w:start w:val="1"/>
      <w:numFmt w:val="decimal"/>
      <w:lvlText w:val="%1."/>
      <w:lvlJc w:val="left"/>
      <w:pPr>
        <w:ind w:left="3054" w:hanging="360"/>
      </w:pPr>
      <w:rPr>
        <w:rFonts w:hint="default"/>
        <w:b/>
      </w:rPr>
    </w:lvl>
    <w:lvl w:ilvl="1" w:tplc="04020019" w:tentative="1">
      <w:start w:val="1"/>
      <w:numFmt w:val="lowerLetter"/>
      <w:lvlText w:val="%2."/>
      <w:lvlJc w:val="left"/>
      <w:pPr>
        <w:ind w:left="-288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1449" w:hanging="360"/>
      </w:pPr>
    </w:lvl>
    <w:lvl w:ilvl="4" w:tplc="04020019" w:tentative="1">
      <w:start w:val="1"/>
      <w:numFmt w:val="lowerLetter"/>
      <w:lvlText w:val="%5."/>
      <w:lvlJc w:val="left"/>
      <w:pPr>
        <w:ind w:left="-729" w:hanging="360"/>
      </w:pPr>
    </w:lvl>
    <w:lvl w:ilvl="5" w:tplc="0402001B" w:tentative="1">
      <w:start w:val="1"/>
      <w:numFmt w:val="lowerRoman"/>
      <w:lvlText w:val="%6."/>
      <w:lvlJc w:val="right"/>
      <w:pPr>
        <w:ind w:left="-9" w:hanging="180"/>
      </w:pPr>
    </w:lvl>
    <w:lvl w:ilvl="6" w:tplc="0402000F" w:tentative="1">
      <w:start w:val="1"/>
      <w:numFmt w:val="decimal"/>
      <w:lvlText w:val="%7."/>
      <w:lvlJc w:val="left"/>
      <w:pPr>
        <w:ind w:left="711" w:hanging="360"/>
      </w:pPr>
    </w:lvl>
    <w:lvl w:ilvl="7" w:tplc="04020019" w:tentative="1">
      <w:start w:val="1"/>
      <w:numFmt w:val="lowerLetter"/>
      <w:lvlText w:val="%8."/>
      <w:lvlJc w:val="left"/>
      <w:pPr>
        <w:ind w:left="1431" w:hanging="360"/>
      </w:pPr>
    </w:lvl>
    <w:lvl w:ilvl="8" w:tplc="0402001B" w:tentative="1">
      <w:start w:val="1"/>
      <w:numFmt w:val="lowerRoman"/>
      <w:lvlText w:val="%9."/>
      <w:lvlJc w:val="right"/>
      <w:pPr>
        <w:ind w:left="2151" w:hanging="180"/>
      </w:pPr>
    </w:lvl>
  </w:abstractNum>
  <w:abstractNum w:abstractNumId="39"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1" w15:restartNumberingAfterBreak="0">
    <w:nsid w:val="7AAD05C6"/>
    <w:multiLevelType w:val="hybridMultilevel"/>
    <w:tmpl w:val="DB6C5A5A"/>
    <w:lvl w:ilvl="0" w:tplc="C15C9DD0">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4"/>
  </w:num>
  <w:num w:numId="4">
    <w:abstractNumId w:val="16"/>
  </w:num>
  <w:num w:numId="5">
    <w:abstractNumId w:val="36"/>
  </w:num>
  <w:num w:numId="6">
    <w:abstractNumId w:val="21"/>
  </w:num>
  <w:num w:numId="7">
    <w:abstractNumId w:val="17"/>
  </w:num>
  <w:num w:numId="8">
    <w:abstractNumId w:val="11"/>
  </w:num>
  <w:num w:numId="9">
    <w:abstractNumId w:val="31"/>
  </w:num>
  <w:num w:numId="10">
    <w:abstractNumId w:val="13"/>
  </w:num>
  <w:num w:numId="11">
    <w:abstractNumId w:val="10"/>
  </w:num>
  <w:num w:numId="12">
    <w:abstractNumId w:val="40"/>
  </w:num>
  <w:num w:numId="13">
    <w:abstractNumId w:val="15"/>
  </w:num>
  <w:num w:numId="14">
    <w:abstractNumId w:val="39"/>
  </w:num>
  <w:num w:numId="15">
    <w:abstractNumId w:val="27"/>
  </w:num>
  <w:num w:numId="16">
    <w:abstractNumId w:val="22"/>
  </w:num>
  <w:num w:numId="17">
    <w:abstractNumId w:val="12"/>
  </w:num>
  <w:num w:numId="18">
    <w:abstractNumId w:val="19"/>
  </w:num>
  <w:num w:numId="19">
    <w:abstractNumId w:val="2"/>
  </w:num>
  <w:num w:numId="20">
    <w:abstractNumId w:val="24"/>
  </w:num>
  <w:num w:numId="21">
    <w:abstractNumId w:val="30"/>
  </w:num>
  <w:num w:numId="22">
    <w:abstractNumId w:val="5"/>
  </w:num>
  <w:num w:numId="23">
    <w:abstractNumId w:val="28"/>
  </w:num>
  <w:num w:numId="24">
    <w:abstractNumId w:val="29"/>
  </w:num>
  <w:num w:numId="25">
    <w:abstractNumId w:val="35"/>
  </w:num>
  <w:num w:numId="26">
    <w:abstractNumId w:val="8"/>
  </w:num>
  <w:num w:numId="27">
    <w:abstractNumId w:val="23"/>
  </w:num>
  <w:num w:numId="28">
    <w:abstractNumId w:val="3"/>
  </w:num>
  <w:num w:numId="29">
    <w:abstractNumId w:val="38"/>
  </w:num>
  <w:num w:numId="30">
    <w:abstractNumId w:val="4"/>
  </w:num>
  <w:num w:numId="31">
    <w:abstractNumId w:val="7"/>
  </w:num>
  <w:num w:numId="32">
    <w:abstractNumId w:val="32"/>
  </w:num>
  <w:num w:numId="33">
    <w:abstractNumId w:val="26"/>
  </w:num>
  <w:num w:numId="34">
    <w:abstractNumId w:val="9"/>
  </w:num>
  <w:num w:numId="35">
    <w:abstractNumId w:val="41"/>
  </w:num>
  <w:num w:numId="36">
    <w:abstractNumId w:val="18"/>
  </w:num>
  <w:num w:numId="37">
    <w:abstractNumId w:val="1"/>
  </w:num>
  <w:num w:numId="38">
    <w:abstractNumId w:val="0"/>
  </w:num>
  <w:num w:numId="39">
    <w:abstractNumId w:val="25"/>
  </w:num>
  <w:num w:numId="40">
    <w:abstractNumId w:val="14"/>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68"/>
    <w:rsid w:val="000006BD"/>
    <w:rsid w:val="00000A38"/>
    <w:rsid w:val="00000AD1"/>
    <w:rsid w:val="00000B14"/>
    <w:rsid w:val="00000FD2"/>
    <w:rsid w:val="0000149B"/>
    <w:rsid w:val="000024C4"/>
    <w:rsid w:val="00002DA7"/>
    <w:rsid w:val="000032AE"/>
    <w:rsid w:val="00004C96"/>
    <w:rsid w:val="00004FC4"/>
    <w:rsid w:val="00005D80"/>
    <w:rsid w:val="00006551"/>
    <w:rsid w:val="00006D65"/>
    <w:rsid w:val="0000724C"/>
    <w:rsid w:val="000073E4"/>
    <w:rsid w:val="00010DB6"/>
    <w:rsid w:val="00010FAD"/>
    <w:rsid w:val="00011375"/>
    <w:rsid w:val="000115A9"/>
    <w:rsid w:val="00011FA4"/>
    <w:rsid w:val="00012817"/>
    <w:rsid w:val="00012840"/>
    <w:rsid w:val="00012C73"/>
    <w:rsid w:val="00013A97"/>
    <w:rsid w:val="00013F17"/>
    <w:rsid w:val="00013FB4"/>
    <w:rsid w:val="000141FD"/>
    <w:rsid w:val="00014B32"/>
    <w:rsid w:val="00015E52"/>
    <w:rsid w:val="0001636B"/>
    <w:rsid w:val="000178F5"/>
    <w:rsid w:val="00017D3F"/>
    <w:rsid w:val="00017E07"/>
    <w:rsid w:val="00017F9C"/>
    <w:rsid w:val="0002003E"/>
    <w:rsid w:val="0002039C"/>
    <w:rsid w:val="00020486"/>
    <w:rsid w:val="000215FE"/>
    <w:rsid w:val="0002165A"/>
    <w:rsid w:val="00021A5F"/>
    <w:rsid w:val="0002207A"/>
    <w:rsid w:val="0002305D"/>
    <w:rsid w:val="00023432"/>
    <w:rsid w:val="0002352D"/>
    <w:rsid w:val="00023DCA"/>
    <w:rsid w:val="00024EBC"/>
    <w:rsid w:val="000257CC"/>
    <w:rsid w:val="00025A88"/>
    <w:rsid w:val="000266EB"/>
    <w:rsid w:val="00026CDC"/>
    <w:rsid w:val="000302E7"/>
    <w:rsid w:val="000308ED"/>
    <w:rsid w:val="00030BBB"/>
    <w:rsid w:val="0003166C"/>
    <w:rsid w:val="00031D4A"/>
    <w:rsid w:val="00032AB7"/>
    <w:rsid w:val="00033307"/>
    <w:rsid w:val="00033D00"/>
    <w:rsid w:val="0003545B"/>
    <w:rsid w:val="00037884"/>
    <w:rsid w:val="00040036"/>
    <w:rsid w:val="000404C9"/>
    <w:rsid w:val="0004117A"/>
    <w:rsid w:val="000411C2"/>
    <w:rsid w:val="0004194F"/>
    <w:rsid w:val="00042329"/>
    <w:rsid w:val="000426FA"/>
    <w:rsid w:val="00042AE4"/>
    <w:rsid w:val="000434EB"/>
    <w:rsid w:val="00043A75"/>
    <w:rsid w:val="00043C17"/>
    <w:rsid w:val="00043EE5"/>
    <w:rsid w:val="00044BAF"/>
    <w:rsid w:val="0004538D"/>
    <w:rsid w:val="00045A02"/>
    <w:rsid w:val="00045D28"/>
    <w:rsid w:val="0004629F"/>
    <w:rsid w:val="00046418"/>
    <w:rsid w:val="000478D0"/>
    <w:rsid w:val="00047DB5"/>
    <w:rsid w:val="0005088E"/>
    <w:rsid w:val="00050AC6"/>
    <w:rsid w:val="00051573"/>
    <w:rsid w:val="00051B15"/>
    <w:rsid w:val="00051DFF"/>
    <w:rsid w:val="00052059"/>
    <w:rsid w:val="00052675"/>
    <w:rsid w:val="0005277F"/>
    <w:rsid w:val="0005297C"/>
    <w:rsid w:val="00052D1E"/>
    <w:rsid w:val="00052FBE"/>
    <w:rsid w:val="00053ED3"/>
    <w:rsid w:val="0005406A"/>
    <w:rsid w:val="000552F2"/>
    <w:rsid w:val="000553B8"/>
    <w:rsid w:val="00055F2D"/>
    <w:rsid w:val="0005635C"/>
    <w:rsid w:val="00057050"/>
    <w:rsid w:val="000574C5"/>
    <w:rsid w:val="000577ED"/>
    <w:rsid w:val="00060961"/>
    <w:rsid w:val="0006283D"/>
    <w:rsid w:val="000643CC"/>
    <w:rsid w:val="00064B4A"/>
    <w:rsid w:val="00064EB4"/>
    <w:rsid w:val="00066779"/>
    <w:rsid w:val="00066EFB"/>
    <w:rsid w:val="00067EFA"/>
    <w:rsid w:val="0007015D"/>
    <w:rsid w:val="0007018C"/>
    <w:rsid w:val="00070394"/>
    <w:rsid w:val="00073ED7"/>
    <w:rsid w:val="00075EB4"/>
    <w:rsid w:val="00076774"/>
    <w:rsid w:val="00076EF4"/>
    <w:rsid w:val="0007726E"/>
    <w:rsid w:val="0007739F"/>
    <w:rsid w:val="0008036F"/>
    <w:rsid w:val="00080925"/>
    <w:rsid w:val="00080A46"/>
    <w:rsid w:val="00081413"/>
    <w:rsid w:val="00082D6C"/>
    <w:rsid w:val="00083790"/>
    <w:rsid w:val="000839A0"/>
    <w:rsid w:val="00083D48"/>
    <w:rsid w:val="00083DBB"/>
    <w:rsid w:val="00085A05"/>
    <w:rsid w:val="00087B6E"/>
    <w:rsid w:val="00087E20"/>
    <w:rsid w:val="000906DA"/>
    <w:rsid w:val="00090F11"/>
    <w:rsid w:val="00090F19"/>
    <w:rsid w:val="00091B09"/>
    <w:rsid w:val="00091B8A"/>
    <w:rsid w:val="000922B7"/>
    <w:rsid w:val="000933E3"/>
    <w:rsid w:val="00093585"/>
    <w:rsid w:val="0009439A"/>
    <w:rsid w:val="00094D10"/>
    <w:rsid w:val="000951C0"/>
    <w:rsid w:val="00095523"/>
    <w:rsid w:val="00095B1C"/>
    <w:rsid w:val="000960EB"/>
    <w:rsid w:val="00096A4C"/>
    <w:rsid w:val="00096F27"/>
    <w:rsid w:val="00097E7E"/>
    <w:rsid w:val="000A0774"/>
    <w:rsid w:val="000A0795"/>
    <w:rsid w:val="000A0E1F"/>
    <w:rsid w:val="000A109A"/>
    <w:rsid w:val="000A1B53"/>
    <w:rsid w:val="000A1B86"/>
    <w:rsid w:val="000A2B39"/>
    <w:rsid w:val="000A2E36"/>
    <w:rsid w:val="000A3256"/>
    <w:rsid w:val="000A3DFA"/>
    <w:rsid w:val="000A488B"/>
    <w:rsid w:val="000A5408"/>
    <w:rsid w:val="000A568F"/>
    <w:rsid w:val="000A5EEE"/>
    <w:rsid w:val="000A671E"/>
    <w:rsid w:val="000A6D84"/>
    <w:rsid w:val="000A7377"/>
    <w:rsid w:val="000B0A30"/>
    <w:rsid w:val="000B0EC0"/>
    <w:rsid w:val="000B0EEC"/>
    <w:rsid w:val="000B130C"/>
    <w:rsid w:val="000B17A7"/>
    <w:rsid w:val="000B202A"/>
    <w:rsid w:val="000B2C34"/>
    <w:rsid w:val="000B2DE7"/>
    <w:rsid w:val="000B353E"/>
    <w:rsid w:val="000B3588"/>
    <w:rsid w:val="000B3AE8"/>
    <w:rsid w:val="000B3CFC"/>
    <w:rsid w:val="000B4690"/>
    <w:rsid w:val="000B50CB"/>
    <w:rsid w:val="000B5603"/>
    <w:rsid w:val="000B5CCE"/>
    <w:rsid w:val="000B5FE4"/>
    <w:rsid w:val="000B754E"/>
    <w:rsid w:val="000B7E6B"/>
    <w:rsid w:val="000C030D"/>
    <w:rsid w:val="000C09BA"/>
    <w:rsid w:val="000C1CBF"/>
    <w:rsid w:val="000C1D25"/>
    <w:rsid w:val="000C1D78"/>
    <w:rsid w:val="000C27C2"/>
    <w:rsid w:val="000C2900"/>
    <w:rsid w:val="000C3197"/>
    <w:rsid w:val="000C325A"/>
    <w:rsid w:val="000C3D3A"/>
    <w:rsid w:val="000C40C5"/>
    <w:rsid w:val="000C4D70"/>
    <w:rsid w:val="000C5A82"/>
    <w:rsid w:val="000C5CA3"/>
    <w:rsid w:val="000C5CF4"/>
    <w:rsid w:val="000C64F5"/>
    <w:rsid w:val="000C651F"/>
    <w:rsid w:val="000C652C"/>
    <w:rsid w:val="000C6FB3"/>
    <w:rsid w:val="000C73B1"/>
    <w:rsid w:val="000D043C"/>
    <w:rsid w:val="000D089B"/>
    <w:rsid w:val="000D0B4D"/>
    <w:rsid w:val="000D10A3"/>
    <w:rsid w:val="000D1632"/>
    <w:rsid w:val="000D1C30"/>
    <w:rsid w:val="000D1C9D"/>
    <w:rsid w:val="000D2960"/>
    <w:rsid w:val="000D3271"/>
    <w:rsid w:val="000D5D73"/>
    <w:rsid w:val="000D65D7"/>
    <w:rsid w:val="000D758F"/>
    <w:rsid w:val="000D7A7E"/>
    <w:rsid w:val="000E0225"/>
    <w:rsid w:val="000E0667"/>
    <w:rsid w:val="000E0A9A"/>
    <w:rsid w:val="000E1161"/>
    <w:rsid w:val="000E1D0A"/>
    <w:rsid w:val="000E2104"/>
    <w:rsid w:val="000E3677"/>
    <w:rsid w:val="000E39E6"/>
    <w:rsid w:val="000E6A90"/>
    <w:rsid w:val="000E7570"/>
    <w:rsid w:val="000E7DD4"/>
    <w:rsid w:val="000F131A"/>
    <w:rsid w:val="000F1845"/>
    <w:rsid w:val="000F224F"/>
    <w:rsid w:val="000F395B"/>
    <w:rsid w:val="000F4EC4"/>
    <w:rsid w:val="000F51C5"/>
    <w:rsid w:val="000F7CB8"/>
    <w:rsid w:val="000F7D60"/>
    <w:rsid w:val="000F7F5B"/>
    <w:rsid w:val="0010018A"/>
    <w:rsid w:val="0010026E"/>
    <w:rsid w:val="00100B1D"/>
    <w:rsid w:val="00101C6E"/>
    <w:rsid w:val="00101D68"/>
    <w:rsid w:val="00101EC8"/>
    <w:rsid w:val="00104F0A"/>
    <w:rsid w:val="00105C9C"/>
    <w:rsid w:val="00105D7C"/>
    <w:rsid w:val="00105F95"/>
    <w:rsid w:val="00106BB5"/>
    <w:rsid w:val="00106BC6"/>
    <w:rsid w:val="00107950"/>
    <w:rsid w:val="00107CC4"/>
    <w:rsid w:val="00110E0B"/>
    <w:rsid w:val="0011112B"/>
    <w:rsid w:val="001112E7"/>
    <w:rsid w:val="00111F12"/>
    <w:rsid w:val="00113282"/>
    <w:rsid w:val="00113B88"/>
    <w:rsid w:val="00114272"/>
    <w:rsid w:val="001146FB"/>
    <w:rsid w:val="00114FC7"/>
    <w:rsid w:val="00115F5C"/>
    <w:rsid w:val="001179FA"/>
    <w:rsid w:val="00117D72"/>
    <w:rsid w:val="00117FC6"/>
    <w:rsid w:val="00120333"/>
    <w:rsid w:val="00120868"/>
    <w:rsid w:val="001209AF"/>
    <w:rsid w:val="001211F8"/>
    <w:rsid w:val="0012123B"/>
    <w:rsid w:val="00121B69"/>
    <w:rsid w:val="001220B4"/>
    <w:rsid w:val="0012267F"/>
    <w:rsid w:val="001228EF"/>
    <w:rsid w:val="0012292A"/>
    <w:rsid w:val="001234F4"/>
    <w:rsid w:val="00124354"/>
    <w:rsid w:val="00124516"/>
    <w:rsid w:val="00125113"/>
    <w:rsid w:val="0012668B"/>
    <w:rsid w:val="00126867"/>
    <w:rsid w:val="00126AA4"/>
    <w:rsid w:val="0012788A"/>
    <w:rsid w:val="00127C19"/>
    <w:rsid w:val="00127CC3"/>
    <w:rsid w:val="00130CB0"/>
    <w:rsid w:val="001311CA"/>
    <w:rsid w:val="00131FBC"/>
    <w:rsid w:val="00132A7B"/>
    <w:rsid w:val="00132D5C"/>
    <w:rsid w:val="00133CF6"/>
    <w:rsid w:val="001342C0"/>
    <w:rsid w:val="00134446"/>
    <w:rsid w:val="0013447B"/>
    <w:rsid w:val="001347E9"/>
    <w:rsid w:val="00134DD6"/>
    <w:rsid w:val="00135CF3"/>
    <w:rsid w:val="00136993"/>
    <w:rsid w:val="00136F7A"/>
    <w:rsid w:val="0013737A"/>
    <w:rsid w:val="00140BEF"/>
    <w:rsid w:val="0014188B"/>
    <w:rsid w:val="00142FE5"/>
    <w:rsid w:val="00143716"/>
    <w:rsid w:val="001439F1"/>
    <w:rsid w:val="00143C14"/>
    <w:rsid w:val="00144D19"/>
    <w:rsid w:val="00144EDD"/>
    <w:rsid w:val="0014668C"/>
    <w:rsid w:val="00146A0C"/>
    <w:rsid w:val="00147A1E"/>
    <w:rsid w:val="00147AAB"/>
    <w:rsid w:val="00151D1C"/>
    <w:rsid w:val="0015202C"/>
    <w:rsid w:val="00152746"/>
    <w:rsid w:val="00153AF4"/>
    <w:rsid w:val="00153E9B"/>
    <w:rsid w:val="001541FD"/>
    <w:rsid w:val="00154DE0"/>
    <w:rsid w:val="00156523"/>
    <w:rsid w:val="00157234"/>
    <w:rsid w:val="00160C7B"/>
    <w:rsid w:val="001610D6"/>
    <w:rsid w:val="00161C7A"/>
    <w:rsid w:val="00163690"/>
    <w:rsid w:val="00163F76"/>
    <w:rsid w:val="001646C4"/>
    <w:rsid w:val="001650E9"/>
    <w:rsid w:val="001658E5"/>
    <w:rsid w:val="001668BF"/>
    <w:rsid w:val="00166D3E"/>
    <w:rsid w:val="001674B9"/>
    <w:rsid w:val="0016778C"/>
    <w:rsid w:val="00167AB9"/>
    <w:rsid w:val="00170405"/>
    <w:rsid w:val="001705C7"/>
    <w:rsid w:val="00170979"/>
    <w:rsid w:val="0017324A"/>
    <w:rsid w:val="00173CA2"/>
    <w:rsid w:val="0017437B"/>
    <w:rsid w:val="00175D15"/>
    <w:rsid w:val="00175F55"/>
    <w:rsid w:val="001760F2"/>
    <w:rsid w:val="00177868"/>
    <w:rsid w:val="0017789F"/>
    <w:rsid w:val="001801E3"/>
    <w:rsid w:val="00180321"/>
    <w:rsid w:val="00180351"/>
    <w:rsid w:val="001807ED"/>
    <w:rsid w:val="00180D45"/>
    <w:rsid w:val="00181F64"/>
    <w:rsid w:val="00182160"/>
    <w:rsid w:val="001822A3"/>
    <w:rsid w:val="00183174"/>
    <w:rsid w:val="001834DB"/>
    <w:rsid w:val="00183520"/>
    <w:rsid w:val="00183A76"/>
    <w:rsid w:val="00184D33"/>
    <w:rsid w:val="00185C40"/>
    <w:rsid w:val="00186246"/>
    <w:rsid w:val="001862F0"/>
    <w:rsid w:val="00187551"/>
    <w:rsid w:val="00190485"/>
    <w:rsid w:val="00190898"/>
    <w:rsid w:val="001910E4"/>
    <w:rsid w:val="00191B66"/>
    <w:rsid w:val="00191CED"/>
    <w:rsid w:val="00191D46"/>
    <w:rsid w:val="0019209C"/>
    <w:rsid w:val="00192298"/>
    <w:rsid w:val="0019275C"/>
    <w:rsid w:val="00192A92"/>
    <w:rsid w:val="00192AB7"/>
    <w:rsid w:val="0019304D"/>
    <w:rsid w:val="00193297"/>
    <w:rsid w:val="0019622B"/>
    <w:rsid w:val="001A0037"/>
    <w:rsid w:val="001A02E2"/>
    <w:rsid w:val="001A0D9C"/>
    <w:rsid w:val="001A0E81"/>
    <w:rsid w:val="001A1014"/>
    <w:rsid w:val="001A2235"/>
    <w:rsid w:val="001A2684"/>
    <w:rsid w:val="001A449D"/>
    <w:rsid w:val="001A46AB"/>
    <w:rsid w:val="001A48F7"/>
    <w:rsid w:val="001A496C"/>
    <w:rsid w:val="001A4A8D"/>
    <w:rsid w:val="001A54AD"/>
    <w:rsid w:val="001A5A12"/>
    <w:rsid w:val="001A7081"/>
    <w:rsid w:val="001B0A18"/>
    <w:rsid w:val="001B1012"/>
    <w:rsid w:val="001B1265"/>
    <w:rsid w:val="001B13CC"/>
    <w:rsid w:val="001B1C70"/>
    <w:rsid w:val="001B2A7A"/>
    <w:rsid w:val="001B3A57"/>
    <w:rsid w:val="001B3EBC"/>
    <w:rsid w:val="001B4D64"/>
    <w:rsid w:val="001B57EE"/>
    <w:rsid w:val="001B5F33"/>
    <w:rsid w:val="001B62A2"/>
    <w:rsid w:val="001B6345"/>
    <w:rsid w:val="001B6845"/>
    <w:rsid w:val="001B6B8A"/>
    <w:rsid w:val="001B6D92"/>
    <w:rsid w:val="001B7090"/>
    <w:rsid w:val="001C0B07"/>
    <w:rsid w:val="001C12CD"/>
    <w:rsid w:val="001C1B34"/>
    <w:rsid w:val="001C2DFA"/>
    <w:rsid w:val="001C3D64"/>
    <w:rsid w:val="001C3F48"/>
    <w:rsid w:val="001C462F"/>
    <w:rsid w:val="001C46D4"/>
    <w:rsid w:val="001C47FD"/>
    <w:rsid w:val="001C4822"/>
    <w:rsid w:val="001C5AB8"/>
    <w:rsid w:val="001C5D96"/>
    <w:rsid w:val="001C608B"/>
    <w:rsid w:val="001C6C06"/>
    <w:rsid w:val="001D0167"/>
    <w:rsid w:val="001D19F0"/>
    <w:rsid w:val="001D1DD7"/>
    <w:rsid w:val="001D23C8"/>
    <w:rsid w:val="001D3E16"/>
    <w:rsid w:val="001D3F1F"/>
    <w:rsid w:val="001D47DE"/>
    <w:rsid w:val="001D4AA3"/>
    <w:rsid w:val="001D534F"/>
    <w:rsid w:val="001D6EE2"/>
    <w:rsid w:val="001D79C3"/>
    <w:rsid w:val="001E089E"/>
    <w:rsid w:val="001E2AF8"/>
    <w:rsid w:val="001E2B35"/>
    <w:rsid w:val="001E2BCA"/>
    <w:rsid w:val="001E2D20"/>
    <w:rsid w:val="001E3081"/>
    <w:rsid w:val="001E34A3"/>
    <w:rsid w:val="001E371D"/>
    <w:rsid w:val="001E3A7B"/>
    <w:rsid w:val="001E4E03"/>
    <w:rsid w:val="001E54E5"/>
    <w:rsid w:val="001E65E0"/>
    <w:rsid w:val="001E74B5"/>
    <w:rsid w:val="001F0FA9"/>
    <w:rsid w:val="001F1364"/>
    <w:rsid w:val="001F14E6"/>
    <w:rsid w:val="001F19BA"/>
    <w:rsid w:val="001F3A7A"/>
    <w:rsid w:val="001F4A43"/>
    <w:rsid w:val="001F4BF6"/>
    <w:rsid w:val="001F5F8D"/>
    <w:rsid w:val="001F6C45"/>
    <w:rsid w:val="001F6E27"/>
    <w:rsid w:val="001F72BC"/>
    <w:rsid w:val="001F7366"/>
    <w:rsid w:val="001F7386"/>
    <w:rsid w:val="001F742C"/>
    <w:rsid w:val="001F7F3B"/>
    <w:rsid w:val="002008FD"/>
    <w:rsid w:val="00200D64"/>
    <w:rsid w:val="002014EC"/>
    <w:rsid w:val="00202165"/>
    <w:rsid w:val="002022AF"/>
    <w:rsid w:val="00202AF2"/>
    <w:rsid w:val="00202E65"/>
    <w:rsid w:val="0020341D"/>
    <w:rsid w:val="002044FC"/>
    <w:rsid w:val="00205511"/>
    <w:rsid w:val="002062F8"/>
    <w:rsid w:val="00206467"/>
    <w:rsid w:val="002068E6"/>
    <w:rsid w:val="00207607"/>
    <w:rsid w:val="0021147B"/>
    <w:rsid w:val="0021271E"/>
    <w:rsid w:val="00212F6E"/>
    <w:rsid w:val="00213443"/>
    <w:rsid w:val="00214FDE"/>
    <w:rsid w:val="0021573E"/>
    <w:rsid w:val="0021622C"/>
    <w:rsid w:val="00216573"/>
    <w:rsid w:val="0021791A"/>
    <w:rsid w:val="00220163"/>
    <w:rsid w:val="002203AB"/>
    <w:rsid w:val="00220A08"/>
    <w:rsid w:val="002218E8"/>
    <w:rsid w:val="00223427"/>
    <w:rsid w:val="00224DF1"/>
    <w:rsid w:val="002250A3"/>
    <w:rsid w:val="002250FB"/>
    <w:rsid w:val="00225ADA"/>
    <w:rsid w:val="00226DF9"/>
    <w:rsid w:val="00230C80"/>
    <w:rsid w:val="00231106"/>
    <w:rsid w:val="00231A9A"/>
    <w:rsid w:val="0023231D"/>
    <w:rsid w:val="002325A3"/>
    <w:rsid w:val="00233187"/>
    <w:rsid w:val="00233983"/>
    <w:rsid w:val="002339F2"/>
    <w:rsid w:val="00233A03"/>
    <w:rsid w:val="00233F74"/>
    <w:rsid w:val="002347A2"/>
    <w:rsid w:val="0023494F"/>
    <w:rsid w:val="00234B91"/>
    <w:rsid w:val="002351D6"/>
    <w:rsid w:val="002355E0"/>
    <w:rsid w:val="00236252"/>
    <w:rsid w:val="00236BF7"/>
    <w:rsid w:val="0024057E"/>
    <w:rsid w:val="0024084B"/>
    <w:rsid w:val="00240C81"/>
    <w:rsid w:val="00241757"/>
    <w:rsid w:val="002438FB"/>
    <w:rsid w:val="00243D9C"/>
    <w:rsid w:val="0024413F"/>
    <w:rsid w:val="00245302"/>
    <w:rsid w:val="002455BE"/>
    <w:rsid w:val="002459B1"/>
    <w:rsid w:val="00246375"/>
    <w:rsid w:val="00246FAD"/>
    <w:rsid w:val="002472B1"/>
    <w:rsid w:val="00247353"/>
    <w:rsid w:val="00247485"/>
    <w:rsid w:val="0025025F"/>
    <w:rsid w:val="002502DE"/>
    <w:rsid w:val="002508D4"/>
    <w:rsid w:val="00252ADA"/>
    <w:rsid w:val="00252B3E"/>
    <w:rsid w:val="00252D21"/>
    <w:rsid w:val="00252F48"/>
    <w:rsid w:val="00254836"/>
    <w:rsid w:val="00254903"/>
    <w:rsid w:val="00255144"/>
    <w:rsid w:val="00255D94"/>
    <w:rsid w:val="00255DE3"/>
    <w:rsid w:val="00257963"/>
    <w:rsid w:val="00260CE0"/>
    <w:rsid w:val="00261ED0"/>
    <w:rsid w:val="0026238D"/>
    <w:rsid w:val="00263D07"/>
    <w:rsid w:val="002642C2"/>
    <w:rsid w:val="002645B1"/>
    <w:rsid w:val="002648CD"/>
    <w:rsid w:val="002668A3"/>
    <w:rsid w:val="00266ED2"/>
    <w:rsid w:val="00266F4D"/>
    <w:rsid w:val="00267204"/>
    <w:rsid w:val="00267D8B"/>
    <w:rsid w:val="00270681"/>
    <w:rsid w:val="00270B5F"/>
    <w:rsid w:val="00270C77"/>
    <w:rsid w:val="00271836"/>
    <w:rsid w:val="00271883"/>
    <w:rsid w:val="00271ADE"/>
    <w:rsid w:val="00273028"/>
    <w:rsid w:val="0027434A"/>
    <w:rsid w:val="002743EB"/>
    <w:rsid w:val="00274E43"/>
    <w:rsid w:val="00275B20"/>
    <w:rsid w:val="002767B3"/>
    <w:rsid w:val="00276F08"/>
    <w:rsid w:val="00276F60"/>
    <w:rsid w:val="00277FDF"/>
    <w:rsid w:val="0028025A"/>
    <w:rsid w:val="002802FB"/>
    <w:rsid w:val="00280D61"/>
    <w:rsid w:val="00280D62"/>
    <w:rsid w:val="002820D2"/>
    <w:rsid w:val="00284BBC"/>
    <w:rsid w:val="00284D7A"/>
    <w:rsid w:val="00285328"/>
    <w:rsid w:val="00285527"/>
    <w:rsid w:val="00285FEB"/>
    <w:rsid w:val="0028637E"/>
    <w:rsid w:val="00286E0F"/>
    <w:rsid w:val="00287A22"/>
    <w:rsid w:val="00287E26"/>
    <w:rsid w:val="00290FC9"/>
    <w:rsid w:val="00291818"/>
    <w:rsid w:val="00291FD4"/>
    <w:rsid w:val="00292495"/>
    <w:rsid w:val="0029249A"/>
    <w:rsid w:val="00292E40"/>
    <w:rsid w:val="0029308D"/>
    <w:rsid w:val="00293BD5"/>
    <w:rsid w:val="002945CD"/>
    <w:rsid w:val="002947A7"/>
    <w:rsid w:val="002955D8"/>
    <w:rsid w:val="002956F0"/>
    <w:rsid w:val="00297E6B"/>
    <w:rsid w:val="002A0099"/>
    <w:rsid w:val="002A0DE0"/>
    <w:rsid w:val="002A14FD"/>
    <w:rsid w:val="002A26E6"/>
    <w:rsid w:val="002A2C94"/>
    <w:rsid w:val="002A2CED"/>
    <w:rsid w:val="002A3183"/>
    <w:rsid w:val="002A3655"/>
    <w:rsid w:val="002A4098"/>
    <w:rsid w:val="002A6640"/>
    <w:rsid w:val="002A688A"/>
    <w:rsid w:val="002A69FC"/>
    <w:rsid w:val="002A6FA2"/>
    <w:rsid w:val="002A785A"/>
    <w:rsid w:val="002B00D8"/>
    <w:rsid w:val="002B1EE7"/>
    <w:rsid w:val="002B2166"/>
    <w:rsid w:val="002B2567"/>
    <w:rsid w:val="002B25A2"/>
    <w:rsid w:val="002B2BAE"/>
    <w:rsid w:val="002B2F9F"/>
    <w:rsid w:val="002B4203"/>
    <w:rsid w:val="002B4752"/>
    <w:rsid w:val="002B6B77"/>
    <w:rsid w:val="002B6BA8"/>
    <w:rsid w:val="002B73CB"/>
    <w:rsid w:val="002C005A"/>
    <w:rsid w:val="002C048E"/>
    <w:rsid w:val="002C08E5"/>
    <w:rsid w:val="002C14A5"/>
    <w:rsid w:val="002C256B"/>
    <w:rsid w:val="002C264E"/>
    <w:rsid w:val="002C2AD5"/>
    <w:rsid w:val="002C3660"/>
    <w:rsid w:val="002C36C8"/>
    <w:rsid w:val="002C4239"/>
    <w:rsid w:val="002C57D9"/>
    <w:rsid w:val="002C635B"/>
    <w:rsid w:val="002C686F"/>
    <w:rsid w:val="002C6950"/>
    <w:rsid w:val="002C6A7D"/>
    <w:rsid w:val="002C7445"/>
    <w:rsid w:val="002C7ECD"/>
    <w:rsid w:val="002D0080"/>
    <w:rsid w:val="002D0964"/>
    <w:rsid w:val="002D0A53"/>
    <w:rsid w:val="002D17D1"/>
    <w:rsid w:val="002D20C2"/>
    <w:rsid w:val="002D275C"/>
    <w:rsid w:val="002D29DF"/>
    <w:rsid w:val="002D2AA9"/>
    <w:rsid w:val="002D3288"/>
    <w:rsid w:val="002D35E5"/>
    <w:rsid w:val="002D3E55"/>
    <w:rsid w:val="002D4B6A"/>
    <w:rsid w:val="002D59EB"/>
    <w:rsid w:val="002D5A68"/>
    <w:rsid w:val="002D6094"/>
    <w:rsid w:val="002D638E"/>
    <w:rsid w:val="002D67B2"/>
    <w:rsid w:val="002D6E58"/>
    <w:rsid w:val="002D6F2E"/>
    <w:rsid w:val="002D7118"/>
    <w:rsid w:val="002D794E"/>
    <w:rsid w:val="002D7B16"/>
    <w:rsid w:val="002D7BEB"/>
    <w:rsid w:val="002D7C59"/>
    <w:rsid w:val="002D7C83"/>
    <w:rsid w:val="002E02F9"/>
    <w:rsid w:val="002E0483"/>
    <w:rsid w:val="002E09B5"/>
    <w:rsid w:val="002E1850"/>
    <w:rsid w:val="002E1EAC"/>
    <w:rsid w:val="002E3DD2"/>
    <w:rsid w:val="002E3EFA"/>
    <w:rsid w:val="002E479F"/>
    <w:rsid w:val="002E5F31"/>
    <w:rsid w:val="002E627B"/>
    <w:rsid w:val="002E6387"/>
    <w:rsid w:val="002E76DC"/>
    <w:rsid w:val="002E7ACA"/>
    <w:rsid w:val="002E7FEF"/>
    <w:rsid w:val="002F0DDB"/>
    <w:rsid w:val="002F11F9"/>
    <w:rsid w:val="002F1D29"/>
    <w:rsid w:val="002F1FFC"/>
    <w:rsid w:val="002F271B"/>
    <w:rsid w:val="002F2857"/>
    <w:rsid w:val="002F2E99"/>
    <w:rsid w:val="002F3268"/>
    <w:rsid w:val="002F3CEF"/>
    <w:rsid w:val="002F4D5D"/>
    <w:rsid w:val="002F5340"/>
    <w:rsid w:val="002F53F6"/>
    <w:rsid w:val="002F633C"/>
    <w:rsid w:val="002F7A5C"/>
    <w:rsid w:val="00300307"/>
    <w:rsid w:val="003003D7"/>
    <w:rsid w:val="0030059C"/>
    <w:rsid w:val="00301241"/>
    <w:rsid w:val="00301F4B"/>
    <w:rsid w:val="00302260"/>
    <w:rsid w:val="00303D86"/>
    <w:rsid w:val="00304035"/>
    <w:rsid w:val="0030424A"/>
    <w:rsid w:val="00304526"/>
    <w:rsid w:val="003054CE"/>
    <w:rsid w:val="003059EE"/>
    <w:rsid w:val="00306541"/>
    <w:rsid w:val="00307721"/>
    <w:rsid w:val="00310575"/>
    <w:rsid w:val="0031065D"/>
    <w:rsid w:val="0031091F"/>
    <w:rsid w:val="00310A6E"/>
    <w:rsid w:val="00310D69"/>
    <w:rsid w:val="00311B3E"/>
    <w:rsid w:val="00311E71"/>
    <w:rsid w:val="00312286"/>
    <w:rsid w:val="00313B3D"/>
    <w:rsid w:val="0031434E"/>
    <w:rsid w:val="0031445C"/>
    <w:rsid w:val="00314CFB"/>
    <w:rsid w:val="00315DC8"/>
    <w:rsid w:val="00316273"/>
    <w:rsid w:val="003176D3"/>
    <w:rsid w:val="00317E2C"/>
    <w:rsid w:val="003215F7"/>
    <w:rsid w:val="00321B51"/>
    <w:rsid w:val="00321C67"/>
    <w:rsid w:val="00322699"/>
    <w:rsid w:val="003235CD"/>
    <w:rsid w:val="00323E0B"/>
    <w:rsid w:val="0032410C"/>
    <w:rsid w:val="003254A6"/>
    <w:rsid w:val="0032598F"/>
    <w:rsid w:val="00325B3A"/>
    <w:rsid w:val="0032609C"/>
    <w:rsid w:val="003262CD"/>
    <w:rsid w:val="00326485"/>
    <w:rsid w:val="003271C8"/>
    <w:rsid w:val="00327929"/>
    <w:rsid w:val="00327BBF"/>
    <w:rsid w:val="0033118F"/>
    <w:rsid w:val="0033147D"/>
    <w:rsid w:val="0033168F"/>
    <w:rsid w:val="00332108"/>
    <w:rsid w:val="00332814"/>
    <w:rsid w:val="00333403"/>
    <w:rsid w:val="003336D9"/>
    <w:rsid w:val="003344A3"/>
    <w:rsid w:val="0033457C"/>
    <w:rsid w:val="00334A52"/>
    <w:rsid w:val="00334D82"/>
    <w:rsid w:val="003356D2"/>
    <w:rsid w:val="00335BAE"/>
    <w:rsid w:val="00335E50"/>
    <w:rsid w:val="003367B7"/>
    <w:rsid w:val="00337CF1"/>
    <w:rsid w:val="003412B4"/>
    <w:rsid w:val="003427BF"/>
    <w:rsid w:val="003429B7"/>
    <w:rsid w:val="00342EA5"/>
    <w:rsid w:val="00342ED1"/>
    <w:rsid w:val="00345E3C"/>
    <w:rsid w:val="003475B6"/>
    <w:rsid w:val="00350D24"/>
    <w:rsid w:val="00351D5A"/>
    <w:rsid w:val="00352139"/>
    <w:rsid w:val="00353EA0"/>
    <w:rsid w:val="00355401"/>
    <w:rsid w:val="003554B0"/>
    <w:rsid w:val="003556A0"/>
    <w:rsid w:val="00356024"/>
    <w:rsid w:val="003568A8"/>
    <w:rsid w:val="00356922"/>
    <w:rsid w:val="00356B86"/>
    <w:rsid w:val="0035719C"/>
    <w:rsid w:val="00357487"/>
    <w:rsid w:val="003576EB"/>
    <w:rsid w:val="003577D1"/>
    <w:rsid w:val="003579A3"/>
    <w:rsid w:val="00357B8D"/>
    <w:rsid w:val="00357E33"/>
    <w:rsid w:val="003605F3"/>
    <w:rsid w:val="00360A1F"/>
    <w:rsid w:val="00361438"/>
    <w:rsid w:val="00362978"/>
    <w:rsid w:val="003629F1"/>
    <w:rsid w:val="0036324D"/>
    <w:rsid w:val="0036411A"/>
    <w:rsid w:val="003642AA"/>
    <w:rsid w:val="003659D3"/>
    <w:rsid w:val="00365BE5"/>
    <w:rsid w:val="00366505"/>
    <w:rsid w:val="00367A0E"/>
    <w:rsid w:val="003710A1"/>
    <w:rsid w:val="00371A5B"/>
    <w:rsid w:val="00371D3E"/>
    <w:rsid w:val="00372DD4"/>
    <w:rsid w:val="00373578"/>
    <w:rsid w:val="0037368E"/>
    <w:rsid w:val="00373B01"/>
    <w:rsid w:val="003751EC"/>
    <w:rsid w:val="00375494"/>
    <w:rsid w:val="00375E91"/>
    <w:rsid w:val="00376748"/>
    <w:rsid w:val="00377A51"/>
    <w:rsid w:val="00380C5D"/>
    <w:rsid w:val="00383FF6"/>
    <w:rsid w:val="00384E89"/>
    <w:rsid w:val="00385386"/>
    <w:rsid w:val="00385520"/>
    <w:rsid w:val="00385F1E"/>
    <w:rsid w:val="003863C3"/>
    <w:rsid w:val="00386A9E"/>
    <w:rsid w:val="00387D01"/>
    <w:rsid w:val="003910F4"/>
    <w:rsid w:val="003911B8"/>
    <w:rsid w:val="00392124"/>
    <w:rsid w:val="00392CB4"/>
    <w:rsid w:val="00393431"/>
    <w:rsid w:val="00394269"/>
    <w:rsid w:val="0039445E"/>
    <w:rsid w:val="00394564"/>
    <w:rsid w:val="0039459E"/>
    <w:rsid w:val="003945D8"/>
    <w:rsid w:val="00396501"/>
    <w:rsid w:val="00396979"/>
    <w:rsid w:val="00396AFA"/>
    <w:rsid w:val="00397137"/>
    <w:rsid w:val="00397976"/>
    <w:rsid w:val="00397F6B"/>
    <w:rsid w:val="003A001C"/>
    <w:rsid w:val="003A066A"/>
    <w:rsid w:val="003A077F"/>
    <w:rsid w:val="003A30AB"/>
    <w:rsid w:val="003A48F8"/>
    <w:rsid w:val="003A5BA5"/>
    <w:rsid w:val="003A7747"/>
    <w:rsid w:val="003B08B8"/>
    <w:rsid w:val="003B13B4"/>
    <w:rsid w:val="003B2FCA"/>
    <w:rsid w:val="003B3599"/>
    <w:rsid w:val="003B3F99"/>
    <w:rsid w:val="003B41D1"/>
    <w:rsid w:val="003B537A"/>
    <w:rsid w:val="003B5C41"/>
    <w:rsid w:val="003B641E"/>
    <w:rsid w:val="003C198D"/>
    <w:rsid w:val="003C1E35"/>
    <w:rsid w:val="003C1E9D"/>
    <w:rsid w:val="003C2371"/>
    <w:rsid w:val="003C2CAC"/>
    <w:rsid w:val="003C2EB4"/>
    <w:rsid w:val="003C3374"/>
    <w:rsid w:val="003C45EB"/>
    <w:rsid w:val="003C5303"/>
    <w:rsid w:val="003C61C4"/>
    <w:rsid w:val="003C63A8"/>
    <w:rsid w:val="003C6566"/>
    <w:rsid w:val="003C7350"/>
    <w:rsid w:val="003C7AF4"/>
    <w:rsid w:val="003D06B5"/>
    <w:rsid w:val="003D0B33"/>
    <w:rsid w:val="003D16CE"/>
    <w:rsid w:val="003D1F86"/>
    <w:rsid w:val="003D2670"/>
    <w:rsid w:val="003D3794"/>
    <w:rsid w:val="003D3E0E"/>
    <w:rsid w:val="003D405B"/>
    <w:rsid w:val="003D52B8"/>
    <w:rsid w:val="003D562F"/>
    <w:rsid w:val="003D5F55"/>
    <w:rsid w:val="003D6B74"/>
    <w:rsid w:val="003D700A"/>
    <w:rsid w:val="003D71B7"/>
    <w:rsid w:val="003D7B26"/>
    <w:rsid w:val="003E030D"/>
    <w:rsid w:val="003E1053"/>
    <w:rsid w:val="003E25A7"/>
    <w:rsid w:val="003E2D27"/>
    <w:rsid w:val="003E30A2"/>
    <w:rsid w:val="003E3302"/>
    <w:rsid w:val="003E3F66"/>
    <w:rsid w:val="003E4B72"/>
    <w:rsid w:val="003E52BF"/>
    <w:rsid w:val="003E57A8"/>
    <w:rsid w:val="003E5E81"/>
    <w:rsid w:val="003E617A"/>
    <w:rsid w:val="003E6CCF"/>
    <w:rsid w:val="003E70D8"/>
    <w:rsid w:val="003F09AD"/>
    <w:rsid w:val="003F0BAC"/>
    <w:rsid w:val="003F0F19"/>
    <w:rsid w:val="003F1829"/>
    <w:rsid w:val="003F1C40"/>
    <w:rsid w:val="003F32C3"/>
    <w:rsid w:val="003F32EB"/>
    <w:rsid w:val="003F3506"/>
    <w:rsid w:val="003F35AE"/>
    <w:rsid w:val="003F360A"/>
    <w:rsid w:val="003F3B1C"/>
    <w:rsid w:val="003F4FF9"/>
    <w:rsid w:val="003F60BA"/>
    <w:rsid w:val="004000A8"/>
    <w:rsid w:val="00401287"/>
    <w:rsid w:val="00401305"/>
    <w:rsid w:val="0040166A"/>
    <w:rsid w:val="00401D9C"/>
    <w:rsid w:val="00402F8C"/>
    <w:rsid w:val="00403152"/>
    <w:rsid w:val="00403266"/>
    <w:rsid w:val="0040376B"/>
    <w:rsid w:val="004040B3"/>
    <w:rsid w:val="00405427"/>
    <w:rsid w:val="00406892"/>
    <w:rsid w:val="00410908"/>
    <w:rsid w:val="00410920"/>
    <w:rsid w:val="00411D25"/>
    <w:rsid w:val="004125CB"/>
    <w:rsid w:val="00412B7F"/>
    <w:rsid w:val="00412F1B"/>
    <w:rsid w:val="004138BA"/>
    <w:rsid w:val="00413BB5"/>
    <w:rsid w:val="0041449B"/>
    <w:rsid w:val="004144E3"/>
    <w:rsid w:val="004148F5"/>
    <w:rsid w:val="00414B2D"/>
    <w:rsid w:val="004153A6"/>
    <w:rsid w:val="00416190"/>
    <w:rsid w:val="004161C4"/>
    <w:rsid w:val="00416C84"/>
    <w:rsid w:val="00416F3D"/>
    <w:rsid w:val="004171D6"/>
    <w:rsid w:val="00420191"/>
    <w:rsid w:val="00420F8D"/>
    <w:rsid w:val="00421985"/>
    <w:rsid w:val="00421B5B"/>
    <w:rsid w:val="00421D67"/>
    <w:rsid w:val="004220A2"/>
    <w:rsid w:val="00422728"/>
    <w:rsid w:val="004227FA"/>
    <w:rsid w:val="004231C2"/>
    <w:rsid w:val="004245B0"/>
    <w:rsid w:val="00424EEF"/>
    <w:rsid w:val="004251E9"/>
    <w:rsid w:val="0042568D"/>
    <w:rsid w:val="00425C70"/>
    <w:rsid w:val="00426010"/>
    <w:rsid w:val="004261FD"/>
    <w:rsid w:val="004263C8"/>
    <w:rsid w:val="0042650A"/>
    <w:rsid w:val="004267B4"/>
    <w:rsid w:val="00426E64"/>
    <w:rsid w:val="00427410"/>
    <w:rsid w:val="0042797A"/>
    <w:rsid w:val="00427A31"/>
    <w:rsid w:val="00430AD1"/>
    <w:rsid w:val="0043111D"/>
    <w:rsid w:val="004329D2"/>
    <w:rsid w:val="0043350E"/>
    <w:rsid w:val="00434087"/>
    <w:rsid w:val="004340B3"/>
    <w:rsid w:val="004355B7"/>
    <w:rsid w:val="00435637"/>
    <w:rsid w:val="0043675D"/>
    <w:rsid w:val="004377E7"/>
    <w:rsid w:val="004379F6"/>
    <w:rsid w:val="00437BEA"/>
    <w:rsid w:val="00440220"/>
    <w:rsid w:val="0044063E"/>
    <w:rsid w:val="00440F3A"/>
    <w:rsid w:val="0044182E"/>
    <w:rsid w:val="004432B4"/>
    <w:rsid w:val="00443CC2"/>
    <w:rsid w:val="00444341"/>
    <w:rsid w:val="0044478E"/>
    <w:rsid w:val="00445C26"/>
    <w:rsid w:val="004471D0"/>
    <w:rsid w:val="00447CDB"/>
    <w:rsid w:val="00450A2B"/>
    <w:rsid w:val="00452186"/>
    <w:rsid w:val="004524A5"/>
    <w:rsid w:val="00454211"/>
    <w:rsid w:val="00454AFA"/>
    <w:rsid w:val="004552A6"/>
    <w:rsid w:val="004557F2"/>
    <w:rsid w:val="00457B45"/>
    <w:rsid w:val="0046056A"/>
    <w:rsid w:val="00460D84"/>
    <w:rsid w:val="00461650"/>
    <w:rsid w:val="0046183F"/>
    <w:rsid w:val="004619B4"/>
    <w:rsid w:val="00461AC9"/>
    <w:rsid w:val="00462ABC"/>
    <w:rsid w:val="00462EC7"/>
    <w:rsid w:val="00462ED3"/>
    <w:rsid w:val="0046318F"/>
    <w:rsid w:val="00464FCC"/>
    <w:rsid w:val="004652FA"/>
    <w:rsid w:val="00465AD2"/>
    <w:rsid w:val="00465DEC"/>
    <w:rsid w:val="00465EB8"/>
    <w:rsid w:val="0047178E"/>
    <w:rsid w:val="0047198A"/>
    <w:rsid w:val="00471A6F"/>
    <w:rsid w:val="004728E4"/>
    <w:rsid w:val="004729D2"/>
    <w:rsid w:val="004744AF"/>
    <w:rsid w:val="00474874"/>
    <w:rsid w:val="00475D58"/>
    <w:rsid w:val="00476683"/>
    <w:rsid w:val="00476D98"/>
    <w:rsid w:val="004770DA"/>
    <w:rsid w:val="0047769A"/>
    <w:rsid w:val="00477734"/>
    <w:rsid w:val="00477952"/>
    <w:rsid w:val="00477B9E"/>
    <w:rsid w:val="0048059A"/>
    <w:rsid w:val="004808D3"/>
    <w:rsid w:val="0048130C"/>
    <w:rsid w:val="00481A6D"/>
    <w:rsid w:val="00482DE1"/>
    <w:rsid w:val="00483891"/>
    <w:rsid w:val="00483F09"/>
    <w:rsid w:val="00484154"/>
    <w:rsid w:val="00484482"/>
    <w:rsid w:val="0048530A"/>
    <w:rsid w:val="00485383"/>
    <w:rsid w:val="00485597"/>
    <w:rsid w:val="004862C4"/>
    <w:rsid w:val="0048639C"/>
    <w:rsid w:val="0048653F"/>
    <w:rsid w:val="00486CFB"/>
    <w:rsid w:val="00487E46"/>
    <w:rsid w:val="00490054"/>
    <w:rsid w:val="004905A2"/>
    <w:rsid w:val="00491A1C"/>
    <w:rsid w:val="00491C23"/>
    <w:rsid w:val="00492143"/>
    <w:rsid w:val="00493089"/>
    <w:rsid w:val="004936C9"/>
    <w:rsid w:val="00494CCD"/>
    <w:rsid w:val="004953B2"/>
    <w:rsid w:val="00495CB4"/>
    <w:rsid w:val="00495ECD"/>
    <w:rsid w:val="004966C6"/>
    <w:rsid w:val="00497019"/>
    <w:rsid w:val="004973FC"/>
    <w:rsid w:val="00497402"/>
    <w:rsid w:val="00497548"/>
    <w:rsid w:val="00497642"/>
    <w:rsid w:val="004976E5"/>
    <w:rsid w:val="004A0F50"/>
    <w:rsid w:val="004A11E0"/>
    <w:rsid w:val="004A2483"/>
    <w:rsid w:val="004A2570"/>
    <w:rsid w:val="004A2722"/>
    <w:rsid w:val="004A2C6B"/>
    <w:rsid w:val="004A4187"/>
    <w:rsid w:val="004A536D"/>
    <w:rsid w:val="004A58E5"/>
    <w:rsid w:val="004A5C75"/>
    <w:rsid w:val="004A627E"/>
    <w:rsid w:val="004A65C6"/>
    <w:rsid w:val="004A68A1"/>
    <w:rsid w:val="004B0B16"/>
    <w:rsid w:val="004B1394"/>
    <w:rsid w:val="004B2405"/>
    <w:rsid w:val="004B29A7"/>
    <w:rsid w:val="004B32ED"/>
    <w:rsid w:val="004B4224"/>
    <w:rsid w:val="004B44E9"/>
    <w:rsid w:val="004B48C5"/>
    <w:rsid w:val="004B4B34"/>
    <w:rsid w:val="004B4EEB"/>
    <w:rsid w:val="004B593C"/>
    <w:rsid w:val="004B5BE7"/>
    <w:rsid w:val="004B652C"/>
    <w:rsid w:val="004B73F1"/>
    <w:rsid w:val="004B77F9"/>
    <w:rsid w:val="004C085A"/>
    <w:rsid w:val="004C08F1"/>
    <w:rsid w:val="004C125F"/>
    <w:rsid w:val="004C130D"/>
    <w:rsid w:val="004C2B16"/>
    <w:rsid w:val="004C2CB5"/>
    <w:rsid w:val="004C3259"/>
    <w:rsid w:val="004C3936"/>
    <w:rsid w:val="004C3F85"/>
    <w:rsid w:val="004C41B4"/>
    <w:rsid w:val="004C432C"/>
    <w:rsid w:val="004C4C9F"/>
    <w:rsid w:val="004C62F9"/>
    <w:rsid w:val="004C64A3"/>
    <w:rsid w:val="004C69A7"/>
    <w:rsid w:val="004C6B58"/>
    <w:rsid w:val="004C7AA8"/>
    <w:rsid w:val="004D021F"/>
    <w:rsid w:val="004D0643"/>
    <w:rsid w:val="004D09E1"/>
    <w:rsid w:val="004D0A0C"/>
    <w:rsid w:val="004D1533"/>
    <w:rsid w:val="004D16BA"/>
    <w:rsid w:val="004D1BFB"/>
    <w:rsid w:val="004D1D35"/>
    <w:rsid w:val="004D20B4"/>
    <w:rsid w:val="004D2228"/>
    <w:rsid w:val="004D277D"/>
    <w:rsid w:val="004D2AA1"/>
    <w:rsid w:val="004D2ACC"/>
    <w:rsid w:val="004D3EF6"/>
    <w:rsid w:val="004D40C6"/>
    <w:rsid w:val="004D4135"/>
    <w:rsid w:val="004D415E"/>
    <w:rsid w:val="004D457C"/>
    <w:rsid w:val="004D4D81"/>
    <w:rsid w:val="004D54FB"/>
    <w:rsid w:val="004D6183"/>
    <w:rsid w:val="004D68FB"/>
    <w:rsid w:val="004D6B44"/>
    <w:rsid w:val="004D7C1E"/>
    <w:rsid w:val="004E024D"/>
    <w:rsid w:val="004E0589"/>
    <w:rsid w:val="004E1C42"/>
    <w:rsid w:val="004E213A"/>
    <w:rsid w:val="004E2A1B"/>
    <w:rsid w:val="004E3583"/>
    <w:rsid w:val="004E3D4E"/>
    <w:rsid w:val="004E466F"/>
    <w:rsid w:val="004E4EF3"/>
    <w:rsid w:val="004E5318"/>
    <w:rsid w:val="004E5564"/>
    <w:rsid w:val="004E557D"/>
    <w:rsid w:val="004E6370"/>
    <w:rsid w:val="004E6703"/>
    <w:rsid w:val="004E6AF7"/>
    <w:rsid w:val="004E7013"/>
    <w:rsid w:val="004E73DE"/>
    <w:rsid w:val="004E77EF"/>
    <w:rsid w:val="004F0AA2"/>
    <w:rsid w:val="004F179B"/>
    <w:rsid w:val="004F1AB1"/>
    <w:rsid w:val="004F1AC3"/>
    <w:rsid w:val="004F223F"/>
    <w:rsid w:val="004F24E0"/>
    <w:rsid w:val="004F26BA"/>
    <w:rsid w:val="004F3830"/>
    <w:rsid w:val="004F3F35"/>
    <w:rsid w:val="004F48E9"/>
    <w:rsid w:val="004F4F80"/>
    <w:rsid w:val="004F5096"/>
    <w:rsid w:val="004F5756"/>
    <w:rsid w:val="004F6080"/>
    <w:rsid w:val="004F617E"/>
    <w:rsid w:val="004F68BB"/>
    <w:rsid w:val="004F6C33"/>
    <w:rsid w:val="004F75B6"/>
    <w:rsid w:val="004F7DE3"/>
    <w:rsid w:val="00501219"/>
    <w:rsid w:val="005022C8"/>
    <w:rsid w:val="00502BBF"/>
    <w:rsid w:val="00503513"/>
    <w:rsid w:val="00504DDA"/>
    <w:rsid w:val="005053FA"/>
    <w:rsid w:val="00505823"/>
    <w:rsid w:val="005070E3"/>
    <w:rsid w:val="005100FE"/>
    <w:rsid w:val="005104C7"/>
    <w:rsid w:val="00510781"/>
    <w:rsid w:val="00510A73"/>
    <w:rsid w:val="00510D3C"/>
    <w:rsid w:val="005110D3"/>
    <w:rsid w:val="0051128B"/>
    <w:rsid w:val="005134C5"/>
    <w:rsid w:val="00513698"/>
    <w:rsid w:val="005144A9"/>
    <w:rsid w:val="005150D8"/>
    <w:rsid w:val="00515BC4"/>
    <w:rsid w:val="00516841"/>
    <w:rsid w:val="00516B10"/>
    <w:rsid w:val="0052041A"/>
    <w:rsid w:val="00521879"/>
    <w:rsid w:val="00522524"/>
    <w:rsid w:val="005229B4"/>
    <w:rsid w:val="005229CC"/>
    <w:rsid w:val="00522BE3"/>
    <w:rsid w:val="0052438F"/>
    <w:rsid w:val="0052460D"/>
    <w:rsid w:val="00525085"/>
    <w:rsid w:val="00525139"/>
    <w:rsid w:val="0052548B"/>
    <w:rsid w:val="00525AD6"/>
    <w:rsid w:val="00526AFF"/>
    <w:rsid w:val="0052772D"/>
    <w:rsid w:val="00527B7B"/>
    <w:rsid w:val="00527CB5"/>
    <w:rsid w:val="0053009C"/>
    <w:rsid w:val="00530583"/>
    <w:rsid w:val="00531530"/>
    <w:rsid w:val="0053262E"/>
    <w:rsid w:val="0053290E"/>
    <w:rsid w:val="00532C3A"/>
    <w:rsid w:val="005333FF"/>
    <w:rsid w:val="005339BB"/>
    <w:rsid w:val="00533EC7"/>
    <w:rsid w:val="0053436A"/>
    <w:rsid w:val="00535D21"/>
    <w:rsid w:val="00536109"/>
    <w:rsid w:val="005362E4"/>
    <w:rsid w:val="00536ABF"/>
    <w:rsid w:val="00536E22"/>
    <w:rsid w:val="00537495"/>
    <w:rsid w:val="00540624"/>
    <w:rsid w:val="00540660"/>
    <w:rsid w:val="005408E1"/>
    <w:rsid w:val="00540CAD"/>
    <w:rsid w:val="00540E49"/>
    <w:rsid w:val="005415EE"/>
    <w:rsid w:val="00541E1E"/>
    <w:rsid w:val="0054219D"/>
    <w:rsid w:val="005430B1"/>
    <w:rsid w:val="00543A3D"/>
    <w:rsid w:val="00544656"/>
    <w:rsid w:val="00544A09"/>
    <w:rsid w:val="005456F8"/>
    <w:rsid w:val="00546B67"/>
    <w:rsid w:val="00547BBC"/>
    <w:rsid w:val="00547DF5"/>
    <w:rsid w:val="005508FB"/>
    <w:rsid w:val="00550E49"/>
    <w:rsid w:val="0055152F"/>
    <w:rsid w:val="005515B1"/>
    <w:rsid w:val="00552485"/>
    <w:rsid w:val="00552807"/>
    <w:rsid w:val="00555191"/>
    <w:rsid w:val="0055638F"/>
    <w:rsid w:val="00556DB2"/>
    <w:rsid w:val="005578C7"/>
    <w:rsid w:val="005602A9"/>
    <w:rsid w:val="0056036D"/>
    <w:rsid w:val="0056069A"/>
    <w:rsid w:val="00560991"/>
    <w:rsid w:val="0056156F"/>
    <w:rsid w:val="005618BC"/>
    <w:rsid w:val="00561F7D"/>
    <w:rsid w:val="00562265"/>
    <w:rsid w:val="00562772"/>
    <w:rsid w:val="005627EE"/>
    <w:rsid w:val="00563069"/>
    <w:rsid w:val="005636B3"/>
    <w:rsid w:val="00563D28"/>
    <w:rsid w:val="00563DD8"/>
    <w:rsid w:val="00564C5B"/>
    <w:rsid w:val="00564E8C"/>
    <w:rsid w:val="00566680"/>
    <w:rsid w:val="005667F5"/>
    <w:rsid w:val="00570181"/>
    <w:rsid w:val="00570714"/>
    <w:rsid w:val="00570CA4"/>
    <w:rsid w:val="00570F23"/>
    <w:rsid w:val="00571500"/>
    <w:rsid w:val="005717F9"/>
    <w:rsid w:val="005727B4"/>
    <w:rsid w:val="005728C9"/>
    <w:rsid w:val="00575399"/>
    <w:rsid w:val="00575825"/>
    <w:rsid w:val="00576052"/>
    <w:rsid w:val="00576B65"/>
    <w:rsid w:val="00576E4B"/>
    <w:rsid w:val="005772CE"/>
    <w:rsid w:val="00577D87"/>
    <w:rsid w:val="005818FF"/>
    <w:rsid w:val="005824A9"/>
    <w:rsid w:val="00583D98"/>
    <w:rsid w:val="00584D27"/>
    <w:rsid w:val="00584E9B"/>
    <w:rsid w:val="00584F56"/>
    <w:rsid w:val="0058683A"/>
    <w:rsid w:val="005868D2"/>
    <w:rsid w:val="005900CF"/>
    <w:rsid w:val="00590FA3"/>
    <w:rsid w:val="00591844"/>
    <w:rsid w:val="00591CD9"/>
    <w:rsid w:val="00592291"/>
    <w:rsid w:val="005933F1"/>
    <w:rsid w:val="00594672"/>
    <w:rsid w:val="00594D26"/>
    <w:rsid w:val="0059534E"/>
    <w:rsid w:val="00595B01"/>
    <w:rsid w:val="00595D04"/>
    <w:rsid w:val="00596B28"/>
    <w:rsid w:val="005971A8"/>
    <w:rsid w:val="005971DD"/>
    <w:rsid w:val="005979B3"/>
    <w:rsid w:val="00597AC6"/>
    <w:rsid w:val="00597D21"/>
    <w:rsid w:val="005A0494"/>
    <w:rsid w:val="005A0B68"/>
    <w:rsid w:val="005A1214"/>
    <w:rsid w:val="005A19E9"/>
    <w:rsid w:val="005A260E"/>
    <w:rsid w:val="005A2D0F"/>
    <w:rsid w:val="005A36CE"/>
    <w:rsid w:val="005A3E43"/>
    <w:rsid w:val="005A48C6"/>
    <w:rsid w:val="005A4B49"/>
    <w:rsid w:val="005A518D"/>
    <w:rsid w:val="005A6A69"/>
    <w:rsid w:val="005A6AC9"/>
    <w:rsid w:val="005A6D4F"/>
    <w:rsid w:val="005A705C"/>
    <w:rsid w:val="005A77BC"/>
    <w:rsid w:val="005A7971"/>
    <w:rsid w:val="005B059C"/>
    <w:rsid w:val="005B1380"/>
    <w:rsid w:val="005B19D0"/>
    <w:rsid w:val="005B224F"/>
    <w:rsid w:val="005B24FF"/>
    <w:rsid w:val="005B30C9"/>
    <w:rsid w:val="005B3B84"/>
    <w:rsid w:val="005B44AC"/>
    <w:rsid w:val="005B4727"/>
    <w:rsid w:val="005B4901"/>
    <w:rsid w:val="005B492D"/>
    <w:rsid w:val="005B4F08"/>
    <w:rsid w:val="005B532C"/>
    <w:rsid w:val="005B58F1"/>
    <w:rsid w:val="005B73A1"/>
    <w:rsid w:val="005B75C4"/>
    <w:rsid w:val="005B7741"/>
    <w:rsid w:val="005C009B"/>
    <w:rsid w:val="005C0969"/>
    <w:rsid w:val="005C1072"/>
    <w:rsid w:val="005C1F09"/>
    <w:rsid w:val="005C2542"/>
    <w:rsid w:val="005C2A27"/>
    <w:rsid w:val="005C2CCB"/>
    <w:rsid w:val="005C4CEB"/>
    <w:rsid w:val="005C5C72"/>
    <w:rsid w:val="005C5EE4"/>
    <w:rsid w:val="005C6E38"/>
    <w:rsid w:val="005C6EC5"/>
    <w:rsid w:val="005C6F95"/>
    <w:rsid w:val="005C7121"/>
    <w:rsid w:val="005C73B1"/>
    <w:rsid w:val="005C76A7"/>
    <w:rsid w:val="005C7FAE"/>
    <w:rsid w:val="005D0342"/>
    <w:rsid w:val="005D0F98"/>
    <w:rsid w:val="005D1C85"/>
    <w:rsid w:val="005D273C"/>
    <w:rsid w:val="005D2E84"/>
    <w:rsid w:val="005D31E4"/>
    <w:rsid w:val="005D3556"/>
    <w:rsid w:val="005D39CC"/>
    <w:rsid w:val="005D472C"/>
    <w:rsid w:val="005D4E0F"/>
    <w:rsid w:val="005D5898"/>
    <w:rsid w:val="005D5991"/>
    <w:rsid w:val="005D5B9F"/>
    <w:rsid w:val="005D6010"/>
    <w:rsid w:val="005D61AF"/>
    <w:rsid w:val="005D64CA"/>
    <w:rsid w:val="005D7471"/>
    <w:rsid w:val="005E05AF"/>
    <w:rsid w:val="005E0AC7"/>
    <w:rsid w:val="005E1086"/>
    <w:rsid w:val="005E1731"/>
    <w:rsid w:val="005E22B9"/>
    <w:rsid w:val="005E2554"/>
    <w:rsid w:val="005E29A7"/>
    <w:rsid w:val="005E2C97"/>
    <w:rsid w:val="005E2F6D"/>
    <w:rsid w:val="005E30BD"/>
    <w:rsid w:val="005E32BE"/>
    <w:rsid w:val="005E36BD"/>
    <w:rsid w:val="005E391D"/>
    <w:rsid w:val="005E44FB"/>
    <w:rsid w:val="005E45F5"/>
    <w:rsid w:val="005E5522"/>
    <w:rsid w:val="005E5D2D"/>
    <w:rsid w:val="005E6762"/>
    <w:rsid w:val="005E7395"/>
    <w:rsid w:val="005E7E2E"/>
    <w:rsid w:val="005F01CC"/>
    <w:rsid w:val="005F04BC"/>
    <w:rsid w:val="005F0FD7"/>
    <w:rsid w:val="005F14E1"/>
    <w:rsid w:val="005F1726"/>
    <w:rsid w:val="005F19D7"/>
    <w:rsid w:val="005F211D"/>
    <w:rsid w:val="005F2B8C"/>
    <w:rsid w:val="005F308E"/>
    <w:rsid w:val="005F340A"/>
    <w:rsid w:val="005F3DCD"/>
    <w:rsid w:val="005F3E9B"/>
    <w:rsid w:val="005F43FC"/>
    <w:rsid w:val="005F496C"/>
    <w:rsid w:val="005F4E99"/>
    <w:rsid w:val="005F5CEB"/>
    <w:rsid w:val="005F64CA"/>
    <w:rsid w:val="005F65CF"/>
    <w:rsid w:val="005F6B95"/>
    <w:rsid w:val="005F738E"/>
    <w:rsid w:val="006002A9"/>
    <w:rsid w:val="0060065A"/>
    <w:rsid w:val="006006C6"/>
    <w:rsid w:val="00602204"/>
    <w:rsid w:val="006028C9"/>
    <w:rsid w:val="006038D9"/>
    <w:rsid w:val="006039BA"/>
    <w:rsid w:val="00603D58"/>
    <w:rsid w:val="006059BD"/>
    <w:rsid w:val="00605A53"/>
    <w:rsid w:val="00605C0A"/>
    <w:rsid w:val="00605C77"/>
    <w:rsid w:val="00605DB5"/>
    <w:rsid w:val="006064FA"/>
    <w:rsid w:val="00606891"/>
    <w:rsid w:val="00606AAF"/>
    <w:rsid w:val="00606FE8"/>
    <w:rsid w:val="00607B38"/>
    <w:rsid w:val="00607BDC"/>
    <w:rsid w:val="00610CC4"/>
    <w:rsid w:val="00612BA6"/>
    <w:rsid w:val="00612F51"/>
    <w:rsid w:val="006144A2"/>
    <w:rsid w:val="00614889"/>
    <w:rsid w:val="006148AF"/>
    <w:rsid w:val="00615394"/>
    <w:rsid w:val="00617CE1"/>
    <w:rsid w:val="00620D4A"/>
    <w:rsid w:val="00622A49"/>
    <w:rsid w:val="00622EA0"/>
    <w:rsid w:val="0062409B"/>
    <w:rsid w:val="0062410C"/>
    <w:rsid w:val="00624238"/>
    <w:rsid w:val="00624790"/>
    <w:rsid w:val="00625217"/>
    <w:rsid w:val="006254B0"/>
    <w:rsid w:val="00625E7C"/>
    <w:rsid w:val="00626A32"/>
    <w:rsid w:val="00626ABC"/>
    <w:rsid w:val="00627841"/>
    <w:rsid w:val="00630263"/>
    <w:rsid w:val="00630E1A"/>
    <w:rsid w:val="0063166B"/>
    <w:rsid w:val="006316B8"/>
    <w:rsid w:val="006324F4"/>
    <w:rsid w:val="0063354C"/>
    <w:rsid w:val="0063422D"/>
    <w:rsid w:val="00635235"/>
    <w:rsid w:val="00635912"/>
    <w:rsid w:val="00636A6D"/>
    <w:rsid w:val="006402F8"/>
    <w:rsid w:val="00640D58"/>
    <w:rsid w:val="00641362"/>
    <w:rsid w:val="00641EB2"/>
    <w:rsid w:val="00643432"/>
    <w:rsid w:val="00643F16"/>
    <w:rsid w:val="006446EC"/>
    <w:rsid w:val="00644BB7"/>
    <w:rsid w:val="006452F9"/>
    <w:rsid w:val="006458ED"/>
    <w:rsid w:val="00645FDD"/>
    <w:rsid w:val="00646ACA"/>
    <w:rsid w:val="00647EAE"/>
    <w:rsid w:val="00650647"/>
    <w:rsid w:val="00650CBD"/>
    <w:rsid w:val="00651EE0"/>
    <w:rsid w:val="006520AC"/>
    <w:rsid w:val="00654C82"/>
    <w:rsid w:val="006550CA"/>
    <w:rsid w:val="0065540E"/>
    <w:rsid w:val="00655593"/>
    <w:rsid w:val="00656E52"/>
    <w:rsid w:val="006572A4"/>
    <w:rsid w:val="0066056B"/>
    <w:rsid w:val="00660711"/>
    <w:rsid w:val="00660E53"/>
    <w:rsid w:val="006615D5"/>
    <w:rsid w:val="006622B1"/>
    <w:rsid w:val="006631E8"/>
    <w:rsid w:val="0066332B"/>
    <w:rsid w:val="00663A53"/>
    <w:rsid w:val="006642E8"/>
    <w:rsid w:val="006648DC"/>
    <w:rsid w:val="00670ACD"/>
    <w:rsid w:val="00673628"/>
    <w:rsid w:val="00673E0D"/>
    <w:rsid w:val="0067469C"/>
    <w:rsid w:val="00675183"/>
    <w:rsid w:val="006753DA"/>
    <w:rsid w:val="00675C0D"/>
    <w:rsid w:val="00675EE0"/>
    <w:rsid w:val="00676512"/>
    <w:rsid w:val="00677878"/>
    <w:rsid w:val="00677EB3"/>
    <w:rsid w:val="00680442"/>
    <w:rsid w:val="006810BE"/>
    <w:rsid w:val="0068159A"/>
    <w:rsid w:val="00682828"/>
    <w:rsid w:val="00682B05"/>
    <w:rsid w:val="00683250"/>
    <w:rsid w:val="006832F5"/>
    <w:rsid w:val="006833BF"/>
    <w:rsid w:val="006839C8"/>
    <w:rsid w:val="00683B50"/>
    <w:rsid w:val="00684406"/>
    <w:rsid w:val="00684483"/>
    <w:rsid w:val="006847D1"/>
    <w:rsid w:val="00686565"/>
    <w:rsid w:val="00686578"/>
    <w:rsid w:val="006865A0"/>
    <w:rsid w:val="00686E3C"/>
    <w:rsid w:val="006870DA"/>
    <w:rsid w:val="00687108"/>
    <w:rsid w:val="006878DC"/>
    <w:rsid w:val="00687D09"/>
    <w:rsid w:val="006912C4"/>
    <w:rsid w:val="00691AFC"/>
    <w:rsid w:val="00691BA2"/>
    <w:rsid w:val="00693D60"/>
    <w:rsid w:val="00694522"/>
    <w:rsid w:val="0069473A"/>
    <w:rsid w:val="00694757"/>
    <w:rsid w:val="006947D1"/>
    <w:rsid w:val="006952CF"/>
    <w:rsid w:val="00695CD0"/>
    <w:rsid w:val="00695F54"/>
    <w:rsid w:val="00696E5B"/>
    <w:rsid w:val="006971FB"/>
    <w:rsid w:val="00697360"/>
    <w:rsid w:val="0069750E"/>
    <w:rsid w:val="006976D6"/>
    <w:rsid w:val="006A0F48"/>
    <w:rsid w:val="006A1293"/>
    <w:rsid w:val="006A18FB"/>
    <w:rsid w:val="006A1BA1"/>
    <w:rsid w:val="006A2027"/>
    <w:rsid w:val="006A205A"/>
    <w:rsid w:val="006A2B55"/>
    <w:rsid w:val="006A2B99"/>
    <w:rsid w:val="006A2DB8"/>
    <w:rsid w:val="006A2FB2"/>
    <w:rsid w:val="006A3B54"/>
    <w:rsid w:val="006A41C7"/>
    <w:rsid w:val="006A42FB"/>
    <w:rsid w:val="006A46B3"/>
    <w:rsid w:val="006A4812"/>
    <w:rsid w:val="006A53FA"/>
    <w:rsid w:val="006A55AB"/>
    <w:rsid w:val="006A5F62"/>
    <w:rsid w:val="006A68F9"/>
    <w:rsid w:val="006A6C43"/>
    <w:rsid w:val="006A7B17"/>
    <w:rsid w:val="006A7D75"/>
    <w:rsid w:val="006B08ED"/>
    <w:rsid w:val="006B0B41"/>
    <w:rsid w:val="006B0F19"/>
    <w:rsid w:val="006B17EF"/>
    <w:rsid w:val="006B1E6F"/>
    <w:rsid w:val="006B3224"/>
    <w:rsid w:val="006B3FED"/>
    <w:rsid w:val="006B4095"/>
    <w:rsid w:val="006B500B"/>
    <w:rsid w:val="006B5985"/>
    <w:rsid w:val="006B5A3B"/>
    <w:rsid w:val="006B62A9"/>
    <w:rsid w:val="006B6465"/>
    <w:rsid w:val="006B6658"/>
    <w:rsid w:val="006B6DE9"/>
    <w:rsid w:val="006B751A"/>
    <w:rsid w:val="006B7867"/>
    <w:rsid w:val="006B7B55"/>
    <w:rsid w:val="006C028C"/>
    <w:rsid w:val="006C16CA"/>
    <w:rsid w:val="006C18B0"/>
    <w:rsid w:val="006C1AD9"/>
    <w:rsid w:val="006C2EAC"/>
    <w:rsid w:val="006C391F"/>
    <w:rsid w:val="006C41EA"/>
    <w:rsid w:val="006C45FD"/>
    <w:rsid w:val="006C4D1A"/>
    <w:rsid w:val="006C54D9"/>
    <w:rsid w:val="006C6051"/>
    <w:rsid w:val="006C6BB1"/>
    <w:rsid w:val="006C7FCE"/>
    <w:rsid w:val="006D1046"/>
    <w:rsid w:val="006D1186"/>
    <w:rsid w:val="006D15F1"/>
    <w:rsid w:val="006D174B"/>
    <w:rsid w:val="006D1AC7"/>
    <w:rsid w:val="006D2413"/>
    <w:rsid w:val="006D2549"/>
    <w:rsid w:val="006D272D"/>
    <w:rsid w:val="006D2CFF"/>
    <w:rsid w:val="006D3051"/>
    <w:rsid w:val="006D3991"/>
    <w:rsid w:val="006D3B1F"/>
    <w:rsid w:val="006D4037"/>
    <w:rsid w:val="006D4519"/>
    <w:rsid w:val="006D4F75"/>
    <w:rsid w:val="006D5571"/>
    <w:rsid w:val="006D5740"/>
    <w:rsid w:val="006D602F"/>
    <w:rsid w:val="006D6EC2"/>
    <w:rsid w:val="006D72F5"/>
    <w:rsid w:val="006D739C"/>
    <w:rsid w:val="006D7DD5"/>
    <w:rsid w:val="006E0995"/>
    <w:rsid w:val="006E0E83"/>
    <w:rsid w:val="006E23B3"/>
    <w:rsid w:val="006E29DF"/>
    <w:rsid w:val="006E45C7"/>
    <w:rsid w:val="006E5670"/>
    <w:rsid w:val="006E5921"/>
    <w:rsid w:val="006E5D6D"/>
    <w:rsid w:val="006E6113"/>
    <w:rsid w:val="006E63D1"/>
    <w:rsid w:val="006E6556"/>
    <w:rsid w:val="006E75AB"/>
    <w:rsid w:val="006E7A98"/>
    <w:rsid w:val="006E7D2F"/>
    <w:rsid w:val="006F001C"/>
    <w:rsid w:val="006F09AA"/>
    <w:rsid w:val="006F226F"/>
    <w:rsid w:val="006F33DE"/>
    <w:rsid w:val="006F3E7E"/>
    <w:rsid w:val="006F4154"/>
    <w:rsid w:val="006F4568"/>
    <w:rsid w:val="006F4E34"/>
    <w:rsid w:val="006F54FF"/>
    <w:rsid w:val="006F5796"/>
    <w:rsid w:val="006F6B1C"/>
    <w:rsid w:val="006F701B"/>
    <w:rsid w:val="006F7020"/>
    <w:rsid w:val="006F7490"/>
    <w:rsid w:val="006F78AF"/>
    <w:rsid w:val="007001DF"/>
    <w:rsid w:val="0070026D"/>
    <w:rsid w:val="00700945"/>
    <w:rsid w:val="00700DC9"/>
    <w:rsid w:val="00701698"/>
    <w:rsid w:val="007016D5"/>
    <w:rsid w:val="00701AF6"/>
    <w:rsid w:val="00701BE1"/>
    <w:rsid w:val="00702090"/>
    <w:rsid w:val="007027FB"/>
    <w:rsid w:val="00702B5C"/>
    <w:rsid w:val="00703497"/>
    <w:rsid w:val="0070365B"/>
    <w:rsid w:val="0070397B"/>
    <w:rsid w:val="007047A2"/>
    <w:rsid w:val="00704979"/>
    <w:rsid w:val="007051B3"/>
    <w:rsid w:val="007057A9"/>
    <w:rsid w:val="0070692C"/>
    <w:rsid w:val="00706EF0"/>
    <w:rsid w:val="007075FC"/>
    <w:rsid w:val="00707733"/>
    <w:rsid w:val="0071016B"/>
    <w:rsid w:val="0071070B"/>
    <w:rsid w:val="00710849"/>
    <w:rsid w:val="0071101E"/>
    <w:rsid w:val="007110A9"/>
    <w:rsid w:val="00713187"/>
    <w:rsid w:val="00713489"/>
    <w:rsid w:val="0071470F"/>
    <w:rsid w:val="007157A4"/>
    <w:rsid w:val="007160A2"/>
    <w:rsid w:val="00716C5E"/>
    <w:rsid w:val="00717059"/>
    <w:rsid w:val="0071732A"/>
    <w:rsid w:val="00717CF3"/>
    <w:rsid w:val="00717F85"/>
    <w:rsid w:val="0072037E"/>
    <w:rsid w:val="007206E1"/>
    <w:rsid w:val="007228E1"/>
    <w:rsid w:val="00722D84"/>
    <w:rsid w:val="00722E9A"/>
    <w:rsid w:val="007232FF"/>
    <w:rsid w:val="00723E5E"/>
    <w:rsid w:val="00724670"/>
    <w:rsid w:val="00724C03"/>
    <w:rsid w:val="00725D3B"/>
    <w:rsid w:val="00726002"/>
    <w:rsid w:val="00726D64"/>
    <w:rsid w:val="007270ED"/>
    <w:rsid w:val="0072784B"/>
    <w:rsid w:val="0073040D"/>
    <w:rsid w:val="0073158C"/>
    <w:rsid w:val="00732560"/>
    <w:rsid w:val="00733442"/>
    <w:rsid w:val="00733603"/>
    <w:rsid w:val="00733976"/>
    <w:rsid w:val="00734182"/>
    <w:rsid w:val="007343D2"/>
    <w:rsid w:val="007345D8"/>
    <w:rsid w:val="00734892"/>
    <w:rsid w:val="00734F2F"/>
    <w:rsid w:val="00735167"/>
    <w:rsid w:val="00735338"/>
    <w:rsid w:val="00735A00"/>
    <w:rsid w:val="00735D2D"/>
    <w:rsid w:val="00735FB0"/>
    <w:rsid w:val="00735FB9"/>
    <w:rsid w:val="007374DC"/>
    <w:rsid w:val="00737B26"/>
    <w:rsid w:val="00740525"/>
    <w:rsid w:val="00740788"/>
    <w:rsid w:val="00741690"/>
    <w:rsid w:val="007419F1"/>
    <w:rsid w:val="00742391"/>
    <w:rsid w:val="007436F1"/>
    <w:rsid w:val="00743F14"/>
    <w:rsid w:val="007451CD"/>
    <w:rsid w:val="007454C2"/>
    <w:rsid w:val="00745F10"/>
    <w:rsid w:val="0074620F"/>
    <w:rsid w:val="00747C47"/>
    <w:rsid w:val="00747D28"/>
    <w:rsid w:val="00747DF6"/>
    <w:rsid w:val="00750839"/>
    <w:rsid w:val="0075085C"/>
    <w:rsid w:val="007509A9"/>
    <w:rsid w:val="00750B15"/>
    <w:rsid w:val="0075172E"/>
    <w:rsid w:val="00751A5F"/>
    <w:rsid w:val="00751BFF"/>
    <w:rsid w:val="00751C15"/>
    <w:rsid w:val="00752519"/>
    <w:rsid w:val="00752C07"/>
    <w:rsid w:val="00752D9B"/>
    <w:rsid w:val="00753194"/>
    <w:rsid w:val="007531D6"/>
    <w:rsid w:val="00753C03"/>
    <w:rsid w:val="00755C41"/>
    <w:rsid w:val="00755EBB"/>
    <w:rsid w:val="00756197"/>
    <w:rsid w:val="0075682B"/>
    <w:rsid w:val="00756AEF"/>
    <w:rsid w:val="00756C87"/>
    <w:rsid w:val="00760323"/>
    <w:rsid w:val="00762682"/>
    <w:rsid w:val="00762ADD"/>
    <w:rsid w:val="00763228"/>
    <w:rsid w:val="00763554"/>
    <w:rsid w:val="00764351"/>
    <w:rsid w:val="007649EA"/>
    <w:rsid w:val="00764DD8"/>
    <w:rsid w:val="00766118"/>
    <w:rsid w:val="007668C0"/>
    <w:rsid w:val="007677B9"/>
    <w:rsid w:val="00767B7B"/>
    <w:rsid w:val="00770C3E"/>
    <w:rsid w:val="00771183"/>
    <w:rsid w:val="0077158D"/>
    <w:rsid w:val="007723FD"/>
    <w:rsid w:val="0077334A"/>
    <w:rsid w:val="00774B60"/>
    <w:rsid w:val="00775B1B"/>
    <w:rsid w:val="00776637"/>
    <w:rsid w:val="00780296"/>
    <w:rsid w:val="007804C2"/>
    <w:rsid w:val="00780DA4"/>
    <w:rsid w:val="00780FFA"/>
    <w:rsid w:val="00781C3A"/>
    <w:rsid w:val="007823C4"/>
    <w:rsid w:val="007826C1"/>
    <w:rsid w:val="00782CDC"/>
    <w:rsid w:val="00783745"/>
    <w:rsid w:val="00783CC4"/>
    <w:rsid w:val="007848BA"/>
    <w:rsid w:val="00784CB5"/>
    <w:rsid w:val="00785111"/>
    <w:rsid w:val="007855B9"/>
    <w:rsid w:val="007870C5"/>
    <w:rsid w:val="00787A94"/>
    <w:rsid w:val="00790C14"/>
    <w:rsid w:val="007921BF"/>
    <w:rsid w:val="007922BC"/>
    <w:rsid w:val="00792628"/>
    <w:rsid w:val="00792721"/>
    <w:rsid w:val="00792B72"/>
    <w:rsid w:val="00793016"/>
    <w:rsid w:val="0079396C"/>
    <w:rsid w:val="00794027"/>
    <w:rsid w:val="0079440F"/>
    <w:rsid w:val="0079445C"/>
    <w:rsid w:val="00795A26"/>
    <w:rsid w:val="007964EC"/>
    <w:rsid w:val="00796595"/>
    <w:rsid w:val="00797B87"/>
    <w:rsid w:val="007A121E"/>
    <w:rsid w:val="007A1433"/>
    <w:rsid w:val="007A154D"/>
    <w:rsid w:val="007A15C2"/>
    <w:rsid w:val="007A1D47"/>
    <w:rsid w:val="007A364A"/>
    <w:rsid w:val="007A38DD"/>
    <w:rsid w:val="007A47CC"/>
    <w:rsid w:val="007A4E79"/>
    <w:rsid w:val="007A4F62"/>
    <w:rsid w:val="007A5229"/>
    <w:rsid w:val="007A5247"/>
    <w:rsid w:val="007A53CB"/>
    <w:rsid w:val="007A5477"/>
    <w:rsid w:val="007A5633"/>
    <w:rsid w:val="007A5983"/>
    <w:rsid w:val="007A60D3"/>
    <w:rsid w:val="007A7992"/>
    <w:rsid w:val="007A7A3A"/>
    <w:rsid w:val="007A7B16"/>
    <w:rsid w:val="007A7B56"/>
    <w:rsid w:val="007B04DD"/>
    <w:rsid w:val="007B0515"/>
    <w:rsid w:val="007B0624"/>
    <w:rsid w:val="007B1111"/>
    <w:rsid w:val="007B16E5"/>
    <w:rsid w:val="007B1921"/>
    <w:rsid w:val="007B1F07"/>
    <w:rsid w:val="007B3841"/>
    <w:rsid w:val="007B3960"/>
    <w:rsid w:val="007B5996"/>
    <w:rsid w:val="007B6B2E"/>
    <w:rsid w:val="007C0137"/>
    <w:rsid w:val="007C0326"/>
    <w:rsid w:val="007C04C7"/>
    <w:rsid w:val="007C1341"/>
    <w:rsid w:val="007C159A"/>
    <w:rsid w:val="007C2F71"/>
    <w:rsid w:val="007C40FB"/>
    <w:rsid w:val="007C60E2"/>
    <w:rsid w:val="007C65B7"/>
    <w:rsid w:val="007C6B76"/>
    <w:rsid w:val="007C6E63"/>
    <w:rsid w:val="007C7103"/>
    <w:rsid w:val="007C7897"/>
    <w:rsid w:val="007C7AD5"/>
    <w:rsid w:val="007C7CF6"/>
    <w:rsid w:val="007D01C4"/>
    <w:rsid w:val="007D064B"/>
    <w:rsid w:val="007D06DB"/>
    <w:rsid w:val="007D06F7"/>
    <w:rsid w:val="007D2270"/>
    <w:rsid w:val="007D313F"/>
    <w:rsid w:val="007D45D0"/>
    <w:rsid w:val="007D61E1"/>
    <w:rsid w:val="007D70EE"/>
    <w:rsid w:val="007D7102"/>
    <w:rsid w:val="007D75AE"/>
    <w:rsid w:val="007D7BA7"/>
    <w:rsid w:val="007D7CBB"/>
    <w:rsid w:val="007E03FE"/>
    <w:rsid w:val="007E1190"/>
    <w:rsid w:val="007E17C3"/>
    <w:rsid w:val="007E31D1"/>
    <w:rsid w:val="007E3512"/>
    <w:rsid w:val="007E3B78"/>
    <w:rsid w:val="007E490F"/>
    <w:rsid w:val="007E49DD"/>
    <w:rsid w:val="007E4F13"/>
    <w:rsid w:val="007E4FA4"/>
    <w:rsid w:val="007E5802"/>
    <w:rsid w:val="007E6857"/>
    <w:rsid w:val="007E6B50"/>
    <w:rsid w:val="007F042A"/>
    <w:rsid w:val="007F0444"/>
    <w:rsid w:val="007F0E47"/>
    <w:rsid w:val="007F1B1E"/>
    <w:rsid w:val="007F1EA9"/>
    <w:rsid w:val="007F2FDD"/>
    <w:rsid w:val="007F3D26"/>
    <w:rsid w:val="007F4002"/>
    <w:rsid w:val="007F4652"/>
    <w:rsid w:val="007F4E62"/>
    <w:rsid w:val="007F5B95"/>
    <w:rsid w:val="007F5DBD"/>
    <w:rsid w:val="007F64BE"/>
    <w:rsid w:val="007F6DDE"/>
    <w:rsid w:val="007F6E36"/>
    <w:rsid w:val="007F75EA"/>
    <w:rsid w:val="00800D05"/>
    <w:rsid w:val="00801C63"/>
    <w:rsid w:val="00802639"/>
    <w:rsid w:val="0080272F"/>
    <w:rsid w:val="008036F2"/>
    <w:rsid w:val="008038A3"/>
    <w:rsid w:val="00804CAE"/>
    <w:rsid w:val="00804CFB"/>
    <w:rsid w:val="00804EFA"/>
    <w:rsid w:val="00806512"/>
    <w:rsid w:val="00806E97"/>
    <w:rsid w:val="008104EE"/>
    <w:rsid w:val="008108CF"/>
    <w:rsid w:val="00810A76"/>
    <w:rsid w:val="0081107B"/>
    <w:rsid w:val="00811591"/>
    <w:rsid w:val="008122FF"/>
    <w:rsid w:val="00812B37"/>
    <w:rsid w:val="00813354"/>
    <w:rsid w:val="00814736"/>
    <w:rsid w:val="00814F69"/>
    <w:rsid w:val="00815D01"/>
    <w:rsid w:val="0081700B"/>
    <w:rsid w:val="00817B41"/>
    <w:rsid w:val="0082066C"/>
    <w:rsid w:val="00820B4A"/>
    <w:rsid w:val="00820B8B"/>
    <w:rsid w:val="0082146E"/>
    <w:rsid w:val="00821C6A"/>
    <w:rsid w:val="008221B6"/>
    <w:rsid w:val="00822436"/>
    <w:rsid w:val="00825A8E"/>
    <w:rsid w:val="00825B3F"/>
    <w:rsid w:val="008268DA"/>
    <w:rsid w:val="00826994"/>
    <w:rsid w:val="008269AB"/>
    <w:rsid w:val="008269BB"/>
    <w:rsid w:val="0082778A"/>
    <w:rsid w:val="00827926"/>
    <w:rsid w:val="008279C8"/>
    <w:rsid w:val="00827F99"/>
    <w:rsid w:val="008326C7"/>
    <w:rsid w:val="0083288F"/>
    <w:rsid w:val="00832ACD"/>
    <w:rsid w:val="008334F8"/>
    <w:rsid w:val="00833F83"/>
    <w:rsid w:val="00834BB0"/>
    <w:rsid w:val="00834CF8"/>
    <w:rsid w:val="00834F0A"/>
    <w:rsid w:val="00835365"/>
    <w:rsid w:val="008355F7"/>
    <w:rsid w:val="00835891"/>
    <w:rsid w:val="00835C87"/>
    <w:rsid w:val="00836B24"/>
    <w:rsid w:val="00837288"/>
    <w:rsid w:val="00837801"/>
    <w:rsid w:val="008403B4"/>
    <w:rsid w:val="008404CE"/>
    <w:rsid w:val="008406BC"/>
    <w:rsid w:val="0084145E"/>
    <w:rsid w:val="00842048"/>
    <w:rsid w:val="008420E4"/>
    <w:rsid w:val="008425F4"/>
    <w:rsid w:val="00844955"/>
    <w:rsid w:val="00845E3E"/>
    <w:rsid w:val="00846282"/>
    <w:rsid w:val="00846DFD"/>
    <w:rsid w:val="008477A1"/>
    <w:rsid w:val="0085068A"/>
    <w:rsid w:val="00850AFF"/>
    <w:rsid w:val="00851AC6"/>
    <w:rsid w:val="008522D0"/>
    <w:rsid w:val="00853CA0"/>
    <w:rsid w:val="00854167"/>
    <w:rsid w:val="008541B8"/>
    <w:rsid w:val="00854221"/>
    <w:rsid w:val="0085431A"/>
    <w:rsid w:val="0085458E"/>
    <w:rsid w:val="0085461E"/>
    <w:rsid w:val="00854BBD"/>
    <w:rsid w:val="008553E4"/>
    <w:rsid w:val="0085569C"/>
    <w:rsid w:val="008567BC"/>
    <w:rsid w:val="00856916"/>
    <w:rsid w:val="008569D2"/>
    <w:rsid w:val="00856CDB"/>
    <w:rsid w:val="00857382"/>
    <w:rsid w:val="00857884"/>
    <w:rsid w:val="008610A0"/>
    <w:rsid w:val="00861149"/>
    <w:rsid w:val="00861AA8"/>
    <w:rsid w:val="00863A84"/>
    <w:rsid w:val="008646E9"/>
    <w:rsid w:val="00864739"/>
    <w:rsid w:val="00864F21"/>
    <w:rsid w:val="00865688"/>
    <w:rsid w:val="008662EB"/>
    <w:rsid w:val="008664AB"/>
    <w:rsid w:val="00866DFA"/>
    <w:rsid w:val="008672F7"/>
    <w:rsid w:val="008676A0"/>
    <w:rsid w:val="00870384"/>
    <w:rsid w:val="00873060"/>
    <w:rsid w:val="00873472"/>
    <w:rsid w:val="00873823"/>
    <w:rsid w:val="00874F63"/>
    <w:rsid w:val="00875A49"/>
    <w:rsid w:val="00875CD3"/>
    <w:rsid w:val="00876249"/>
    <w:rsid w:val="00876437"/>
    <w:rsid w:val="00876E3B"/>
    <w:rsid w:val="008810AD"/>
    <w:rsid w:val="008813DA"/>
    <w:rsid w:val="00882305"/>
    <w:rsid w:val="00882768"/>
    <w:rsid w:val="00883B14"/>
    <w:rsid w:val="008843D4"/>
    <w:rsid w:val="008845B6"/>
    <w:rsid w:val="00884C77"/>
    <w:rsid w:val="0088542C"/>
    <w:rsid w:val="00885478"/>
    <w:rsid w:val="008858A7"/>
    <w:rsid w:val="008861C2"/>
    <w:rsid w:val="00886C6D"/>
    <w:rsid w:val="008870D6"/>
    <w:rsid w:val="008875F8"/>
    <w:rsid w:val="00887DBA"/>
    <w:rsid w:val="00890965"/>
    <w:rsid w:val="00891632"/>
    <w:rsid w:val="00891656"/>
    <w:rsid w:val="00891CC7"/>
    <w:rsid w:val="00893C84"/>
    <w:rsid w:val="00894BAA"/>
    <w:rsid w:val="0089629B"/>
    <w:rsid w:val="00896390"/>
    <w:rsid w:val="008967E8"/>
    <w:rsid w:val="008A044B"/>
    <w:rsid w:val="008A1195"/>
    <w:rsid w:val="008A1516"/>
    <w:rsid w:val="008A2351"/>
    <w:rsid w:val="008A235C"/>
    <w:rsid w:val="008A261B"/>
    <w:rsid w:val="008A3D61"/>
    <w:rsid w:val="008A4DBB"/>
    <w:rsid w:val="008A4F5D"/>
    <w:rsid w:val="008A6183"/>
    <w:rsid w:val="008A6B49"/>
    <w:rsid w:val="008A6B84"/>
    <w:rsid w:val="008A749B"/>
    <w:rsid w:val="008A78C1"/>
    <w:rsid w:val="008A795B"/>
    <w:rsid w:val="008A7A0E"/>
    <w:rsid w:val="008A7D36"/>
    <w:rsid w:val="008B01A9"/>
    <w:rsid w:val="008B14EA"/>
    <w:rsid w:val="008B15CC"/>
    <w:rsid w:val="008B181D"/>
    <w:rsid w:val="008B1961"/>
    <w:rsid w:val="008B1C40"/>
    <w:rsid w:val="008B1CB9"/>
    <w:rsid w:val="008B1F3D"/>
    <w:rsid w:val="008B260B"/>
    <w:rsid w:val="008B3B52"/>
    <w:rsid w:val="008B486B"/>
    <w:rsid w:val="008B522A"/>
    <w:rsid w:val="008B5A6E"/>
    <w:rsid w:val="008B6111"/>
    <w:rsid w:val="008B613D"/>
    <w:rsid w:val="008B665D"/>
    <w:rsid w:val="008C0317"/>
    <w:rsid w:val="008C07DE"/>
    <w:rsid w:val="008C0F21"/>
    <w:rsid w:val="008C1152"/>
    <w:rsid w:val="008C1DB5"/>
    <w:rsid w:val="008C25E2"/>
    <w:rsid w:val="008C285E"/>
    <w:rsid w:val="008C33CE"/>
    <w:rsid w:val="008C3EA7"/>
    <w:rsid w:val="008C4409"/>
    <w:rsid w:val="008C4D89"/>
    <w:rsid w:val="008C55DC"/>
    <w:rsid w:val="008C5BAC"/>
    <w:rsid w:val="008C5C9F"/>
    <w:rsid w:val="008C6362"/>
    <w:rsid w:val="008C665A"/>
    <w:rsid w:val="008C6D63"/>
    <w:rsid w:val="008C6F82"/>
    <w:rsid w:val="008C71B9"/>
    <w:rsid w:val="008D009D"/>
    <w:rsid w:val="008D0234"/>
    <w:rsid w:val="008D07A8"/>
    <w:rsid w:val="008D0C60"/>
    <w:rsid w:val="008D19CE"/>
    <w:rsid w:val="008D1FB2"/>
    <w:rsid w:val="008D26A6"/>
    <w:rsid w:val="008D3091"/>
    <w:rsid w:val="008D3461"/>
    <w:rsid w:val="008D3A50"/>
    <w:rsid w:val="008D3B54"/>
    <w:rsid w:val="008D4A32"/>
    <w:rsid w:val="008D5040"/>
    <w:rsid w:val="008D5F30"/>
    <w:rsid w:val="008D6775"/>
    <w:rsid w:val="008D7410"/>
    <w:rsid w:val="008D787E"/>
    <w:rsid w:val="008D7B46"/>
    <w:rsid w:val="008D7C6A"/>
    <w:rsid w:val="008E01D3"/>
    <w:rsid w:val="008E03BA"/>
    <w:rsid w:val="008E1B0D"/>
    <w:rsid w:val="008E21FE"/>
    <w:rsid w:val="008E285A"/>
    <w:rsid w:val="008E2EB6"/>
    <w:rsid w:val="008E358A"/>
    <w:rsid w:val="008E4988"/>
    <w:rsid w:val="008E4D3C"/>
    <w:rsid w:val="008E5342"/>
    <w:rsid w:val="008E7749"/>
    <w:rsid w:val="008F0101"/>
    <w:rsid w:val="008F0531"/>
    <w:rsid w:val="008F05F8"/>
    <w:rsid w:val="008F1430"/>
    <w:rsid w:val="008F1852"/>
    <w:rsid w:val="008F23A5"/>
    <w:rsid w:val="008F2988"/>
    <w:rsid w:val="008F3084"/>
    <w:rsid w:val="008F50E8"/>
    <w:rsid w:val="008F64CF"/>
    <w:rsid w:val="008F6C9F"/>
    <w:rsid w:val="009008C3"/>
    <w:rsid w:val="009009C0"/>
    <w:rsid w:val="009018B6"/>
    <w:rsid w:val="00901F98"/>
    <w:rsid w:val="009022AF"/>
    <w:rsid w:val="00902BCF"/>
    <w:rsid w:val="009039F9"/>
    <w:rsid w:val="00903FA1"/>
    <w:rsid w:val="00904CBF"/>
    <w:rsid w:val="0090511A"/>
    <w:rsid w:val="00905CE8"/>
    <w:rsid w:val="0090646A"/>
    <w:rsid w:val="00906B45"/>
    <w:rsid w:val="00907EF3"/>
    <w:rsid w:val="00910370"/>
    <w:rsid w:val="009103BA"/>
    <w:rsid w:val="0091060A"/>
    <w:rsid w:val="009114AC"/>
    <w:rsid w:val="00912036"/>
    <w:rsid w:val="009121CC"/>
    <w:rsid w:val="009121CD"/>
    <w:rsid w:val="00913294"/>
    <w:rsid w:val="00913C61"/>
    <w:rsid w:val="00914333"/>
    <w:rsid w:val="009153C6"/>
    <w:rsid w:val="00916B5A"/>
    <w:rsid w:val="00916EB2"/>
    <w:rsid w:val="00917223"/>
    <w:rsid w:val="009203A2"/>
    <w:rsid w:val="00921031"/>
    <w:rsid w:val="009214C6"/>
    <w:rsid w:val="0092249A"/>
    <w:rsid w:val="00922B4D"/>
    <w:rsid w:val="00922F82"/>
    <w:rsid w:val="00923166"/>
    <w:rsid w:val="009235EA"/>
    <w:rsid w:val="0092390D"/>
    <w:rsid w:val="009245D7"/>
    <w:rsid w:val="00924951"/>
    <w:rsid w:val="00924D06"/>
    <w:rsid w:val="009253F4"/>
    <w:rsid w:val="00927737"/>
    <w:rsid w:val="0093220A"/>
    <w:rsid w:val="00932312"/>
    <w:rsid w:val="0093319A"/>
    <w:rsid w:val="00933B28"/>
    <w:rsid w:val="009342C2"/>
    <w:rsid w:val="0093576E"/>
    <w:rsid w:val="0093578E"/>
    <w:rsid w:val="00935BEE"/>
    <w:rsid w:val="00936418"/>
    <w:rsid w:val="009365EB"/>
    <w:rsid w:val="00937080"/>
    <w:rsid w:val="009373C2"/>
    <w:rsid w:val="00937783"/>
    <w:rsid w:val="00937856"/>
    <w:rsid w:val="009401B9"/>
    <w:rsid w:val="00940337"/>
    <w:rsid w:val="0094104D"/>
    <w:rsid w:val="0094188D"/>
    <w:rsid w:val="00941981"/>
    <w:rsid w:val="0094357C"/>
    <w:rsid w:val="009437D1"/>
    <w:rsid w:val="0094390E"/>
    <w:rsid w:val="00943AF2"/>
    <w:rsid w:val="009446F3"/>
    <w:rsid w:val="00944815"/>
    <w:rsid w:val="0094484F"/>
    <w:rsid w:val="00944888"/>
    <w:rsid w:val="009453DA"/>
    <w:rsid w:val="00946ABE"/>
    <w:rsid w:val="0094767E"/>
    <w:rsid w:val="00947860"/>
    <w:rsid w:val="009501F6"/>
    <w:rsid w:val="00950AFB"/>
    <w:rsid w:val="00950BC7"/>
    <w:rsid w:val="00950BE6"/>
    <w:rsid w:val="00951B13"/>
    <w:rsid w:val="0095261C"/>
    <w:rsid w:val="00952F42"/>
    <w:rsid w:val="009531F2"/>
    <w:rsid w:val="00955220"/>
    <w:rsid w:val="009554D3"/>
    <w:rsid w:val="00955EE0"/>
    <w:rsid w:val="00955F56"/>
    <w:rsid w:val="009568B0"/>
    <w:rsid w:val="009602D9"/>
    <w:rsid w:val="009605A5"/>
    <w:rsid w:val="00960A2F"/>
    <w:rsid w:val="00962D0F"/>
    <w:rsid w:val="0096530F"/>
    <w:rsid w:val="009653CD"/>
    <w:rsid w:val="0096679E"/>
    <w:rsid w:val="009667DC"/>
    <w:rsid w:val="00966926"/>
    <w:rsid w:val="0096725D"/>
    <w:rsid w:val="0097056B"/>
    <w:rsid w:val="00971C23"/>
    <w:rsid w:val="00972CCA"/>
    <w:rsid w:val="00972E94"/>
    <w:rsid w:val="0097359B"/>
    <w:rsid w:val="009736E9"/>
    <w:rsid w:val="00973EE1"/>
    <w:rsid w:val="00974AC8"/>
    <w:rsid w:val="009755AD"/>
    <w:rsid w:val="00976928"/>
    <w:rsid w:val="00976F89"/>
    <w:rsid w:val="00977E0A"/>
    <w:rsid w:val="00980277"/>
    <w:rsid w:val="009802A4"/>
    <w:rsid w:val="00980E56"/>
    <w:rsid w:val="00980E5F"/>
    <w:rsid w:val="00981DF1"/>
    <w:rsid w:val="00982287"/>
    <w:rsid w:val="00983053"/>
    <w:rsid w:val="0098345D"/>
    <w:rsid w:val="00984041"/>
    <w:rsid w:val="00984279"/>
    <w:rsid w:val="00985086"/>
    <w:rsid w:val="0098548B"/>
    <w:rsid w:val="00985DDC"/>
    <w:rsid w:val="009868F2"/>
    <w:rsid w:val="009875AB"/>
    <w:rsid w:val="00990134"/>
    <w:rsid w:val="009919F5"/>
    <w:rsid w:val="00991AF3"/>
    <w:rsid w:val="00991F96"/>
    <w:rsid w:val="00992382"/>
    <w:rsid w:val="0099269A"/>
    <w:rsid w:val="00992B4F"/>
    <w:rsid w:val="009930E9"/>
    <w:rsid w:val="00993ABC"/>
    <w:rsid w:val="00993B98"/>
    <w:rsid w:val="00993F1D"/>
    <w:rsid w:val="0099499B"/>
    <w:rsid w:val="0099544B"/>
    <w:rsid w:val="009958CD"/>
    <w:rsid w:val="00995B12"/>
    <w:rsid w:val="00996415"/>
    <w:rsid w:val="009968C4"/>
    <w:rsid w:val="0099755C"/>
    <w:rsid w:val="00997DCD"/>
    <w:rsid w:val="009A029A"/>
    <w:rsid w:val="009A04A4"/>
    <w:rsid w:val="009A0A3B"/>
    <w:rsid w:val="009A135B"/>
    <w:rsid w:val="009A1C82"/>
    <w:rsid w:val="009A2259"/>
    <w:rsid w:val="009A2691"/>
    <w:rsid w:val="009A28E8"/>
    <w:rsid w:val="009A32EF"/>
    <w:rsid w:val="009A3C36"/>
    <w:rsid w:val="009A6113"/>
    <w:rsid w:val="009A6629"/>
    <w:rsid w:val="009A7071"/>
    <w:rsid w:val="009A7353"/>
    <w:rsid w:val="009A7A64"/>
    <w:rsid w:val="009A7C72"/>
    <w:rsid w:val="009A7FF1"/>
    <w:rsid w:val="009B0260"/>
    <w:rsid w:val="009B03D0"/>
    <w:rsid w:val="009B0800"/>
    <w:rsid w:val="009B1402"/>
    <w:rsid w:val="009B15BB"/>
    <w:rsid w:val="009B1FBC"/>
    <w:rsid w:val="009B2284"/>
    <w:rsid w:val="009B28D6"/>
    <w:rsid w:val="009B3C97"/>
    <w:rsid w:val="009B427A"/>
    <w:rsid w:val="009B4474"/>
    <w:rsid w:val="009B5A36"/>
    <w:rsid w:val="009B65BE"/>
    <w:rsid w:val="009B6BB2"/>
    <w:rsid w:val="009B729F"/>
    <w:rsid w:val="009B7784"/>
    <w:rsid w:val="009C113F"/>
    <w:rsid w:val="009C1ADB"/>
    <w:rsid w:val="009C2134"/>
    <w:rsid w:val="009C25BF"/>
    <w:rsid w:val="009C2A49"/>
    <w:rsid w:val="009C2C2B"/>
    <w:rsid w:val="009C3045"/>
    <w:rsid w:val="009C3265"/>
    <w:rsid w:val="009C3682"/>
    <w:rsid w:val="009C3F59"/>
    <w:rsid w:val="009C45C8"/>
    <w:rsid w:val="009C50AC"/>
    <w:rsid w:val="009C519B"/>
    <w:rsid w:val="009C5639"/>
    <w:rsid w:val="009C6BB7"/>
    <w:rsid w:val="009C7C21"/>
    <w:rsid w:val="009D1659"/>
    <w:rsid w:val="009D1999"/>
    <w:rsid w:val="009D1AAF"/>
    <w:rsid w:val="009D442F"/>
    <w:rsid w:val="009D4828"/>
    <w:rsid w:val="009D5C56"/>
    <w:rsid w:val="009D5C95"/>
    <w:rsid w:val="009D5D22"/>
    <w:rsid w:val="009D6765"/>
    <w:rsid w:val="009D6A45"/>
    <w:rsid w:val="009D7338"/>
    <w:rsid w:val="009D756E"/>
    <w:rsid w:val="009E0645"/>
    <w:rsid w:val="009E0D2F"/>
    <w:rsid w:val="009E1608"/>
    <w:rsid w:val="009E187F"/>
    <w:rsid w:val="009E1FFB"/>
    <w:rsid w:val="009E2930"/>
    <w:rsid w:val="009E308E"/>
    <w:rsid w:val="009E344F"/>
    <w:rsid w:val="009E3707"/>
    <w:rsid w:val="009E4A48"/>
    <w:rsid w:val="009E4EA6"/>
    <w:rsid w:val="009E682A"/>
    <w:rsid w:val="009E6C76"/>
    <w:rsid w:val="009E6DC3"/>
    <w:rsid w:val="009E76E1"/>
    <w:rsid w:val="009E79F3"/>
    <w:rsid w:val="009E7A1B"/>
    <w:rsid w:val="009F0DB5"/>
    <w:rsid w:val="009F1BEC"/>
    <w:rsid w:val="009F236A"/>
    <w:rsid w:val="009F4419"/>
    <w:rsid w:val="009F4CE9"/>
    <w:rsid w:val="009F4EC7"/>
    <w:rsid w:val="009F547A"/>
    <w:rsid w:val="009F6317"/>
    <w:rsid w:val="009F6592"/>
    <w:rsid w:val="00A00F71"/>
    <w:rsid w:val="00A01046"/>
    <w:rsid w:val="00A0138A"/>
    <w:rsid w:val="00A02B5F"/>
    <w:rsid w:val="00A032CD"/>
    <w:rsid w:val="00A03556"/>
    <w:rsid w:val="00A03557"/>
    <w:rsid w:val="00A03CC6"/>
    <w:rsid w:val="00A05985"/>
    <w:rsid w:val="00A05B03"/>
    <w:rsid w:val="00A067EF"/>
    <w:rsid w:val="00A06A33"/>
    <w:rsid w:val="00A06EDA"/>
    <w:rsid w:val="00A07B1A"/>
    <w:rsid w:val="00A1035E"/>
    <w:rsid w:val="00A10CCA"/>
    <w:rsid w:val="00A10D92"/>
    <w:rsid w:val="00A12E9D"/>
    <w:rsid w:val="00A131F4"/>
    <w:rsid w:val="00A138E4"/>
    <w:rsid w:val="00A13FF3"/>
    <w:rsid w:val="00A1549D"/>
    <w:rsid w:val="00A157A0"/>
    <w:rsid w:val="00A1673C"/>
    <w:rsid w:val="00A16CA9"/>
    <w:rsid w:val="00A16E2F"/>
    <w:rsid w:val="00A17561"/>
    <w:rsid w:val="00A20CF6"/>
    <w:rsid w:val="00A2124F"/>
    <w:rsid w:val="00A2152F"/>
    <w:rsid w:val="00A215C8"/>
    <w:rsid w:val="00A21EB3"/>
    <w:rsid w:val="00A23275"/>
    <w:rsid w:val="00A234EA"/>
    <w:rsid w:val="00A249B1"/>
    <w:rsid w:val="00A25B33"/>
    <w:rsid w:val="00A26101"/>
    <w:rsid w:val="00A26103"/>
    <w:rsid w:val="00A26FB2"/>
    <w:rsid w:val="00A27607"/>
    <w:rsid w:val="00A27DCE"/>
    <w:rsid w:val="00A27E6A"/>
    <w:rsid w:val="00A27FBF"/>
    <w:rsid w:val="00A3051A"/>
    <w:rsid w:val="00A315E3"/>
    <w:rsid w:val="00A3239D"/>
    <w:rsid w:val="00A32FC2"/>
    <w:rsid w:val="00A348E3"/>
    <w:rsid w:val="00A34A74"/>
    <w:rsid w:val="00A34B94"/>
    <w:rsid w:val="00A35A4B"/>
    <w:rsid w:val="00A36323"/>
    <w:rsid w:val="00A3651B"/>
    <w:rsid w:val="00A36882"/>
    <w:rsid w:val="00A36C1D"/>
    <w:rsid w:val="00A373BC"/>
    <w:rsid w:val="00A3757C"/>
    <w:rsid w:val="00A37E27"/>
    <w:rsid w:val="00A37F47"/>
    <w:rsid w:val="00A412A2"/>
    <w:rsid w:val="00A412B6"/>
    <w:rsid w:val="00A41340"/>
    <w:rsid w:val="00A41639"/>
    <w:rsid w:val="00A41F94"/>
    <w:rsid w:val="00A4329E"/>
    <w:rsid w:val="00A43D8C"/>
    <w:rsid w:val="00A43E94"/>
    <w:rsid w:val="00A44608"/>
    <w:rsid w:val="00A44D37"/>
    <w:rsid w:val="00A45A68"/>
    <w:rsid w:val="00A45AF7"/>
    <w:rsid w:val="00A463E9"/>
    <w:rsid w:val="00A47E5F"/>
    <w:rsid w:val="00A47F34"/>
    <w:rsid w:val="00A50403"/>
    <w:rsid w:val="00A50726"/>
    <w:rsid w:val="00A50E30"/>
    <w:rsid w:val="00A50E4F"/>
    <w:rsid w:val="00A50F56"/>
    <w:rsid w:val="00A51193"/>
    <w:rsid w:val="00A5128E"/>
    <w:rsid w:val="00A5145A"/>
    <w:rsid w:val="00A5168A"/>
    <w:rsid w:val="00A51DEF"/>
    <w:rsid w:val="00A5244A"/>
    <w:rsid w:val="00A52D45"/>
    <w:rsid w:val="00A53448"/>
    <w:rsid w:val="00A53CC4"/>
    <w:rsid w:val="00A554B2"/>
    <w:rsid w:val="00A55D5B"/>
    <w:rsid w:val="00A56262"/>
    <w:rsid w:val="00A56268"/>
    <w:rsid w:val="00A5682A"/>
    <w:rsid w:val="00A56E6D"/>
    <w:rsid w:val="00A570E5"/>
    <w:rsid w:val="00A57320"/>
    <w:rsid w:val="00A57C4C"/>
    <w:rsid w:val="00A607B3"/>
    <w:rsid w:val="00A607B5"/>
    <w:rsid w:val="00A610EF"/>
    <w:rsid w:val="00A6250C"/>
    <w:rsid w:val="00A63DFC"/>
    <w:rsid w:val="00A64AD9"/>
    <w:rsid w:val="00A657BC"/>
    <w:rsid w:val="00A6585C"/>
    <w:rsid w:val="00A661C8"/>
    <w:rsid w:val="00A666E0"/>
    <w:rsid w:val="00A66DA3"/>
    <w:rsid w:val="00A66FD8"/>
    <w:rsid w:val="00A671A6"/>
    <w:rsid w:val="00A67996"/>
    <w:rsid w:val="00A7027B"/>
    <w:rsid w:val="00A70A9D"/>
    <w:rsid w:val="00A70C67"/>
    <w:rsid w:val="00A70E0A"/>
    <w:rsid w:val="00A72515"/>
    <w:rsid w:val="00A72F4B"/>
    <w:rsid w:val="00A73814"/>
    <w:rsid w:val="00A73C57"/>
    <w:rsid w:val="00A743AD"/>
    <w:rsid w:val="00A74903"/>
    <w:rsid w:val="00A74A79"/>
    <w:rsid w:val="00A74B87"/>
    <w:rsid w:val="00A7630A"/>
    <w:rsid w:val="00A7672C"/>
    <w:rsid w:val="00A768A1"/>
    <w:rsid w:val="00A773CE"/>
    <w:rsid w:val="00A77412"/>
    <w:rsid w:val="00A80844"/>
    <w:rsid w:val="00A80B9D"/>
    <w:rsid w:val="00A80E6C"/>
    <w:rsid w:val="00A8102B"/>
    <w:rsid w:val="00A81A27"/>
    <w:rsid w:val="00A81A34"/>
    <w:rsid w:val="00A82B9D"/>
    <w:rsid w:val="00A847AC"/>
    <w:rsid w:val="00A84D10"/>
    <w:rsid w:val="00A85508"/>
    <w:rsid w:val="00A85DD5"/>
    <w:rsid w:val="00A85DF1"/>
    <w:rsid w:val="00A872E3"/>
    <w:rsid w:val="00A8799C"/>
    <w:rsid w:val="00A87A80"/>
    <w:rsid w:val="00A87DE0"/>
    <w:rsid w:val="00A90652"/>
    <w:rsid w:val="00A909F2"/>
    <w:rsid w:val="00A91D54"/>
    <w:rsid w:val="00A92E26"/>
    <w:rsid w:val="00A92EB6"/>
    <w:rsid w:val="00A9355E"/>
    <w:rsid w:val="00A93752"/>
    <w:rsid w:val="00A939D3"/>
    <w:rsid w:val="00A939F7"/>
    <w:rsid w:val="00A94650"/>
    <w:rsid w:val="00A94FAB"/>
    <w:rsid w:val="00A9500E"/>
    <w:rsid w:val="00A95527"/>
    <w:rsid w:val="00A962BF"/>
    <w:rsid w:val="00A977EB"/>
    <w:rsid w:val="00A97CAB"/>
    <w:rsid w:val="00AA073E"/>
    <w:rsid w:val="00AA0ECE"/>
    <w:rsid w:val="00AA2411"/>
    <w:rsid w:val="00AA2460"/>
    <w:rsid w:val="00AA2855"/>
    <w:rsid w:val="00AA37B0"/>
    <w:rsid w:val="00AA3E95"/>
    <w:rsid w:val="00AA452D"/>
    <w:rsid w:val="00AA4ADF"/>
    <w:rsid w:val="00AA5CFB"/>
    <w:rsid w:val="00AA64C9"/>
    <w:rsid w:val="00AA6553"/>
    <w:rsid w:val="00AA7187"/>
    <w:rsid w:val="00AA7734"/>
    <w:rsid w:val="00AB0504"/>
    <w:rsid w:val="00AB0752"/>
    <w:rsid w:val="00AB098B"/>
    <w:rsid w:val="00AB1BF0"/>
    <w:rsid w:val="00AB2AF2"/>
    <w:rsid w:val="00AB3660"/>
    <w:rsid w:val="00AB4435"/>
    <w:rsid w:val="00AB64C6"/>
    <w:rsid w:val="00AB6EC3"/>
    <w:rsid w:val="00AB77E6"/>
    <w:rsid w:val="00AB7E39"/>
    <w:rsid w:val="00AC0053"/>
    <w:rsid w:val="00AC09CE"/>
    <w:rsid w:val="00AC0DF6"/>
    <w:rsid w:val="00AC1A37"/>
    <w:rsid w:val="00AC25A6"/>
    <w:rsid w:val="00AC2F4B"/>
    <w:rsid w:val="00AC30BB"/>
    <w:rsid w:val="00AC3829"/>
    <w:rsid w:val="00AC4CF9"/>
    <w:rsid w:val="00AC4EEA"/>
    <w:rsid w:val="00AC50AE"/>
    <w:rsid w:val="00AC5EB5"/>
    <w:rsid w:val="00AC608A"/>
    <w:rsid w:val="00AC6AE6"/>
    <w:rsid w:val="00AC6C84"/>
    <w:rsid w:val="00AC6C89"/>
    <w:rsid w:val="00AC6DC6"/>
    <w:rsid w:val="00AC7D3F"/>
    <w:rsid w:val="00AC7EEE"/>
    <w:rsid w:val="00AD0401"/>
    <w:rsid w:val="00AD0ACA"/>
    <w:rsid w:val="00AD0EB6"/>
    <w:rsid w:val="00AD1207"/>
    <w:rsid w:val="00AD1338"/>
    <w:rsid w:val="00AD1BE3"/>
    <w:rsid w:val="00AD21BF"/>
    <w:rsid w:val="00AD2326"/>
    <w:rsid w:val="00AD3462"/>
    <w:rsid w:val="00AD3ACB"/>
    <w:rsid w:val="00AD3F00"/>
    <w:rsid w:val="00AD4143"/>
    <w:rsid w:val="00AD51EE"/>
    <w:rsid w:val="00AD6523"/>
    <w:rsid w:val="00AD655B"/>
    <w:rsid w:val="00AD6959"/>
    <w:rsid w:val="00AD6DF9"/>
    <w:rsid w:val="00AE0A21"/>
    <w:rsid w:val="00AE0D09"/>
    <w:rsid w:val="00AE0E16"/>
    <w:rsid w:val="00AE0F1D"/>
    <w:rsid w:val="00AE1115"/>
    <w:rsid w:val="00AE18FF"/>
    <w:rsid w:val="00AE2477"/>
    <w:rsid w:val="00AE31D5"/>
    <w:rsid w:val="00AE366D"/>
    <w:rsid w:val="00AE3F18"/>
    <w:rsid w:val="00AE4704"/>
    <w:rsid w:val="00AE4C03"/>
    <w:rsid w:val="00AE56AB"/>
    <w:rsid w:val="00AE5BA2"/>
    <w:rsid w:val="00AE64F2"/>
    <w:rsid w:val="00AE704D"/>
    <w:rsid w:val="00AE725F"/>
    <w:rsid w:val="00AE7A86"/>
    <w:rsid w:val="00AF10E6"/>
    <w:rsid w:val="00AF1346"/>
    <w:rsid w:val="00AF219E"/>
    <w:rsid w:val="00AF2C6B"/>
    <w:rsid w:val="00AF2CA8"/>
    <w:rsid w:val="00AF36EB"/>
    <w:rsid w:val="00AF37AA"/>
    <w:rsid w:val="00AF58C5"/>
    <w:rsid w:val="00AF5B0E"/>
    <w:rsid w:val="00AF60C3"/>
    <w:rsid w:val="00AF6A6E"/>
    <w:rsid w:val="00AF6DFA"/>
    <w:rsid w:val="00B00095"/>
    <w:rsid w:val="00B0055A"/>
    <w:rsid w:val="00B01A11"/>
    <w:rsid w:val="00B01E69"/>
    <w:rsid w:val="00B01EB0"/>
    <w:rsid w:val="00B01F31"/>
    <w:rsid w:val="00B02004"/>
    <w:rsid w:val="00B026CD"/>
    <w:rsid w:val="00B02976"/>
    <w:rsid w:val="00B03687"/>
    <w:rsid w:val="00B05158"/>
    <w:rsid w:val="00B05630"/>
    <w:rsid w:val="00B057AE"/>
    <w:rsid w:val="00B06069"/>
    <w:rsid w:val="00B07424"/>
    <w:rsid w:val="00B0780F"/>
    <w:rsid w:val="00B07BAD"/>
    <w:rsid w:val="00B116A9"/>
    <w:rsid w:val="00B116CB"/>
    <w:rsid w:val="00B11BC2"/>
    <w:rsid w:val="00B1269C"/>
    <w:rsid w:val="00B1282F"/>
    <w:rsid w:val="00B12E7A"/>
    <w:rsid w:val="00B1383F"/>
    <w:rsid w:val="00B15654"/>
    <w:rsid w:val="00B15FC1"/>
    <w:rsid w:val="00B162C7"/>
    <w:rsid w:val="00B16F2F"/>
    <w:rsid w:val="00B17195"/>
    <w:rsid w:val="00B172CA"/>
    <w:rsid w:val="00B172CB"/>
    <w:rsid w:val="00B173E9"/>
    <w:rsid w:val="00B179EB"/>
    <w:rsid w:val="00B201D0"/>
    <w:rsid w:val="00B203CB"/>
    <w:rsid w:val="00B22017"/>
    <w:rsid w:val="00B23125"/>
    <w:rsid w:val="00B237BE"/>
    <w:rsid w:val="00B23A40"/>
    <w:rsid w:val="00B23F29"/>
    <w:rsid w:val="00B244BF"/>
    <w:rsid w:val="00B24BCA"/>
    <w:rsid w:val="00B25A69"/>
    <w:rsid w:val="00B25AD3"/>
    <w:rsid w:val="00B2618B"/>
    <w:rsid w:val="00B2625F"/>
    <w:rsid w:val="00B26463"/>
    <w:rsid w:val="00B2729B"/>
    <w:rsid w:val="00B31713"/>
    <w:rsid w:val="00B327ED"/>
    <w:rsid w:val="00B328B8"/>
    <w:rsid w:val="00B33462"/>
    <w:rsid w:val="00B33DFF"/>
    <w:rsid w:val="00B34442"/>
    <w:rsid w:val="00B345D5"/>
    <w:rsid w:val="00B346ED"/>
    <w:rsid w:val="00B34C03"/>
    <w:rsid w:val="00B3635C"/>
    <w:rsid w:val="00B36392"/>
    <w:rsid w:val="00B36F36"/>
    <w:rsid w:val="00B372BE"/>
    <w:rsid w:val="00B37473"/>
    <w:rsid w:val="00B4073D"/>
    <w:rsid w:val="00B422A0"/>
    <w:rsid w:val="00B42341"/>
    <w:rsid w:val="00B425DF"/>
    <w:rsid w:val="00B425EA"/>
    <w:rsid w:val="00B428A7"/>
    <w:rsid w:val="00B42E3F"/>
    <w:rsid w:val="00B44276"/>
    <w:rsid w:val="00B4461C"/>
    <w:rsid w:val="00B452E3"/>
    <w:rsid w:val="00B45320"/>
    <w:rsid w:val="00B45443"/>
    <w:rsid w:val="00B4557C"/>
    <w:rsid w:val="00B4765F"/>
    <w:rsid w:val="00B47D4C"/>
    <w:rsid w:val="00B524F0"/>
    <w:rsid w:val="00B52B87"/>
    <w:rsid w:val="00B530D6"/>
    <w:rsid w:val="00B541A5"/>
    <w:rsid w:val="00B544F3"/>
    <w:rsid w:val="00B550D8"/>
    <w:rsid w:val="00B5537C"/>
    <w:rsid w:val="00B56A82"/>
    <w:rsid w:val="00B56D45"/>
    <w:rsid w:val="00B57222"/>
    <w:rsid w:val="00B61121"/>
    <w:rsid w:val="00B6169A"/>
    <w:rsid w:val="00B61C95"/>
    <w:rsid w:val="00B62913"/>
    <w:rsid w:val="00B62EED"/>
    <w:rsid w:val="00B6307E"/>
    <w:rsid w:val="00B6366B"/>
    <w:rsid w:val="00B64A90"/>
    <w:rsid w:val="00B662C8"/>
    <w:rsid w:val="00B6772D"/>
    <w:rsid w:val="00B678F2"/>
    <w:rsid w:val="00B67CB5"/>
    <w:rsid w:val="00B70036"/>
    <w:rsid w:val="00B705CE"/>
    <w:rsid w:val="00B70EC2"/>
    <w:rsid w:val="00B7184D"/>
    <w:rsid w:val="00B71EBB"/>
    <w:rsid w:val="00B73102"/>
    <w:rsid w:val="00B7316F"/>
    <w:rsid w:val="00B73C95"/>
    <w:rsid w:val="00B73E86"/>
    <w:rsid w:val="00B7477B"/>
    <w:rsid w:val="00B74D4A"/>
    <w:rsid w:val="00B74FB0"/>
    <w:rsid w:val="00B756C7"/>
    <w:rsid w:val="00B75750"/>
    <w:rsid w:val="00B75964"/>
    <w:rsid w:val="00B75BC7"/>
    <w:rsid w:val="00B75DE6"/>
    <w:rsid w:val="00B761C9"/>
    <w:rsid w:val="00B76478"/>
    <w:rsid w:val="00B768DA"/>
    <w:rsid w:val="00B801AB"/>
    <w:rsid w:val="00B80308"/>
    <w:rsid w:val="00B82269"/>
    <w:rsid w:val="00B8243B"/>
    <w:rsid w:val="00B827B9"/>
    <w:rsid w:val="00B82A99"/>
    <w:rsid w:val="00B82AE4"/>
    <w:rsid w:val="00B8303F"/>
    <w:rsid w:val="00B83056"/>
    <w:rsid w:val="00B83D3F"/>
    <w:rsid w:val="00B841D2"/>
    <w:rsid w:val="00B84757"/>
    <w:rsid w:val="00B84A9B"/>
    <w:rsid w:val="00B84EB1"/>
    <w:rsid w:val="00B85277"/>
    <w:rsid w:val="00B8559F"/>
    <w:rsid w:val="00B858FD"/>
    <w:rsid w:val="00B859DF"/>
    <w:rsid w:val="00B85BCE"/>
    <w:rsid w:val="00B85D63"/>
    <w:rsid w:val="00B87629"/>
    <w:rsid w:val="00B90C4E"/>
    <w:rsid w:val="00B9184B"/>
    <w:rsid w:val="00B91A24"/>
    <w:rsid w:val="00B92D08"/>
    <w:rsid w:val="00B9396F"/>
    <w:rsid w:val="00B94BEE"/>
    <w:rsid w:val="00B9538F"/>
    <w:rsid w:val="00B95462"/>
    <w:rsid w:val="00B95AFC"/>
    <w:rsid w:val="00B963C2"/>
    <w:rsid w:val="00B96675"/>
    <w:rsid w:val="00B9701D"/>
    <w:rsid w:val="00B973EF"/>
    <w:rsid w:val="00B97951"/>
    <w:rsid w:val="00B979C4"/>
    <w:rsid w:val="00B97C4A"/>
    <w:rsid w:val="00BA13AC"/>
    <w:rsid w:val="00BA1B82"/>
    <w:rsid w:val="00BA1DCC"/>
    <w:rsid w:val="00BA2E00"/>
    <w:rsid w:val="00BA3DF2"/>
    <w:rsid w:val="00BA43C7"/>
    <w:rsid w:val="00BA53FB"/>
    <w:rsid w:val="00BA607D"/>
    <w:rsid w:val="00BA640F"/>
    <w:rsid w:val="00BA6414"/>
    <w:rsid w:val="00BA70FC"/>
    <w:rsid w:val="00BB0071"/>
    <w:rsid w:val="00BB0499"/>
    <w:rsid w:val="00BB128F"/>
    <w:rsid w:val="00BB1364"/>
    <w:rsid w:val="00BB2451"/>
    <w:rsid w:val="00BB4920"/>
    <w:rsid w:val="00BB4E4B"/>
    <w:rsid w:val="00BB560B"/>
    <w:rsid w:val="00BB5A63"/>
    <w:rsid w:val="00BB652C"/>
    <w:rsid w:val="00BB76D2"/>
    <w:rsid w:val="00BB7859"/>
    <w:rsid w:val="00BB7BBF"/>
    <w:rsid w:val="00BB7D70"/>
    <w:rsid w:val="00BC00EC"/>
    <w:rsid w:val="00BC0644"/>
    <w:rsid w:val="00BC0D7C"/>
    <w:rsid w:val="00BC1115"/>
    <w:rsid w:val="00BC1D61"/>
    <w:rsid w:val="00BC1E22"/>
    <w:rsid w:val="00BC1E2D"/>
    <w:rsid w:val="00BC28E2"/>
    <w:rsid w:val="00BC2FCB"/>
    <w:rsid w:val="00BC32F0"/>
    <w:rsid w:val="00BC331F"/>
    <w:rsid w:val="00BC39C8"/>
    <w:rsid w:val="00BC3B87"/>
    <w:rsid w:val="00BC7278"/>
    <w:rsid w:val="00BC7E8F"/>
    <w:rsid w:val="00BD0F01"/>
    <w:rsid w:val="00BD2CAE"/>
    <w:rsid w:val="00BD3276"/>
    <w:rsid w:val="00BD4C0E"/>
    <w:rsid w:val="00BD5278"/>
    <w:rsid w:val="00BD5A0E"/>
    <w:rsid w:val="00BD5E89"/>
    <w:rsid w:val="00BD5EE0"/>
    <w:rsid w:val="00BD6255"/>
    <w:rsid w:val="00BD7104"/>
    <w:rsid w:val="00BD75BC"/>
    <w:rsid w:val="00BD7819"/>
    <w:rsid w:val="00BE0F52"/>
    <w:rsid w:val="00BE17C2"/>
    <w:rsid w:val="00BE2839"/>
    <w:rsid w:val="00BE308F"/>
    <w:rsid w:val="00BE3226"/>
    <w:rsid w:val="00BE412A"/>
    <w:rsid w:val="00BE4801"/>
    <w:rsid w:val="00BE586D"/>
    <w:rsid w:val="00BE793D"/>
    <w:rsid w:val="00BE79B4"/>
    <w:rsid w:val="00BF04A8"/>
    <w:rsid w:val="00BF17A2"/>
    <w:rsid w:val="00BF28F2"/>
    <w:rsid w:val="00BF3B4E"/>
    <w:rsid w:val="00BF3F61"/>
    <w:rsid w:val="00BF4819"/>
    <w:rsid w:val="00BF50B2"/>
    <w:rsid w:val="00BF59C8"/>
    <w:rsid w:val="00BF5B48"/>
    <w:rsid w:val="00BF63A6"/>
    <w:rsid w:val="00BF69DA"/>
    <w:rsid w:val="00BF71EB"/>
    <w:rsid w:val="00C0036C"/>
    <w:rsid w:val="00C00684"/>
    <w:rsid w:val="00C00B3C"/>
    <w:rsid w:val="00C01501"/>
    <w:rsid w:val="00C01E3C"/>
    <w:rsid w:val="00C0239E"/>
    <w:rsid w:val="00C028ED"/>
    <w:rsid w:val="00C02978"/>
    <w:rsid w:val="00C02D5C"/>
    <w:rsid w:val="00C04939"/>
    <w:rsid w:val="00C04A14"/>
    <w:rsid w:val="00C04D22"/>
    <w:rsid w:val="00C05E1C"/>
    <w:rsid w:val="00C061D4"/>
    <w:rsid w:val="00C07C0A"/>
    <w:rsid w:val="00C10219"/>
    <w:rsid w:val="00C10417"/>
    <w:rsid w:val="00C1061E"/>
    <w:rsid w:val="00C1106C"/>
    <w:rsid w:val="00C1148A"/>
    <w:rsid w:val="00C12E77"/>
    <w:rsid w:val="00C131CC"/>
    <w:rsid w:val="00C140B7"/>
    <w:rsid w:val="00C14FE9"/>
    <w:rsid w:val="00C1576A"/>
    <w:rsid w:val="00C1596C"/>
    <w:rsid w:val="00C15972"/>
    <w:rsid w:val="00C1642F"/>
    <w:rsid w:val="00C175B5"/>
    <w:rsid w:val="00C17DE9"/>
    <w:rsid w:val="00C20B3D"/>
    <w:rsid w:val="00C20ED8"/>
    <w:rsid w:val="00C21485"/>
    <w:rsid w:val="00C2179A"/>
    <w:rsid w:val="00C2179D"/>
    <w:rsid w:val="00C21AB0"/>
    <w:rsid w:val="00C22163"/>
    <w:rsid w:val="00C2327C"/>
    <w:rsid w:val="00C23B73"/>
    <w:rsid w:val="00C24420"/>
    <w:rsid w:val="00C244E2"/>
    <w:rsid w:val="00C272C6"/>
    <w:rsid w:val="00C27A64"/>
    <w:rsid w:val="00C27D6E"/>
    <w:rsid w:val="00C31093"/>
    <w:rsid w:val="00C3168E"/>
    <w:rsid w:val="00C322CD"/>
    <w:rsid w:val="00C32CEA"/>
    <w:rsid w:val="00C32F49"/>
    <w:rsid w:val="00C33103"/>
    <w:rsid w:val="00C33C59"/>
    <w:rsid w:val="00C349FF"/>
    <w:rsid w:val="00C36889"/>
    <w:rsid w:val="00C37C3E"/>
    <w:rsid w:val="00C37CCC"/>
    <w:rsid w:val="00C4039A"/>
    <w:rsid w:val="00C404B7"/>
    <w:rsid w:val="00C4092F"/>
    <w:rsid w:val="00C41316"/>
    <w:rsid w:val="00C416A4"/>
    <w:rsid w:val="00C416FF"/>
    <w:rsid w:val="00C42FA2"/>
    <w:rsid w:val="00C4371E"/>
    <w:rsid w:val="00C4554D"/>
    <w:rsid w:val="00C456D5"/>
    <w:rsid w:val="00C45860"/>
    <w:rsid w:val="00C45DE6"/>
    <w:rsid w:val="00C46694"/>
    <w:rsid w:val="00C46BF3"/>
    <w:rsid w:val="00C47DB6"/>
    <w:rsid w:val="00C47E76"/>
    <w:rsid w:val="00C5001C"/>
    <w:rsid w:val="00C50299"/>
    <w:rsid w:val="00C50543"/>
    <w:rsid w:val="00C5057D"/>
    <w:rsid w:val="00C50907"/>
    <w:rsid w:val="00C52477"/>
    <w:rsid w:val="00C528B8"/>
    <w:rsid w:val="00C5297E"/>
    <w:rsid w:val="00C5373A"/>
    <w:rsid w:val="00C53B94"/>
    <w:rsid w:val="00C53D84"/>
    <w:rsid w:val="00C54D33"/>
    <w:rsid w:val="00C5547F"/>
    <w:rsid w:val="00C56A05"/>
    <w:rsid w:val="00C56ED7"/>
    <w:rsid w:val="00C57085"/>
    <w:rsid w:val="00C57648"/>
    <w:rsid w:val="00C60860"/>
    <w:rsid w:val="00C60AF5"/>
    <w:rsid w:val="00C617E2"/>
    <w:rsid w:val="00C61AEA"/>
    <w:rsid w:val="00C61F0E"/>
    <w:rsid w:val="00C62131"/>
    <w:rsid w:val="00C62AD0"/>
    <w:rsid w:val="00C62F59"/>
    <w:rsid w:val="00C63039"/>
    <w:rsid w:val="00C65059"/>
    <w:rsid w:val="00C65A48"/>
    <w:rsid w:val="00C6763E"/>
    <w:rsid w:val="00C70462"/>
    <w:rsid w:val="00C705E6"/>
    <w:rsid w:val="00C706E4"/>
    <w:rsid w:val="00C70952"/>
    <w:rsid w:val="00C70AE3"/>
    <w:rsid w:val="00C7222A"/>
    <w:rsid w:val="00C73869"/>
    <w:rsid w:val="00C73903"/>
    <w:rsid w:val="00C742D8"/>
    <w:rsid w:val="00C74A03"/>
    <w:rsid w:val="00C74B52"/>
    <w:rsid w:val="00C751A0"/>
    <w:rsid w:val="00C754D2"/>
    <w:rsid w:val="00C75B63"/>
    <w:rsid w:val="00C75FA6"/>
    <w:rsid w:val="00C76CE0"/>
    <w:rsid w:val="00C8075C"/>
    <w:rsid w:val="00C80ACE"/>
    <w:rsid w:val="00C81556"/>
    <w:rsid w:val="00C81B24"/>
    <w:rsid w:val="00C827B3"/>
    <w:rsid w:val="00C82D59"/>
    <w:rsid w:val="00C82FC1"/>
    <w:rsid w:val="00C83150"/>
    <w:rsid w:val="00C8393E"/>
    <w:rsid w:val="00C83D76"/>
    <w:rsid w:val="00C84726"/>
    <w:rsid w:val="00C86C34"/>
    <w:rsid w:val="00C86EAB"/>
    <w:rsid w:val="00C87381"/>
    <w:rsid w:val="00C8782C"/>
    <w:rsid w:val="00C87B5E"/>
    <w:rsid w:val="00C9105B"/>
    <w:rsid w:val="00C9106A"/>
    <w:rsid w:val="00C91CC2"/>
    <w:rsid w:val="00C92890"/>
    <w:rsid w:val="00C92EB7"/>
    <w:rsid w:val="00C9308A"/>
    <w:rsid w:val="00C95AA0"/>
    <w:rsid w:val="00C95FB0"/>
    <w:rsid w:val="00C968BC"/>
    <w:rsid w:val="00C96CFC"/>
    <w:rsid w:val="00C96E82"/>
    <w:rsid w:val="00C97189"/>
    <w:rsid w:val="00CA12A9"/>
    <w:rsid w:val="00CA1A18"/>
    <w:rsid w:val="00CA1A79"/>
    <w:rsid w:val="00CA3A25"/>
    <w:rsid w:val="00CA3B0D"/>
    <w:rsid w:val="00CA3C2B"/>
    <w:rsid w:val="00CA3D16"/>
    <w:rsid w:val="00CA3E7F"/>
    <w:rsid w:val="00CA4B5D"/>
    <w:rsid w:val="00CA55AC"/>
    <w:rsid w:val="00CA5C32"/>
    <w:rsid w:val="00CA5C34"/>
    <w:rsid w:val="00CA7C65"/>
    <w:rsid w:val="00CB14EE"/>
    <w:rsid w:val="00CB204A"/>
    <w:rsid w:val="00CB37C6"/>
    <w:rsid w:val="00CB4772"/>
    <w:rsid w:val="00CB5589"/>
    <w:rsid w:val="00CB5F11"/>
    <w:rsid w:val="00CB6E15"/>
    <w:rsid w:val="00CB70A8"/>
    <w:rsid w:val="00CB7174"/>
    <w:rsid w:val="00CB78E3"/>
    <w:rsid w:val="00CB7BA5"/>
    <w:rsid w:val="00CC0117"/>
    <w:rsid w:val="00CC0607"/>
    <w:rsid w:val="00CC0783"/>
    <w:rsid w:val="00CC0837"/>
    <w:rsid w:val="00CC293A"/>
    <w:rsid w:val="00CC2DB9"/>
    <w:rsid w:val="00CC4815"/>
    <w:rsid w:val="00CC51AF"/>
    <w:rsid w:val="00CC6669"/>
    <w:rsid w:val="00CC6BB0"/>
    <w:rsid w:val="00CC79CA"/>
    <w:rsid w:val="00CD04E4"/>
    <w:rsid w:val="00CD1F1B"/>
    <w:rsid w:val="00CD30A0"/>
    <w:rsid w:val="00CD3202"/>
    <w:rsid w:val="00CD46DC"/>
    <w:rsid w:val="00CD61CA"/>
    <w:rsid w:val="00CD761A"/>
    <w:rsid w:val="00CD7D4F"/>
    <w:rsid w:val="00CE0B79"/>
    <w:rsid w:val="00CE0C05"/>
    <w:rsid w:val="00CE0E8D"/>
    <w:rsid w:val="00CE2A9F"/>
    <w:rsid w:val="00CE353B"/>
    <w:rsid w:val="00CE35A3"/>
    <w:rsid w:val="00CE3D48"/>
    <w:rsid w:val="00CE403C"/>
    <w:rsid w:val="00CE4D58"/>
    <w:rsid w:val="00CE51B1"/>
    <w:rsid w:val="00CE6D64"/>
    <w:rsid w:val="00CF00EE"/>
    <w:rsid w:val="00CF0797"/>
    <w:rsid w:val="00CF0B9D"/>
    <w:rsid w:val="00CF0BB0"/>
    <w:rsid w:val="00CF0F72"/>
    <w:rsid w:val="00CF2173"/>
    <w:rsid w:val="00CF26A2"/>
    <w:rsid w:val="00CF2915"/>
    <w:rsid w:val="00CF37C9"/>
    <w:rsid w:val="00CF3C09"/>
    <w:rsid w:val="00CF48C5"/>
    <w:rsid w:val="00CF7454"/>
    <w:rsid w:val="00CF7DF9"/>
    <w:rsid w:val="00CF7E2E"/>
    <w:rsid w:val="00D003E0"/>
    <w:rsid w:val="00D01B3A"/>
    <w:rsid w:val="00D02B88"/>
    <w:rsid w:val="00D02D79"/>
    <w:rsid w:val="00D03D0F"/>
    <w:rsid w:val="00D04090"/>
    <w:rsid w:val="00D04861"/>
    <w:rsid w:val="00D049C8"/>
    <w:rsid w:val="00D058B7"/>
    <w:rsid w:val="00D05B0C"/>
    <w:rsid w:val="00D05D68"/>
    <w:rsid w:val="00D060C7"/>
    <w:rsid w:val="00D06C58"/>
    <w:rsid w:val="00D07576"/>
    <w:rsid w:val="00D078CC"/>
    <w:rsid w:val="00D07DC2"/>
    <w:rsid w:val="00D10640"/>
    <w:rsid w:val="00D10AE0"/>
    <w:rsid w:val="00D10FDB"/>
    <w:rsid w:val="00D11C98"/>
    <w:rsid w:val="00D12121"/>
    <w:rsid w:val="00D12696"/>
    <w:rsid w:val="00D12F75"/>
    <w:rsid w:val="00D130D7"/>
    <w:rsid w:val="00D1344F"/>
    <w:rsid w:val="00D138CB"/>
    <w:rsid w:val="00D1465A"/>
    <w:rsid w:val="00D15A62"/>
    <w:rsid w:val="00D15B38"/>
    <w:rsid w:val="00D16052"/>
    <w:rsid w:val="00D167FD"/>
    <w:rsid w:val="00D17425"/>
    <w:rsid w:val="00D203A4"/>
    <w:rsid w:val="00D2082F"/>
    <w:rsid w:val="00D209FD"/>
    <w:rsid w:val="00D20D15"/>
    <w:rsid w:val="00D212C0"/>
    <w:rsid w:val="00D21BAC"/>
    <w:rsid w:val="00D22912"/>
    <w:rsid w:val="00D22D53"/>
    <w:rsid w:val="00D232F5"/>
    <w:rsid w:val="00D23AC2"/>
    <w:rsid w:val="00D23F62"/>
    <w:rsid w:val="00D259AB"/>
    <w:rsid w:val="00D27077"/>
    <w:rsid w:val="00D31049"/>
    <w:rsid w:val="00D31250"/>
    <w:rsid w:val="00D316B8"/>
    <w:rsid w:val="00D31C84"/>
    <w:rsid w:val="00D32397"/>
    <w:rsid w:val="00D32748"/>
    <w:rsid w:val="00D335EC"/>
    <w:rsid w:val="00D34DEF"/>
    <w:rsid w:val="00D34E6C"/>
    <w:rsid w:val="00D35115"/>
    <w:rsid w:val="00D35DF6"/>
    <w:rsid w:val="00D35FFA"/>
    <w:rsid w:val="00D360C7"/>
    <w:rsid w:val="00D365B7"/>
    <w:rsid w:val="00D370D9"/>
    <w:rsid w:val="00D37512"/>
    <w:rsid w:val="00D3760F"/>
    <w:rsid w:val="00D40002"/>
    <w:rsid w:val="00D4069E"/>
    <w:rsid w:val="00D414C4"/>
    <w:rsid w:val="00D4191F"/>
    <w:rsid w:val="00D419E9"/>
    <w:rsid w:val="00D4253A"/>
    <w:rsid w:val="00D42B1C"/>
    <w:rsid w:val="00D42E6C"/>
    <w:rsid w:val="00D439F2"/>
    <w:rsid w:val="00D43EC9"/>
    <w:rsid w:val="00D44281"/>
    <w:rsid w:val="00D44A3E"/>
    <w:rsid w:val="00D44AAD"/>
    <w:rsid w:val="00D450D7"/>
    <w:rsid w:val="00D45450"/>
    <w:rsid w:val="00D45683"/>
    <w:rsid w:val="00D458DB"/>
    <w:rsid w:val="00D45E11"/>
    <w:rsid w:val="00D46E3D"/>
    <w:rsid w:val="00D46E88"/>
    <w:rsid w:val="00D502DF"/>
    <w:rsid w:val="00D51845"/>
    <w:rsid w:val="00D51D42"/>
    <w:rsid w:val="00D54D85"/>
    <w:rsid w:val="00D55411"/>
    <w:rsid w:val="00D55468"/>
    <w:rsid w:val="00D5619A"/>
    <w:rsid w:val="00D56700"/>
    <w:rsid w:val="00D56D2D"/>
    <w:rsid w:val="00D56D76"/>
    <w:rsid w:val="00D57F5A"/>
    <w:rsid w:val="00D606DA"/>
    <w:rsid w:val="00D619D4"/>
    <w:rsid w:val="00D631F4"/>
    <w:rsid w:val="00D636F2"/>
    <w:rsid w:val="00D65450"/>
    <w:rsid w:val="00D657E0"/>
    <w:rsid w:val="00D65AF9"/>
    <w:rsid w:val="00D669C3"/>
    <w:rsid w:val="00D670E5"/>
    <w:rsid w:val="00D67292"/>
    <w:rsid w:val="00D67303"/>
    <w:rsid w:val="00D6772D"/>
    <w:rsid w:val="00D67D94"/>
    <w:rsid w:val="00D70229"/>
    <w:rsid w:val="00D705BA"/>
    <w:rsid w:val="00D7070C"/>
    <w:rsid w:val="00D71012"/>
    <w:rsid w:val="00D721FC"/>
    <w:rsid w:val="00D7288F"/>
    <w:rsid w:val="00D73249"/>
    <w:rsid w:val="00D738A5"/>
    <w:rsid w:val="00D74B0F"/>
    <w:rsid w:val="00D74B3D"/>
    <w:rsid w:val="00D7508E"/>
    <w:rsid w:val="00D75B68"/>
    <w:rsid w:val="00D7695F"/>
    <w:rsid w:val="00D80454"/>
    <w:rsid w:val="00D80BDF"/>
    <w:rsid w:val="00D815E7"/>
    <w:rsid w:val="00D81A46"/>
    <w:rsid w:val="00D83CAA"/>
    <w:rsid w:val="00D84021"/>
    <w:rsid w:val="00D84C33"/>
    <w:rsid w:val="00D84D9B"/>
    <w:rsid w:val="00D85D20"/>
    <w:rsid w:val="00D86722"/>
    <w:rsid w:val="00D86770"/>
    <w:rsid w:val="00D86B41"/>
    <w:rsid w:val="00D879A6"/>
    <w:rsid w:val="00D91623"/>
    <w:rsid w:val="00D92061"/>
    <w:rsid w:val="00D92746"/>
    <w:rsid w:val="00D9291E"/>
    <w:rsid w:val="00D938A7"/>
    <w:rsid w:val="00D938E0"/>
    <w:rsid w:val="00D939DA"/>
    <w:rsid w:val="00D93B30"/>
    <w:rsid w:val="00D93B3E"/>
    <w:rsid w:val="00D93B60"/>
    <w:rsid w:val="00D94C0E"/>
    <w:rsid w:val="00D952A4"/>
    <w:rsid w:val="00D95EB8"/>
    <w:rsid w:val="00D963E6"/>
    <w:rsid w:val="00D96434"/>
    <w:rsid w:val="00D96530"/>
    <w:rsid w:val="00D97ABC"/>
    <w:rsid w:val="00DA0BD6"/>
    <w:rsid w:val="00DA1847"/>
    <w:rsid w:val="00DA2103"/>
    <w:rsid w:val="00DA29D1"/>
    <w:rsid w:val="00DA3E28"/>
    <w:rsid w:val="00DA402C"/>
    <w:rsid w:val="00DA41CD"/>
    <w:rsid w:val="00DA45D9"/>
    <w:rsid w:val="00DA48AB"/>
    <w:rsid w:val="00DA4B56"/>
    <w:rsid w:val="00DA6441"/>
    <w:rsid w:val="00DA648E"/>
    <w:rsid w:val="00DA657C"/>
    <w:rsid w:val="00DA67E1"/>
    <w:rsid w:val="00DA7D99"/>
    <w:rsid w:val="00DB00A2"/>
    <w:rsid w:val="00DB1271"/>
    <w:rsid w:val="00DB174F"/>
    <w:rsid w:val="00DB1D54"/>
    <w:rsid w:val="00DB1FF6"/>
    <w:rsid w:val="00DB2891"/>
    <w:rsid w:val="00DB2C14"/>
    <w:rsid w:val="00DB39D8"/>
    <w:rsid w:val="00DB3A4F"/>
    <w:rsid w:val="00DB4760"/>
    <w:rsid w:val="00DB5997"/>
    <w:rsid w:val="00DB5F07"/>
    <w:rsid w:val="00DB6642"/>
    <w:rsid w:val="00DB6BE4"/>
    <w:rsid w:val="00DB73E8"/>
    <w:rsid w:val="00DB7DF4"/>
    <w:rsid w:val="00DC02AD"/>
    <w:rsid w:val="00DC056E"/>
    <w:rsid w:val="00DC11DF"/>
    <w:rsid w:val="00DC14A3"/>
    <w:rsid w:val="00DC1551"/>
    <w:rsid w:val="00DC22C0"/>
    <w:rsid w:val="00DC41E7"/>
    <w:rsid w:val="00DC58D2"/>
    <w:rsid w:val="00DC5D64"/>
    <w:rsid w:val="00DC66CB"/>
    <w:rsid w:val="00DC68C2"/>
    <w:rsid w:val="00DC6AFD"/>
    <w:rsid w:val="00DD0C8C"/>
    <w:rsid w:val="00DD2A47"/>
    <w:rsid w:val="00DD3AB5"/>
    <w:rsid w:val="00DD5147"/>
    <w:rsid w:val="00DD781E"/>
    <w:rsid w:val="00DD7D57"/>
    <w:rsid w:val="00DE116E"/>
    <w:rsid w:val="00DE193F"/>
    <w:rsid w:val="00DE2A45"/>
    <w:rsid w:val="00DE39A7"/>
    <w:rsid w:val="00DE513D"/>
    <w:rsid w:val="00DE6DB9"/>
    <w:rsid w:val="00DE6E23"/>
    <w:rsid w:val="00DE7761"/>
    <w:rsid w:val="00DE78D6"/>
    <w:rsid w:val="00DE7DBF"/>
    <w:rsid w:val="00DF0152"/>
    <w:rsid w:val="00DF09CD"/>
    <w:rsid w:val="00DF16E8"/>
    <w:rsid w:val="00DF2916"/>
    <w:rsid w:val="00DF31F6"/>
    <w:rsid w:val="00DF42A6"/>
    <w:rsid w:val="00DF4FF4"/>
    <w:rsid w:val="00DF5522"/>
    <w:rsid w:val="00DF5607"/>
    <w:rsid w:val="00DF5F1D"/>
    <w:rsid w:val="00DF72EA"/>
    <w:rsid w:val="00DF7730"/>
    <w:rsid w:val="00DF788E"/>
    <w:rsid w:val="00DF7F7A"/>
    <w:rsid w:val="00E008EB"/>
    <w:rsid w:val="00E01931"/>
    <w:rsid w:val="00E02550"/>
    <w:rsid w:val="00E02F01"/>
    <w:rsid w:val="00E03956"/>
    <w:rsid w:val="00E03F95"/>
    <w:rsid w:val="00E05FAB"/>
    <w:rsid w:val="00E06C4E"/>
    <w:rsid w:val="00E079C1"/>
    <w:rsid w:val="00E10648"/>
    <w:rsid w:val="00E11905"/>
    <w:rsid w:val="00E12071"/>
    <w:rsid w:val="00E12196"/>
    <w:rsid w:val="00E12F69"/>
    <w:rsid w:val="00E13556"/>
    <w:rsid w:val="00E14128"/>
    <w:rsid w:val="00E148D7"/>
    <w:rsid w:val="00E15588"/>
    <w:rsid w:val="00E155F5"/>
    <w:rsid w:val="00E1580F"/>
    <w:rsid w:val="00E16E59"/>
    <w:rsid w:val="00E208A6"/>
    <w:rsid w:val="00E208D5"/>
    <w:rsid w:val="00E233E7"/>
    <w:rsid w:val="00E24002"/>
    <w:rsid w:val="00E2439F"/>
    <w:rsid w:val="00E24E39"/>
    <w:rsid w:val="00E25502"/>
    <w:rsid w:val="00E256C5"/>
    <w:rsid w:val="00E263D6"/>
    <w:rsid w:val="00E26599"/>
    <w:rsid w:val="00E2740E"/>
    <w:rsid w:val="00E27452"/>
    <w:rsid w:val="00E3091A"/>
    <w:rsid w:val="00E32095"/>
    <w:rsid w:val="00E321C3"/>
    <w:rsid w:val="00E32474"/>
    <w:rsid w:val="00E33915"/>
    <w:rsid w:val="00E33E4D"/>
    <w:rsid w:val="00E33F50"/>
    <w:rsid w:val="00E36419"/>
    <w:rsid w:val="00E364D8"/>
    <w:rsid w:val="00E36704"/>
    <w:rsid w:val="00E36951"/>
    <w:rsid w:val="00E37C07"/>
    <w:rsid w:val="00E407A1"/>
    <w:rsid w:val="00E4112B"/>
    <w:rsid w:val="00E414F7"/>
    <w:rsid w:val="00E41890"/>
    <w:rsid w:val="00E4277F"/>
    <w:rsid w:val="00E43221"/>
    <w:rsid w:val="00E44547"/>
    <w:rsid w:val="00E44EEE"/>
    <w:rsid w:val="00E457BA"/>
    <w:rsid w:val="00E45903"/>
    <w:rsid w:val="00E5103E"/>
    <w:rsid w:val="00E52545"/>
    <w:rsid w:val="00E52561"/>
    <w:rsid w:val="00E54947"/>
    <w:rsid w:val="00E54DAE"/>
    <w:rsid w:val="00E55332"/>
    <w:rsid w:val="00E56527"/>
    <w:rsid w:val="00E578BC"/>
    <w:rsid w:val="00E5799A"/>
    <w:rsid w:val="00E60DFF"/>
    <w:rsid w:val="00E61185"/>
    <w:rsid w:val="00E61535"/>
    <w:rsid w:val="00E6153C"/>
    <w:rsid w:val="00E61C70"/>
    <w:rsid w:val="00E62FA1"/>
    <w:rsid w:val="00E63017"/>
    <w:rsid w:val="00E6346C"/>
    <w:rsid w:val="00E63538"/>
    <w:rsid w:val="00E63BF4"/>
    <w:rsid w:val="00E6420F"/>
    <w:rsid w:val="00E64691"/>
    <w:rsid w:val="00E6552D"/>
    <w:rsid w:val="00E660C5"/>
    <w:rsid w:val="00E676BC"/>
    <w:rsid w:val="00E678C7"/>
    <w:rsid w:val="00E705F4"/>
    <w:rsid w:val="00E71CC3"/>
    <w:rsid w:val="00E71E0C"/>
    <w:rsid w:val="00E742C4"/>
    <w:rsid w:val="00E74DA9"/>
    <w:rsid w:val="00E752AA"/>
    <w:rsid w:val="00E753B9"/>
    <w:rsid w:val="00E76B31"/>
    <w:rsid w:val="00E8018D"/>
    <w:rsid w:val="00E80D5D"/>
    <w:rsid w:val="00E814E7"/>
    <w:rsid w:val="00E81837"/>
    <w:rsid w:val="00E81C7C"/>
    <w:rsid w:val="00E8231B"/>
    <w:rsid w:val="00E82B30"/>
    <w:rsid w:val="00E82C35"/>
    <w:rsid w:val="00E82D1D"/>
    <w:rsid w:val="00E83072"/>
    <w:rsid w:val="00E842CF"/>
    <w:rsid w:val="00E84C58"/>
    <w:rsid w:val="00E87076"/>
    <w:rsid w:val="00E901D9"/>
    <w:rsid w:val="00E90758"/>
    <w:rsid w:val="00E9091B"/>
    <w:rsid w:val="00E90F91"/>
    <w:rsid w:val="00E918C1"/>
    <w:rsid w:val="00E91E55"/>
    <w:rsid w:val="00E9203C"/>
    <w:rsid w:val="00E92266"/>
    <w:rsid w:val="00E9253F"/>
    <w:rsid w:val="00E92E41"/>
    <w:rsid w:val="00E9365F"/>
    <w:rsid w:val="00E948B5"/>
    <w:rsid w:val="00E95523"/>
    <w:rsid w:val="00E95B86"/>
    <w:rsid w:val="00E95ECB"/>
    <w:rsid w:val="00E97299"/>
    <w:rsid w:val="00E97596"/>
    <w:rsid w:val="00E97862"/>
    <w:rsid w:val="00EA1134"/>
    <w:rsid w:val="00EA135A"/>
    <w:rsid w:val="00EA1BE0"/>
    <w:rsid w:val="00EA3182"/>
    <w:rsid w:val="00EA32E9"/>
    <w:rsid w:val="00EA3E77"/>
    <w:rsid w:val="00EA47AD"/>
    <w:rsid w:val="00EA48B4"/>
    <w:rsid w:val="00EA5AFB"/>
    <w:rsid w:val="00EA5DAB"/>
    <w:rsid w:val="00EA6DEB"/>
    <w:rsid w:val="00EA6F97"/>
    <w:rsid w:val="00EA7917"/>
    <w:rsid w:val="00EB07E1"/>
    <w:rsid w:val="00EB0E48"/>
    <w:rsid w:val="00EB108B"/>
    <w:rsid w:val="00EB1BB6"/>
    <w:rsid w:val="00EB1BE2"/>
    <w:rsid w:val="00EB2279"/>
    <w:rsid w:val="00EB42FF"/>
    <w:rsid w:val="00EB4A43"/>
    <w:rsid w:val="00EB4A78"/>
    <w:rsid w:val="00EB4C41"/>
    <w:rsid w:val="00EB50E5"/>
    <w:rsid w:val="00EB513C"/>
    <w:rsid w:val="00EB519A"/>
    <w:rsid w:val="00EB5908"/>
    <w:rsid w:val="00EB614C"/>
    <w:rsid w:val="00EB6593"/>
    <w:rsid w:val="00EB687C"/>
    <w:rsid w:val="00EB6FBE"/>
    <w:rsid w:val="00EB7957"/>
    <w:rsid w:val="00EC000B"/>
    <w:rsid w:val="00EC010F"/>
    <w:rsid w:val="00EC01DD"/>
    <w:rsid w:val="00EC033A"/>
    <w:rsid w:val="00EC0612"/>
    <w:rsid w:val="00EC1ABE"/>
    <w:rsid w:val="00EC21D9"/>
    <w:rsid w:val="00EC2D1B"/>
    <w:rsid w:val="00EC2FF7"/>
    <w:rsid w:val="00EC3059"/>
    <w:rsid w:val="00EC3AF3"/>
    <w:rsid w:val="00EC4D6A"/>
    <w:rsid w:val="00EC53C6"/>
    <w:rsid w:val="00EC565E"/>
    <w:rsid w:val="00EC5FBE"/>
    <w:rsid w:val="00EC5FE4"/>
    <w:rsid w:val="00EC6101"/>
    <w:rsid w:val="00EC617F"/>
    <w:rsid w:val="00EC63CE"/>
    <w:rsid w:val="00EC7EE8"/>
    <w:rsid w:val="00ED079A"/>
    <w:rsid w:val="00ED187D"/>
    <w:rsid w:val="00ED2126"/>
    <w:rsid w:val="00ED233D"/>
    <w:rsid w:val="00ED2887"/>
    <w:rsid w:val="00ED36F7"/>
    <w:rsid w:val="00ED4193"/>
    <w:rsid w:val="00ED44A0"/>
    <w:rsid w:val="00ED4A09"/>
    <w:rsid w:val="00ED4BBB"/>
    <w:rsid w:val="00ED6DA2"/>
    <w:rsid w:val="00ED75C9"/>
    <w:rsid w:val="00ED7CDB"/>
    <w:rsid w:val="00EE0926"/>
    <w:rsid w:val="00EE0BC6"/>
    <w:rsid w:val="00EE1902"/>
    <w:rsid w:val="00EE268A"/>
    <w:rsid w:val="00EE3028"/>
    <w:rsid w:val="00EE3FE8"/>
    <w:rsid w:val="00EE4073"/>
    <w:rsid w:val="00EE4401"/>
    <w:rsid w:val="00EE4478"/>
    <w:rsid w:val="00EE49C8"/>
    <w:rsid w:val="00EE570B"/>
    <w:rsid w:val="00EE5B3F"/>
    <w:rsid w:val="00EE5E1F"/>
    <w:rsid w:val="00EE6621"/>
    <w:rsid w:val="00EE69D9"/>
    <w:rsid w:val="00EE75E2"/>
    <w:rsid w:val="00EE7C4A"/>
    <w:rsid w:val="00EF013F"/>
    <w:rsid w:val="00EF019D"/>
    <w:rsid w:val="00EF1532"/>
    <w:rsid w:val="00EF18B9"/>
    <w:rsid w:val="00EF1F2A"/>
    <w:rsid w:val="00EF24DC"/>
    <w:rsid w:val="00EF33E5"/>
    <w:rsid w:val="00EF36A9"/>
    <w:rsid w:val="00EF3F16"/>
    <w:rsid w:val="00EF4198"/>
    <w:rsid w:val="00EF511B"/>
    <w:rsid w:val="00EF54EF"/>
    <w:rsid w:val="00EF57D3"/>
    <w:rsid w:val="00EF590D"/>
    <w:rsid w:val="00EF6C87"/>
    <w:rsid w:val="00EF6F6E"/>
    <w:rsid w:val="00EF722B"/>
    <w:rsid w:val="00EF74C3"/>
    <w:rsid w:val="00F003A1"/>
    <w:rsid w:val="00F003E1"/>
    <w:rsid w:val="00F0096E"/>
    <w:rsid w:val="00F0178D"/>
    <w:rsid w:val="00F01A38"/>
    <w:rsid w:val="00F023E3"/>
    <w:rsid w:val="00F02ADC"/>
    <w:rsid w:val="00F03249"/>
    <w:rsid w:val="00F0345E"/>
    <w:rsid w:val="00F04323"/>
    <w:rsid w:val="00F04ABE"/>
    <w:rsid w:val="00F04D76"/>
    <w:rsid w:val="00F058B7"/>
    <w:rsid w:val="00F06618"/>
    <w:rsid w:val="00F06B58"/>
    <w:rsid w:val="00F06C4E"/>
    <w:rsid w:val="00F06FB7"/>
    <w:rsid w:val="00F06FDF"/>
    <w:rsid w:val="00F079F4"/>
    <w:rsid w:val="00F07AB6"/>
    <w:rsid w:val="00F101F9"/>
    <w:rsid w:val="00F10225"/>
    <w:rsid w:val="00F10DA6"/>
    <w:rsid w:val="00F111A9"/>
    <w:rsid w:val="00F112FA"/>
    <w:rsid w:val="00F11305"/>
    <w:rsid w:val="00F1140D"/>
    <w:rsid w:val="00F1148C"/>
    <w:rsid w:val="00F12B23"/>
    <w:rsid w:val="00F13B64"/>
    <w:rsid w:val="00F16008"/>
    <w:rsid w:val="00F16409"/>
    <w:rsid w:val="00F17207"/>
    <w:rsid w:val="00F21CB0"/>
    <w:rsid w:val="00F22AF2"/>
    <w:rsid w:val="00F22B99"/>
    <w:rsid w:val="00F23CDC"/>
    <w:rsid w:val="00F23F37"/>
    <w:rsid w:val="00F24133"/>
    <w:rsid w:val="00F243BC"/>
    <w:rsid w:val="00F24FDC"/>
    <w:rsid w:val="00F25D4E"/>
    <w:rsid w:val="00F264CD"/>
    <w:rsid w:val="00F26A31"/>
    <w:rsid w:val="00F26FF5"/>
    <w:rsid w:val="00F276C1"/>
    <w:rsid w:val="00F27938"/>
    <w:rsid w:val="00F27CC0"/>
    <w:rsid w:val="00F27CD9"/>
    <w:rsid w:val="00F27DDE"/>
    <w:rsid w:val="00F319BF"/>
    <w:rsid w:val="00F3219D"/>
    <w:rsid w:val="00F322A0"/>
    <w:rsid w:val="00F323BE"/>
    <w:rsid w:val="00F33102"/>
    <w:rsid w:val="00F33215"/>
    <w:rsid w:val="00F3570C"/>
    <w:rsid w:val="00F359DD"/>
    <w:rsid w:val="00F35A8A"/>
    <w:rsid w:val="00F366E3"/>
    <w:rsid w:val="00F36830"/>
    <w:rsid w:val="00F370F7"/>
    <w:rsid w:val="00F37433"/>
    <w:rsid w:val="00F3773A"/>
    <w:rsid w:val="00F41BEA"/>
    <w:rsid w:val="00F42110"/>
    <w:rsid w:val="00F42183"/>
    <w:rsid w:val="00F42675"/>
    <w:rsid w:val="00F427B7"/>
    <w:rsid w:val="00F4315A"/>
    <w:rsid w:val="00F442F1"/>
    <w:rsid w:val="00F45301"/>
    <w:rsid w:val="00F45A40"/>
    <w:rsid w:val="00F45CCE"/>
    <w:rsid w:val="00F46DF2"/>
    <w:rsid w:val="00F46F36"/>
    <w:rsid w:val="00F47660"/>
    <w:rsid w:val="00F47731"/>
    <w:rsid w:val="00F478A5"/>
    <w:rsid w:val="00F501AA"/>
    <w:rsid w:val="00F50767"/>
    <w:rsid w:val="00F512C9"/>
    <w:rsid w:val="00F5141C"/>
    <w:rsid w:val="00F51C43"/>
    <w:rsid w:val="00F5235B"/>
    <w:rsid w:val="00F525A9"/>
    <w:rsid w:val="00F536C6"/>
    <w:rsid w:val="00F536D8"/>
    <w:rsid w:val="00F54DB3"/>
    <w:rsid w:val="00F55F8E"/>
    <w:rsid w:val="00F56ABC"/>
    <w:rsid w:val="00F56ACC"/>
    <w:rsid w:val="00F60727"/>
    <w:rsid w:val="00F63162"/>
    <w:rsid w:val="00F63F59"/>
    <w:rsid w:val="00F644BE"/>
    <w:rsid w:val="00F649A4"/>
    <w:rsid w:val="00F65CFC"/>
    <w:rsid w:val="00F66021"/>
    <w:rsid w:val="00F66071"/>
    <w:rsid w:val="00F667C6"/>
    <w:rsid w:val="00F668C0"/>
    <w:rsid w:val="00F674A1"/>
    <w:rsid w:val="00F674B3"/>
    <w:rsid w:val="00F67619"/>
    <w:rsid w:val="00F6795C"/>
    <w:rsid w:val="00F67A95"/>
    <w:rsid w:val="00F67F0C"/>
    <w:rsid w:val="00F70479"/>
    <w:rsid w:val="00F709F2"/>
    <w:rsid w:val="00F70B0A"/>
    <w:rsid w:val="00F710E8"/>
    <w:rsid w:val="00F71BB6"/>
    <w:rsid w:val="00F71F8E"/>
    <w:rsid w:val="00F7319B"/>
    <w:rsid w:val="00F733FA"/>
    <w:rsid w:val="00F7425C"/>
    <w:rsid w:val="00F7433B"/>
    <w:rsid w:val="00F7467B"/>
    <w:rsid w:val="00F7507D"/>
    <w:rsid w:val="00F759D6"/>
    <w:rsid w:val="00F75BCB"/>
    <w:rsid w:val="00F761E8"/>
    <w:rsid w:val="00F7626C"/>
    <w:rsid w:val="00F76683"/>
    <w:rsid w:val="00F77ED4"/>
    <w:rsid w:val="00F80A76"/>
    <w:rsid w:val="00F80CC8"/>
    <w:rsid w:val="00F8195C"/>
    <w:rsid w:val="00F82D20"/>
    <w:rsid w:val="00F8444F"/>
    <w:rsid w:val="00F8590E"/>
    <w:rsid w:val="00F8627D"/>
    <w:rsid w:val="00F86BA8"/>
    <w:rsid w:val="00F877D5"/>
    <w:rsid w:val="00F87AA4"/>
    <w:rsid w:val="00F87DD8"/>
    <w:rsid w:val="00F90613"/>
    <w:rsid w:val="00F909CF"/>
    <w:rsid w:val="00F92055"/>
    <w:rsid w:val="00F92FFA"/>
    <w:rsid w:val="00F9376B"/>
    <w:rsid w:val="00F9381D"/>
    <w:rsid w:val="00F938E7"/>
    <w:rsid w:val="00F94597"/>
    <w:rsid w:val="00F95C06"/>
    <w:rsid w:val="00F960BC"/>
    <w:rsid w:val="00F968B7"/>
    <w:rsid w:val="00FA0435"/>
    <w:rsid w:val="00FA0A4E"/>
    <w:rsid w:val="00FA14C8"/>
    <w:rsid w:val="00FA153F"/>
    <w:rsid w:val="00FA1929"/>
    <w:rsid w:val="00FA1A3B"/>
    <w:rsid w:val="00FA1AC3"/>
    <w:rsid w:val="00FA308A"/>
    <w:rsid w:val="00FA487C"/>
    <w:rsid w:val="00FA4DDA"/>
    <w:rsid w:val="00FA584F"/>
    <w:rsid w:val="00FA5E85"/>
    <w:rsid w:val="00FA6078"/>
    <w:rsid w:val="00FA639D"/>
    <w:rsid w:val="00FA6C9B"/>
    <w:rsid w:val="00FA6CD9"/>
    <w:rsid w:val="00FA742F"/>
    <w:rsid w:val="00FA76FF"/>
    <w:rsid w:val="00FA79E0"/>
    <w:rsid w:val="00FB012B"/>
    <w:rsid w:val="00FB026A"/>
    <w:rsid w:val="00FB1BD2"/>
    <w:rsid w:val="00FB2003"/>
    <w:rsid w:val="00FB213D"/>
    <w:rsid w:val="00FB31F2"/>
    <w:rsid w:val="00FB410D"/>
    <w:rsid w:val="00FB4434"/>
    <w:rsid w:val="00FB4BC8"/>
    <w:rsid w:val="00FB4F0A"/>
    <w:rsid w:val="00FB51AA"/>
    <w:rsid w:val="00FB73DA"/>
    <w:rsid w:val="00FC0697"/>
    <w:rsid w:val="00FC0797"/>
    <w:rsid w:val="00FC1015"/>
    <w:rsid w:val="00FC1097"/>
    <w:rsid w:val="00FC1553"/>
    <w:rsid w:val="00FC3A3A"/>
    <w:rsid w:val="00FC3D12"/>
    <w:rsid w:val="00FC4460"/>
    <w:rsid w:val="00FC4CFD"/>
    <w:rsid w:val="00FC5AC7"/>
    <w:rsid w:val="00FC629A"/>
    <w:rsid w:val="00FC6BBB"/>
    <w:rsid w:val="00FC6EBF"/>
    <w:rsid w:val="00FC6EE0"/>
    <w:rsid w:val="00FC70A9"/>
    <w:rsid w:val="00FC7E19"/>
    <w:rsid w:val="00FD04E5"/>
    <w:rsid w:val="00FD06FC"/>
    <w:rsid w:val="00FD0752"/>
    <w:rsid w:val="00FD0DB3"/>
    <w:rsid w:val="00FD1B38"/>
    <w:rsid w:val="00FD1CA3"/>
    <w:rsid w:val="00FD1FC1"/>
    <w:rsid w:val="00FD237F"/>
    <w:rsid w:val="00FD269E"/>
    <w:rsid w:val="00FD2BC9"/>
    <w:rsid w:val="00FD2D4F"/>
    <w:rsid w:val="00FD3FDB"/>
    <w:rsid w:val="00FD4BF3"/>
    <w:rsid w:val="00FD50D6"/>
    <w:rsid w:val="00FD5A3A"/>
    <w:rsid w:val="00FD66BE"/>
    <w:rsid w:val="00FD68C0"/>
    <w:rsid w:val="00FD73A0"/>
    <w:rsid w:val="00FD7FFD"/>
    <w:rsid w:val="00FE0B39"/>
    <w:rsid w:val="00FE0D5C"/>
    <w:rsid w:val="00FE1489"/>
    <w:rsid w:val="00FE2C6E"/>
    <w:rsid w:val="00FE311C"/>
    <w:rsid w:val="00FE31D4"/>
    <w:rsid w:val="00FE54D8"/>
    <w:rsid w:val="00FE5B66"/>
    <w:rsid w:val="00FE68DB"/>
    <w:rsid w:val="00FE6F5A"/>
    <w:rsid w:val="00FE6FB7"/>
    <w:rsid w:val="00FE735F"/>
    <w:rsid w:val="00FF00B3"/>
    <w:rsid w:val="00FF0F8F"/>
    <w:rsid w:val="00FF14AD"/>
    <w:rsid w:val="00FF1CC2"/>
    <w:rsid w:val="00FF2232"/>
    <w:rsid w:val="00FF2554"/>
    <w:rsid w:val="00FF2970"/>
    <w:rsid w:val="00FF2C73"/>
    <w:rsid w:val="00FF3246"/>
    <w:rsid w:val="00FF4179"/>
    <w:rsid w:val="00FF466A"/>
    <w:rsid w:val="00FF4845"/>
    <w:rsid w:val="00FF4BFC"/>
    <w:rsid w:val="00FF4C91"/>
    <w:rsid w:val="00FF596B"/>
    <w:rsid w:val="00FF6586"/>
    <w:rsid w:val="00FF6666"/>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 w:type="paragraph" w:customStyle="1" w:styleId="Footnote">
    <w:name w:val="Footnote"/>
    <w:basedOn w:val="a0"/>
    <w:rsid w:val="006C6BB1"/>
    <w:pPr>
      <w:spacing w:after="0" w:line="240" w:lineRule="auto"/>
      <w:jc w:val="both"/>
    </w:pPr>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5695682">
      <w:bodyDiv w:val="1"/>
      <w:marLeft w:val="0"/>
      <w:marRight w:val="0"/>
      <w:marTop w:val="0"/>
      <w:marBottom w:val="0"/>
      <w:divBdr>
        <w:top w:val="none" w:sz="0" w:space="0" w:color="auto"/>
        <w:left w:val="none" w:sz="0" w:space="0" w:color="auto"/>
        <w:bottom w:val="none" w:sz="0" w:space="0" w:color="auto"/>
        <w:right w:val="none" w:sz="0" w:space="0" w:color="auto"/>
      </w:divBdr>
      <w:divsChild>
        <w:div w:id="209657749">
          <w:marLeft w:val="0"/>
          <w:marRight w:val="0"/>
          <w:marTop w:val="0"/>
          <w:marBottom w:val="0"/>
          <w:divBdr>
            <w:top w:val="none" w:sz="0" w:space="0" w:color="auto"/>
            <w:left w:val="none" w:sz="0" w:space="0" w:color="auto"/>
            <w:bottom w:val="none" w:sz="0" w:space="0" w:color="auto"/>
            <w:right w:val="none" w:sz="0" w:space="0" w:color="auto"/>
          </w:divBdr>
        </w:div>
        <w:div w:id="322975188">
          <w:marLeft w:val="0"/>
          <w:marRight w:val="0"/>
          <w:marTop w:val="0"/>
          <w:marBottom w:val="0"/>
          <w:divBdr>
            <w:top w:val="none" w:sz="0" w:space="0" w:color="auto"/>
            <w:left w:val="none" w:sz="0" w:space="0" w:color="auto"/>
            <w:bottom w:val="none" w:sz="0" w:space="0" w:color="auto"/>
            <w:right w:val="none" w:sz="0" w:space="0" w:color="auto"/>
          </w:divBdr>
        </w:div>
        <w:div w:id="334114354">
          <w:marLeft w:val="0"/>
          <w:marRight w:val="0"/>
          <w:marTop w:val="0"/>
          <w:marBottom w:val="0"/>
          <w:divBdr>
            <w:top w:val="none" w:sz="0" w:space="0" w:color="auto"/>
            <w:left w:val="none" w:sz="0" w:space="0" w:color="auto"/>
            <w:bottom w:val="none" w:sz="0" w:space="0" w:color="auto"/>
            <w:right w:val="none" w:sz="0" w:space="0" w:color="auto"/>
          </w:divBdr>
        </w:div>
        <w:div w:id="920213924">
          <w:marLeft w:val="0"/>
          <w:marRight w:val="0"/>
          <w:marTop w:val="0"/>
          <w:marBottom w:val="0"/>
          <w:divBdr>
            <w:top w:val="none" w:sz="0" w:space="0" w:color="auto"/>
            <w:left w:val="none" w:sz="0" w:space="0" w:color="auto"/>
            <w:bottom w:val="none" w:sz="0" w:space="0" w:color="auto"/>
            <w:right w:val="none" w:sz="0" w:space="0" w:color="auto"/>
          </w:divBdr>
        </w:div>
        <w:div w:id="1388457903">
          <w:marLeft w:val="0"/>
          <w:marRight w:val="0"/>
          <w:marTop w:val="0"/>
          <w:marBottom w:val="0"/>
          <w:divBdr>
            <w:top w:val="none" w:sz="0" w:space="0" w:color="auto"/>
            <w:left w:val="none" w:sz="0" w:space="0" w:color="auto"/>
            <w:bottom w:val="none" w:sz="0" w:space="0" w:color="auto"/>
            <w:right w:val="none" w:sz="0" w:space="0" w:color="auto"/>
          </w:divBdr>
        </w:div>
        <w:div w:id="1567033782">
          <w:marLeft w:val="0"/>
          <w:marRight w:val="0"/>
          <w:marTop w:val="0"/>
          <w:marBottom w:val="0"/>
          <w:divBdr>
            <w:top w:val="none" w:sz="0" w:space="0" w:color="auto"/>
            <w:left w:val="none" w:sz="0" w:space="0" w:color="auto"/>
            <w:bottom w:val="none" w:sz="0" w:space="0" w:color="auto"/>
            <w:right w:val="none" w:sz="0" w:space="0" w:color="auto"/>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263757477">
      <w:bodyDiv w:val="1"/>
      <w:marLeft w:val="0"/>
      <w:marRight w:val="0"/>
      <w:marTop w:val="0"/>
      <w:marBottom w:val="0"/>
      <w:divBdr>
        <w:top w:val="none" w:sz="0" w:space="0" w:color="auto"/>
        <w:left w:val="none" w:sz="0" w:space="0" w:color="auto"/>
        <w:bottom w:val="none" w:sz="0" w:space="0" w:color="auto"/>
        <w:right w:val="none" w:sz="0" w:space="0" w:color="auto"/>
      </w:divBdr>
      <w:divsChild>
        <w:div w:id="23021448">
          <w:marLeft w:val="0"/>
          <w:marRight w:val="0"/>
          <w:marTop w:val="0"/>
          <w:marBottom w:val="0"/>
          <w:divBdr>
            <w:top w:val="none" w:sz="0" w:space="0" w:color="auto"/>
            <w:left w:val="none" w:sz="0" w:space="0" w:color="auto"/>
            <w:bottom w:val="none" w:sz="0" w:space="0" w:color="auto"/>
            <w:right w:val="none" w:sz="0" w:space="0" w:color="auto"/>
          </w:divBdr>
        </w:div>
        <w:div w:id="843979637">
          <w:marLeft w:val="0"/>
          <w:marRight w:val="0"/>
          <w:marTop w:val="0"/>
          <w:marBottom w:val="0"/>
          <w:divBdr>
            <w:top w:val="none" w:sz="0" w:space="0" w:color="auto"/>
            <w:left w:val="none" w:sz="0" w:space="0" w:color="auto"/>
            <w:bottom w:val="none" w:sz="0" w:space="0" w:color="auto"/>
            <w:right w:val="none" w:sz="0" w:space="0" w:color="auto"/>
          </w:divBdr>
        </w:div>
        <w:div w:id="879322925">
          <w:marLeft w:val="0"/>
          <w:marRight w:val="0"/>
          <w:marTop w:val="0"/>
          <w:marBottom w:val="0"/>
          <w:divBdr>
            <w:top w:val="none" w:sz="0" w:space="0" w:color="auto"/>
            <w:left w:val="none" w:sz="0" w:space="0" w:color="auto"/>
            <w:bottom w:val="none" w:sz="0" w:space="0" w:color="auto"/>
            <w:right w:val="none" w:sz="0" w:space="0" w:color="auto"/>
          </w:divBdr>
        </w:div>
        <w:div w:id="1103376782">
          <w:marLeft w:val="0"/>
          <w:marRight w:val="0"/>
          <w:marTop w:val="0"/>
          <w:marBottom w:val="0"/>
          <w:divBdr>
            <w:top w:val="none" w:sz="0" w:space="0" w:color="auto"/>
            <w:left w:val="none" w:sz="0" w:space="0" w:color="auto"/>
            <w:bottom w:val="none" w:sz="0" w:space="0" w:color="auto"/>
            <w:right w:val="none" w:sz="0" w:space="0" w:color="auto"/>
          </w:divBdr>
        </w:div>
        <w:div w:id="1448548929">
          <w:marLeft w:val="0"/>
          <w:marRight w:val="0"/>
          <w:marTop w:val="0"/>
          <w:marBottom w:val="0"/>
          <w:divBdr>
            <w:top w:val="none" w:sz="0" w:space="0" w:color="auto"/>
            <w:left w:val="none" w:sz="0" w:space="0" w:color="auto"/>
            <w:bottom w:val="none" w:sz="0" w:space="0" w:color="auto"/>
            <w:right w:val="none" w:sz="0" w:space="0" w:color="auto"/>
          </w:divBdr>
        </w:div>
        <w:div w:id="1733195609">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495409836">
      <w:bodyDiv w:val="1"/>
      <w:marLeft w:val="0"/>
      <w:marRight w:val="0"/>
      <w:marTop w:val="0"/>
      <w:marBottom w:val="0"/>
      <w:divBdr>
        <w:top w:val="none" w:sz="0" w:space="0" w:color="auto"/>
        <w:left w:val="none" w:sz="0" w:space="0" w:color="auto"/>
        <w:bottom w:val="none" w:sz="0" w:space="0" w:color="auto"/>
        <w:right w:val="none" w:sz="0" w:space="0" w:color="auto"/>
      </w:divBdr>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846936182">
      <w:bodyDiv w:val="1"/>
      <w:marLeft w:val="0"/>
      <w:marRight w:val="0"/>
      <w:marTop w:val="0"/>
      <w:marBottom w:val="0"/>
      <w:divBdr>
        <w:top w:val="none" w:sz="0" w:space="0" w:color="auto"/>
        <w:left w:val="none" w:sz="0" w:space="0" w:color="auto"/>
        <w:bottom w:val="none" w:sz="0" w:space="0" w:color="auto"/>
        <w:right w:val="none" w:sz="0" w:space="0" w:color="auto"/>
      </w:divBdr>
    </w:div>
    <w:div w:id="1865289149">
      <w:bodyDiv w:val="1"/>
      <w:marLeft w:val="0"/>
      <w:marRight w:val="0"/>
      <w:marTop w:val="0"/>
      <w:marBottom w:val="0"/>
      <w:divBdr>
        <w:top w:val="none" w:sz="0" w:space="0" w:color="auto"/>
        <w:left w:val="none" w:sz="0" w:space="0" w:color="auto"/>
        <w:bottom w:val="none" w:sz="0" w:space="0" w:color="auto"/>
        <w:right w:val="none" w:sz="0" w:space="0" w:color="auto"/>
      </w:divBdr>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c.bg/informatsiya-i-publichnost/grafichni-iziskvaniy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derisperih.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isperih@abv.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eumis2020.government.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3AA5-9D27-4722-99CF-35BD3DD2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20453</Words>
  <Characters>116588</Characters>
  <Application>Microsoft Office Word</Application>
  <DocSecurity>0</DocSecurity>
  <Lines>971</Lines>
  <Paragraphs>273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2021-05-10T10:30:00Z</dcterms:created>
  <dcterms:modified xsi:type="dcterms:W3CDTF">2021-11-26T09:02:00Z</dcterms:modified>
</cp:coreProperties>
</file>