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9C9" w:rsidRDefault="009329C9">
      <w:pPr>
        <w:spacing w:after="120"/>
        <w:ind w:right="567"/>
        <w:jc w:val="center"/>
        <w:rPr>
          <w:rFonts w:ascii="Times New Roman" w:hAnsi="Times New Roman" w:cs="Times New Roman"/>
          <w:b/>
          <w:sz w:val="24"/>
          <w:szCs w:val="24"/>
        </w:rPr>
      </w:pPr>
    </w:p>
    <w:p w:rsidR="009329C9" w:rsidRDefault="009329C9">
      <w:pPr>
        <w:spacing w:after="120"/>
        <w:ind w:right="567"/>
        <w:jc w:val="center"/>
        <w:rPr>
          <w:rFonts w:ascii="Times New Roman" w:hAnsi="Times New Roman" w:cs="Times New Roman"/>
          <w:b/>
          <w:sz w:val="24"/>
          <w:szCs w:val="24"/>
        </w:rPr>
      </w:pPr>
    </w:p>
    <w:p w:rsidR="009329C9" w:rsidRDefault="009329C9">
      <w:pPr>
        <w:spacing w:after="120"/>
        <w:ind w:right="567"/>
        <w:jc w:val="center"/>
        <w:rPr>
          <w:rFonts w:ascii="Times New Roman" w:hAnsi="Times New Roman" w:cs="Times New Roman"/>
          <w:b/>
          <w:sz w:val="24"/>
          <w:szCs w:val="24"/>
        </w:rPr>
      </w:pPr>
    </w:p>
    <w:p w:rsidR="009329C9" w:rsidRDefault="009329C9">
      <w:pPr>
        <w:spacing w:after="120"/>
        <w:ind w:right="567"/>
        <w:jc w:val="center"/>
        <w:rPr>
          <w:rFonts w:ascii="Times New Roman" w:hAnsi="Times New Roman" w:cs="Times New Roman"/>
          <w:b/>
          <w:sz w:val="24"/>
          <w:szCs w:val="24"/>
        </w:rPr>
      </w:pPr>
    </w:p>
    <w:p w:rsidR="009329C9" w:rsidRDefault="009329C9">
      <w:pPr>
        <w:spacing w:after="120"/>
        <w:ind w:right="567"/>
        <w:jc w:val="center"/>
        <w:rPr>
          <w:rFonts w:ascii="Times New Roman" w:hAnsi="Times New Roman" w:cs="Times New Roman"/>
          <w:b/>
          <w:sz w:val="24"/>
          <w:szCs w:val="24"/>
        </w:rPr>
      </w:pPr>
    </w:p>
    <w:p w:rsidR="009329C9" w:rsidRDefault="009329C9">
      <w:pPr>
        <w:spacing w:after="120"/>
        <w:ind w:right="567"/>
        <w:jc w:val="center"/>
        <w:rPr>
          <w:rFonts w:ascii="Times New Roman" w:hAnsi="Times New Roman" w:cs="Times New Roman"/>
          <w:b/>
          <w:sz w:val="24"/>
          <w:szCs w:val="24"/>
        </w:rPr>
      </w:pPr>
    </w:p>
    <w:p w:rsidR="009329C9" w:rsidRDefault="00B5212B">
      <w:pPr>
        <w:spacing w:after="120"/>
        <w:ind w:right="567"/>
        <w:jc w:val="center"/>
        <w:rPr>
          <w:rFonts w:ascii="Times New Roman" w:hAnsi="Times New Roman" w:cs="Times New Roman"/>
          <w:b/>
          <w:sz w:val="24"/>
          <w:szCs w:val="24"/>
        </w:rPr>
      </w:pPr>
      <w:r>
        <w:rPr>
          <w:rFonts w:ascii="Times New Roman" w:hAnsi="Times New Roman" w:cs="Times New Roman"/>
          <w:b/>
          <w:sz w:val="24"/>
          <w:szCs w:val="24"/>
        </w:rPr>
        <w:t>СТРАТЕГИЯ ЗА ВОМР</w:t>
      </w:r>
    </w:p>
    <w:p w:rsidR="009329C9" w:rsidRDefault="00B5212B">
      <w:pPr>
        <w:spacing w:after="120"/>
        <w:ind w:right="567"/>
        <w:jc w:val="center"/>
        <w:rPr>
          <w:rFonts w:ascii="Times New Roman" w:hAnsi="Times New Roman" w:cs="Times New Roman"/>
          <w:b/>
          <w:sz w:val="24"/>
          <w:szCs w:val="24"/>
        </w:rPr>
      </w:pPr>
      <w:r>
        <w:rPr>
          <w:rFonts w:ascii="Times New Roman" w:hAnsi="Times New Roman" w:cs="Times New Roman"/>
          <w:b/>
          <w:sz w:val="24"/>
          <w:szCs w:val="24"/>
        </w:rPr>
        <w:t xml:space="preserve">ЗА ТЕРИТОРИЯТА НА СДРУЖЕНИЕ </w:t>
      </w:r>
      <w:r>
        <w:rPr>
          <w:rFonts w:ascii="Times New Roman" w:hAnsi="Times New Roman" w:cs="Times New Roman"/>
          <w:b/>
          <w:sz w:val="24"/>
          <w:szCs w:val="24"/>
        </w:rPr>
        <w:br/>
        <w:t>„МЕСТНА ИНИЦИАТИВНА ГРУПА „СВИЛЕНГРАД АРЕАЛ“</w:t>
      </w:r>
    </w:p>
    <w:p w:rsidR="009329C9" w:rsidRDefault="009329C9">
      <w:pPr>
        <w:spacing w:after="120"/>
        <w:ind w:right="567"/>
        <w:rPr>
          <w:rFonts w:ascii="Times New Roman" w:hAnsi="Times New Roman" w:cs="Times New Roman"/>
          <w:sz w:val="24"/>
          <w:szCs w:val="24"/>
        </w:rPr>
      </w:pPr>
    </w:p>
    <w:p w:rsidR="009329C9" w:rsidRDefault="009329C9">
      <w:pPr>
        <w:spacing w:after="120"/>
        <w:ind w:right="567"/>
        <w:rPr>
          <w:rFonts w:ascii="Times New Roman" w:hAnsi="Times New Roman" w:cs="Times New Roman"/>
          <w:sz w:val="24"/>
          <w:szCs w:val="24"/>
        </w:rPr>
      </w:pPr>
    </w:p>
    <w:p w:rsidR="009329C9" w:rsidRDefault="00B5212B">
      <w:pPr>
        <w:spacing w:after="120"/>
        <w:ind w:right="567"/>
        <w:jc w:val="center"/>
        <w:rPr>
          <w:rFonts w:ascii="Times New Roman" w:hAnsi="Times New Roman" w:cs="Times New Roman"/>
          <w:sz w:val="24"/>
          <w:szCs w:val="24"/>
        </w:rPr>
      </w:pPr>
      <w:r>
        <w:rPr>
          <w:rFonts w:ascii="Times New Roman" w:hAnsi="Times New Roman" w:cs="Times New Roman"/>
          <w:sz w:val="24"/>
          <w:szCs w:val="24"/>
        </w:rPr>
        <w:t>Стратегията за ВОМР е разработена по проект по подмярка 19.1 „Помощ за подготвителни дейности“ на мярка 19 „Водено от общностите местно развитие“ по Програма  за  развитие  на  селските  райони  2014 – 2020г.</w:t>
      </w:r>
    </w:p>
    <w:p w:rsidR="009329C9" w:rsidRDefault="00B5212B">
      <w:pPr>
        <w:spacing w:after="120"/>
        <w:ind w:right="567"/>
        <w:jc w:val="center"/>
        <w:rPr>
          <w:rFonts w:ascii="Times New Roman" w:hAnsi="Times New Roman" w:cs="Times New Roman"/>
          <w:sz w:val="24"/>
          <w:szCs w:val="24"/>
        </w:rPr>
      </w:pPr>
      <w:r>
        <w:rPr>
          <w:rFonts w:ascii="Times New Roman" w:hAnsi="Times New Roman" w:cs="Times New Roman"/>
          <w:sz w:val="24"/>
          <w:szCs w:val="24"/>
        </w:rPr>
        <w:t>Договор</w:t>
      </w:r>
      <w:r>
        <w:rPr>
          <w:rFonts w:ascii="Times New Roman" w:eastAsia="Century Gothic" w:hAnsi="Times New Roman" w:cs="Times New Roman"/>
          <w:sz w:val="24"/>
          <w:szCs w:val="24"/>
          <w:lang w:eastAsia="en-US"/>
        </w:rPr>
        <w:t xml:space="preserve"> №РД-50-81/17.08.2016 г</w:t>
      </w:r>
    </w:p>
    <w:p w:rsidR="009329C9" w:rsidRDefault="009329C9">
      <w:pPr>
        <w:spacing w:after="120"/>
        <w:ind w:right="567"/>
        <w:jc w:val="center"/>
        <w:rPr>
          <w:rFonts w:ascii="Times New Roman" w:hAnsi="Times New Roman" w:cs="Times New Roman"/>
          <w:sz w:val="24"/>
          <w:szCs w:val="24"/>
        </w:rPr>
      </w:pPr>
    </w:p>
    <w:p w:rsidR="009329C9" w:rsidRDefault="009329C9">
      <w:pPr>
        <w:spacing w:after="120"/>
        <w:ind w:right="567"/>
        <w:jc w:val="center"/>
        <w:rPr>
          <w:rFonts w:ascii="Times New Roman" w:hAnsi="Times New Roman" w:cs="Times New Roman"/>
          <w:sz w:val="24"/>
          <w:szCs w:val="24"/>
        </w:rPr>
      </w:pPr>
    </w:p>
    <w:p w:rsidR="009329C9" w:rsidRDefault="00B5212B">
      <w:pPr>
        <w:spacing w:after="120"/>
        <w:ind w:right="567"/>
        <w:rPr>
          <w:rFonts w:ascii="Times New Roman" w:hAnsi="Times New Roman" w:cs="Times New Roman"/>
          <w:b/>
          <w:sz w:val="24"/>
          <w:szCs w:val="24"/>
        </w:rPr>
      </w:pPr>
      <w:r>
        <w:rPr>
          <w:rFonts w:ascii="Times New Roman" w:hAnsi="Times New Roman" w:cs="Times New Roman"/>
          <w:b/>
          <w:sz w:val="24"/>
          <w:szCs w:val="24"/>
        </w:rPr>
        <w:br w:type="page"/>
      </w:r>
    </w:p>
    <w:p w:rsidR="009329C9" w:rsidRDefault="00B5212B">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val="0"/>
          <w:color w:val="auto"/>
          <w:sz w:val="24"/>
          <w:szCs w:val="24"/>
          <w:lang w:val="en-US"/>
        </w:rPr>
      </w:pPr>
      <w:bookmarkStart w:id="0" w:name="_Toc449349415"/>
      <w:bookmarkStart w:id="1" w:name="_Toc448392273"/>
      <w:r>
        <w:rPr>
          <w:rFonts w:ascii="Times New Roman" w:hAnsi="Times New Roman" w:cs="Times New Roman"/>
          <w:color w:val="auto"/>
          <w:sz w:val="24"/>
          <w:szCs w:val="24"/>
        </w:rPr>
        <w:lastRenderedPageBreak/>
        <w:t>1. Описание на МИГ:</w:t>
      </w:r>
      <w:bookmarkEnd w:id="0"/>
      <w:bookmarkEnd w:id="1"/>
    </w:p>
    <w:p w:rsidR="009329C9" w:rsidRDefault="00B5212B">
      <w:pPr>
        <w:pStyle w:val="2"/>
        <w:spacing w:before="0"/>
        <w:ind w:right="-1"/>
        <w:jc w:val="both"/>
        <w:rPr>
          <w:rFonts w:ascii="Times New Roman" w:hAnsi="Times New Roman" w:cs="Times New Roman"/>
          <w:b/>
          <w:color w:val="auto"/>
          <w:sz w:val="24"/>
          <w:szCs w:val="24"/>
        </w:rPr>
      </w:pPr>
      <w:bookmarkStart w:id="2" w:name="_Toc448392274"/>
      <w:bookmarkStart w:id="3" w:name="_Toc449349416"/>
      <w:r>
        <w:rPr>
          <w:rFonts w:ascii="Times New Roman" w:hAnsi="Times New Roman" w:cs="Times New Roman"/>
          <w:b/>
          <w:color w:val="auto"/>
          <w:sz w:val="24"/>
          <w:szCs w:val="24"/>
        </w:rPr>
        <w:t>1.1. Данни за общини и населени места, които попадат в територията на МИГ:</w:t>
      </w:r>
      <w:bookmarkEnd w:id="2"/>
      <w:bookmarkEnd w:id="3"/>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1.1.1. Списък на общините, обхванати от МИГ;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Територията на МИГ „Свиленград Ареал“ изцяло съвпада с територията на община Свиленград и е с непрекъснати граници. Община Свиленград е част от област Хасково и съответно от Южен Централен район на планиране. Намира се в южната част на областта, като на североизток граничи с община Тополовград, на северозапад с община Харманли, на запад с община Любимец, а на юг и на югоизток с държавите  Гърция и Турция. Общата й площ е 700,316 км</w:t>
      </w:r>
      <w:r>
        <w:rPr>
          <w:rFonts w:ascii="Times New Roman" w:eastAsia="Calibri" w:hAnsi="Times New Roman" w:cs="Times New Roman"/>
          <w:sz w:val="24"/>
          <w:szCs w:val="24"/>
          <w:vertAlign w:val="superscript"/>
          <w:lang w:eastAsia="en-US"/>
        </w:rPr>
        <w:t>2</w:t>
      </w:r>
      <w:r>
        <w:rPr>
          <w:rFonts w:ascii="Times New Roman" w:eastAsia="Calibri" w:hAnsi="Times New Roman" w:cs="Times New Roman"/>
          <w:sz w:val="24"/>
          <w:szCs w:val="24"/>
          <w:lang w:eastAsia="en-US"/>
        </w:rPr>
        <w:t xml:space="preserve">, като се нарежда на трето място по големина сред общините в област Хасково. В североизточния край са склоновете на Сакар планина, на югозапад - Източните Родопи, територията включва и части от Горно-Тракийската низина по коритото на река Марица. Релефът е разнообразен - равнинен, хълмист и нископланински. Централните части са заети предимно от плодородни земеделски площи.По данни на НСИ, земеделската земя заема 75,7% от общата територия на МИГ, като по този показател е на първо място в областта по площи, предназначени  за селското стопанство. 87,47% от площта на МИГ е със статут на защитени зони и е включена в Натура 2000.Разположението на територията на МИГ „Свиленград Ареал“ е ключово за областта и за страната  - тя е граница на България с двете съседни държави  Гърция и Турция. През нея  преминават паневропейските транспортни коридори  4, 9 и 10, свързващи Европа и Азия чрез магистрала „Марица“ и първокласния път Е-80, както и част от ж.п. линията, свързваща Западна и Централна Европа: София – Пловдив – Димитровград – Свиленград. </w:t>
      </w:r>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1.1.2. Списък на населените места, обхванати от МИГ;</w:t>
      </w:r>
      <w:r>
        <w:rPr>
          <w:rFonts w:ascii="Times New Roman" w:hAnsi="Times New Roman" w:cs="Times New Roman"/>
          <w:b/>
          <w:color w:val="auto"/>
          <w:sz w:val="24"/>
          <w:szCs w:val="24"/>
        </w:rPr>
        <w:tab/>
      </w:r>
      <w:bookmarkStart w:id="4" w:name="_Toc448392275"/>
      <w:bookmarkStart w:id="5" w:name="_Toc449349417"/>
    </w:p>
    <w:p w:rsidR="009329C9" w:rsidRDefault="00B5212B">
      <w:pPr>
        <w:rPr>
          <w:rFonts w:ascii="Times New Roman" w:hAnsi="Times New Roman" w:cs="Times New Roman"/>
          <w:i/>
          <w:sz w:val="24"/>
          <w:szCs w:val="24"/>
        </w:rPr>
      </w:pPr>
      <w:r>
        <w:rPr>
          <w:rFonts w:ascii="Times New Roman" w:eastAsia="Calibri" w:hAnsi="Times New Roman" w:cs="Times New Roman"/>
          <w:sz w:val="24"/>
          <w:szCs w:val="24"/>
          <w:lang w:eastAsia="en-US"/>
        </w:rPr>
        <w:t>Територията на МИГ обхваща 24 населени места: град Свиленград и 23 села. Съгласно Наредба № 14/01.04.2003 г. за определяне на населените места в селски и планински райони, Свиленград е определена като община от обхвата и на селските, и на планинските райони в България.</w:t>
      </w:r>
      <w:r>
        <w:rPr>
          <w:rFonts w:ascii="Times New Roman" w:eastAsia="Calibri" w:hAnsi="Times New Roman" w:cs="Times New Roman"/>
          <w:bCs/>
          <w:sz w:val="24"/>
          <w:szCs w:val="24"/>
          <w:lang w:eastAsia="en-US"/>
        </w:rPr>
        <w:t>Според Заповед № РД-02-14-2021/14 август 2012 г. (обн. ДВ, бр. 66, 28.08.2012 г., неофициален раздел) на МРРБ за категоризацията на населените места, Свиленград (HKV28)  е определен за 2-ра категория община.</w:t>
      </w:r>
      <w:r>
        <w:rPr>
          <w:rFonts w:ascii="Times New Roman" w:eastAsia="Calibri" w:hAnsi="Times New Roman" w:cs="Times New Roman"/>
          <w:sz w:val="24"/>
          <w:szCs w:val="24"/>
          <w:lang w:eastAsia="en-US"/>
        </w:rPr>
        <w:t>Град Свиленград е опорен център от трето ниво в мрежата от опорни центрове, предложена от Националната концепция за териториално развитие.</w:t>
      </w:r>
    </w:p>
    <w:p w:rsidR="009329C9" w:rsidRDefault="00B5212B">
      <w:pPr>
        <w:spacing w:after="0"/>
        <w:rPr>
          <w:rFonts w:ascii="Times New Roman" w:hAnsi="Times New Roman" w:cs="Times New Roman"/>
          <w:i/>
          <w:sz w:val="24"/>
          <w:szCs w:val="24"/>
        </w:rPr>
      </w:pPr>
      <w:r>
        <w:rPr>
          <w:rFonts w:ascii="Times New Roman" w:hAnsi="Times New Roman" w:cs="Times New Roman"/>
          <w:i/>
          <w:sz w:val="24"/>
          <w:szCs w:val="24"/>
        </w:rPr>
        <w:t>Таблица 1</w:t>
      </w:r>
    </w:p>
    <w:tbl>
      <w:tblPr>
        <w:tblStyle w:val="TableGrid1"/>
        <w:tblW w:w="0" w:type="auto"/>
        <w:tblInd w:w="108" w:type="dxa"/>
        <w:tblLayout w:type="fixed"/>
        <w:tblLook w:val="04A0" w:firstRow="1" w:lastRow="0" w:firstColumn="1" w:lastColumn="0" w:noHBand="0" w:noVBand="1"/>
      </w:tblPr>
      <w:tblGrid>
        <w:gridCol w:w="1134"/>
        <w:gridCol w:w="1985"/>
        <w:gridCol w:w="1819"/>
        <w:gridCol w:w="1134"/>
        <w:gridCol w:w="1866"/>
        <w:gridCol w:w="1808"/>
      </w:tblGrid>
      <w:tr w:rsidR="009329C9">
        <w:tc>
          <w:tcPr>
            <w:tcW w:w="1134" w:type="dxa"/>
          </w:tcPr>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ЕКАТТЕ</w:t>
            </w:r>
          </w:p>
        </w:tc>
        <w:tc>
          <w:tcPr>
            <w:tcW w:w="1985" w:type="dxa"/>
          </w:tcPr>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Населено място</w:t>
            </w:r>
          </w:p>
        </w:tc>
        <w:tc>
          <w:tcPr>
            <w:tcW w:w="1819" w:type="dxa"/>
          </w:tcPr>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 xml:space="preserve">Площ на </w:t>
            </w:r>
          </w:p>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Землището кm</w:t>
            </w:r>
            <w:r>
              <w:rPr>
                <w:rFonts w:ascii="Times New Roman" w:eastAsia="Calibri" w:hAnsi="Times New Roman" w:cs="Times New Roman"/>
                <w:b/>
                <w:bCs/>
                <w:vertAlign w:val="superscript"/>
                <w:lang w:eastAsia="en-US"/>
              </w:rPr>
              <w:t>2</w:t>
            </w:r>
          </w:p>
        </w:tc>
        <w:tc>
          <w:tcPr>
            <w:tcW w:w="1134" w:type="dxa"/>
          </w:tcPr>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ЕКАТТЕ</w:t>
            </w:r>
          </w:p>
        </w:tc>
        <w:tc>
          <w:tcPr>
            <w:tcW w:w="1866" w:type="dxa"/>
          </w:tcPr>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Населено място</w:t>
            </w:r>
          </w:p>
        </w:tc>
        <w:tc>
          <w:tcPr>
            <w:tcW w:w="1808" w:type="dxa"/>
          </w:tcPr>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 xml:space="preserve">Площ на </w:t>
            </w:r>
          </w:p>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Землищетокм</w:t>
            </w:r>
            <w:r>
              <w:rPr>
                <w:rFonts w:ascii="Times New Roman" w:eastAsia="Calibri" w:hAnsi="Times New Roman" w:cs="Times New Roman"/>
                <w:b/>
                <w:bCs/>
                <w:vertAlign w:val="superscript"/>
                <w:lang w:eastAsia="en-US"/>
              </w:rPr>
              <w:t>2</w:t>
            </w:r>
          </w:p>
        </w:tc>
      </w:tr>
      <w:tr w:rsidR="009329C9">
        <w:tc>
          <w:tcPr>
            <w:tcW w:w="1134" w:type="dxa"/>
          </w:tcPr>
          <w:p w:rsidR="009329C9" w:rsidRDefault="00B5212B">
            <w:pPr>
              <w:spacing w:after="0"/>
              <w:rPr>
                <w:rFonts w:ascii="Times New Roman" w:hAnsi="Times New Roman" w:cs="Times New Roman"/>
                <w:bCs/>
              </w:rPr>
            </w:pPr>
            <w:r>
              <w:rPr>
                <w:rFonts w:ascii="Times New Roman" w:hAnsi="Times New Roman" w:cs="Times New Roman"/>
                <w:bCs/>
              </w:rPr>
              <w:t>10152</w:t>
            </w:r>
          </w:p>
        </w:tc>
        <w:tc>
          <w:tcPr>
            <w:tcW w:w="1985" w:type="dxa"/>
          </w:tcPr>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lang w:eastAsia="en-US"/>
              </w:rPr>
              <w:t>Варник</w:t>
            </w:r>
          </w:p>
        </w:tc>
        <w:tc>
          <w:tcPr>
            <w:tcW w:w="1819" w:type="dxa"/>
          </w:tcPr>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lang w:eastAsia="en-US"/>
              </w:rPr>
              <w:t>8,255</w:t>
            </w:r>
          </w:p>
        </w:tc>
        <w:tc>
          <w:tcPr>
            <w:tcW w:w="1134" w:type="dxa"/>
          </w:tcPr>
          <w:p w:rsidR="009329C9" w:rsidRDefault="00B5212B">
            <w:pPr>
              <w:spacing w:after="0"/>
              <w:rPr>
                <w:rFonts w:ascii="Times New Roman" w:hAnsi="Times New Roman" w:cs="Times New Roman"/>
                <w:bCs/>
              </w:rPr>
            </w:pPr>
            <w:r>
              <w:rPr>
                <w:rFonts w:ascii="Times New Roman" w:hAnsi="Times New Roman" w:cs="Times New Roman"/>
                <w:bCs/>
              </w:rPr>
              <w:t>48979</w:t>
            </w:r>
          </w:p>
        </w:tc>
        <w:tc>
          <w:tcPr>
            <w:tcW w:w="1866" w:type="dxa"/>
          </w:tcPr>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lang w:eastAsia="en-US"/>
              </w:rPr>
              <w:t>Момково</w:t>
            </w:r>
          </w:p>
        </w:tc>
        <w:tc>
          <w:tcPr>
            <w:tcW w:w="1808" w:type="dxa"/>
          </w:tcPr>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lang w:eastAsia="en-US"/>
              </w:rPr>
              <w:t>30,052</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14708</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Генералово</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12,291</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49446</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Мустрак</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14,594</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20674</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Дервишка могила</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40,257</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55645</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Пашово</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13,090</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21078</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Димитровче</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28,330</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59183</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Пъстрогор</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23,471</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36110</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Капитан Андреево</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28,541</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61131</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Равна гора</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16,859</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39001</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Костур</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30,194</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61844</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Райкова могила</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21,976</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43205</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Левка</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42,017</w:t>
            </w:r>
          </w:p>
        </w:tc>
        <w:tc>
          <w:tcPr>
            <w:tcW w:w="1134" w:type="dxa"/>
          </w:tcPr>
          <w:p w:rsidR="009329C9" w:rsidRDefault="00B5212B">
            <w:pPr>
              <w:spacing w:after="0" w:line="240" w:lineRule="auto"/>
              <w:rPr>
                <w:rFonts w:ascii="Times New Roman" w:eastAsia="Calibri" w:hAnsi="Times New Roman" w:cs="Times New Roman"/>
                <w:b/>
                <w:bCs/>
                <w:lang w:eastAsia="en-US"/>
              </w:rPr>
            </w:pPr>
            <w:r>
              <w:rPr>
                <w:rFonts w:ascii="Times New Roman" w:eastAsia="Times New Roman" w:hAnsi="Times New Roman" w:cs="Times New Roman"/>
                <w:bCs/>
              </w:rPr>
              <w:t>65677</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b/>
                <w:bCs/>
                <w:lang w:eastAsia="en-US"/>
              </w:rPr>
              <w:t>Свиленград</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79,686</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43877</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Лисово</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22,338</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66370</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Сива река</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24,798</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47468</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Маточина</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26,011</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67146</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Сладун</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35,653</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47737</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Мезек</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36,517</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70055</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Студена</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69,536</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48533</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Михалич</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21,975</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81116</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Чернодъб</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16,553</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48698</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Младиново</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31,270</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84036</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Щит</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26,051</w:t>
            </w:r>
          </w:p>
        </w:tc>
      </w:tr>
    </w:tbl>
    <w:p w:rsidR="009329C9" w:rsidRDefault="00B5212B">
      <w:pPr>
        <w:rPr>
          <w:rFonts w:ascii="Times New Roman" w:hAnsi="Times New Roman" w:cs="Times New Roman"/>
          <w:i/>
          <w:sz w:val="24"/>
          <w:szCs w:val="24"/>
        </w:rPr>
      </w:pPr>
      <w:r>
        <w:rPr>
          <w:rFonts w:ascii="Times New Roman" w:hAnsi="Times New Roman" w:cs="Times New Roman"/>
          <w:i/>
          <w:sz w:val="24"/>
          <w:szCs w:val="24"/>
        </w:rPr>
        <w:t>Източник НСИ</w:t>
      </w:r>
    </w:p>
    <w:p w:rsidR="009329C9" w:rsidRDefault="00B5212B">
      <w:pPr>
        <w:rPr>
          <w:rFonts w:ascii="Times New Roman" w:eastAsiaTheme="majorEastAsia" w:hAnsi="Times New Roman" w:cs="Times New Roman"/>
          <w:b/>
          <w:sz w:val="24"/>
          <w:szCs w:val="24"/>
        </w:rPr>
      </w:pPr>
      <w:r>
        <w:rPr>
          <w:rFonts w:ascii="Times New Roman" w:hAnsi="Times New Roman" w:cs="Times New Roman"/>
          <w:b/>
          <w:sz w:val="24"/>
          <w:szCs w:val="24"/>
        </w:rPr>
        <w:lastRenderedPageBreak/>
        <w:t>1.1.3 Брой жители на териториите, обхванати от МИГ.</w:t>
      </w:r>
    </w:p>
    <w:p w:rsidR="009329C9" w:rsidRDefault="00B5212B">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Населението на община Свиленград по данни на НСИ към </w:t>
      </w:r>
      <w:r>
        <w:rPr>
          <w:rFonts w:ascii="Times New Roman" w:eastAsia="Calibri" w:hAnsi="Times New Roman" w:cs="Times New Roman"/>
          <w:b/>
          <w:sz w:val="24"/>
          <w:szCs w:val="24"/>
          <w:lang w:eastAsia="en-US"/>
        </w:rPr>
        <w:t>31.12.2016 година</w:t>
      </w:r>
      <w:r>
        <w:rPr>
          <w:rFonts w:ascii="Times New Roman" w:eastAsia="Calibri" w:hAnsi="Times New Roman" w:cs="Times New Roman"/>
          <w:sz w:val="24"/>
          <w:szCs w:val="24"/>
          <w:lang w:eastAsia="en-US"/>
        </w:rPr>
        <w:t xml:space="preserve"> е </w:t>
      </w:r>
      <w:r>
        <w:rPr>
          <w:rFonts w:ascii="Times New Roman" w:eastAsia="Calibri" w:hAnsi="Times New Roman" w:cs="Times New Roman"/>
          <w:bCs/>
          <w:sz w:val="24"/>
          <w:szCs w:val="24"/>
          <w:lang w:eastAsia="en-US"/>
        </w:rPr>
        <w:t>22 </w:t>
      </w:r>
      <w:r>
        <w:rPr>
          <w:rFonts w:ascii="Times New Roman" w:eastAsia="Calibri" w:hAnsi="Times New Roman" w:cs="Times New Roman"/>
          <w:bCs/>
          <w:sz w:val="24"/>
          <w:szCs w:val="24"/>
          <w:lang w:val="en-US" w:eastAsia="en-US"/>
        </w:rPr>
        <w:t>234</w:t>
      </w:r>
      <w:r>
        <w:rPr>
          <w:rFonts w:ascii="Times New Roman" w:eastAsia="Calibri" w:hAnsi="Times New Roman" w:cs="Times New Roman"/>
          <w:bCs/>
          <w:sz w:val="24"/>
          <w:szCs w:val="24"/>
          <w:lang w:eastAsia="en-US"/>
        </w:rPr>
        <w:t xml:space="preserve"> души</w:t>
      </w:r>
      <w:r>
        <w:rPr>
          <w:rFonts w:ascii="Times New Roman" w:eastAsia="Calibri" w:hAnsi="Times New Roman" w:cs="Times New Roman"/>
          <w:sz w:val="24"/>
          <w:szCs w:val="24"/>
          <w:lang w:eastAsia="en-US"/>
        </w:rPr>
        <w:t>, което е 9,4% от цялото население на областта и с което терторията на МИГ се нарежда на четвърто място в област Хасково. В град Свиленград живеят 17 754 души, а в селата – 4480. Гъстотата на населението е 32,6 д/м</w:t>
      </w:r>
      <w:r>
        <w:rPr>
          <w:rFonts w:ascii="Times New Roman" w:eastAsia="Calibri" w:hAnsi="Times New Roman" w:cs="Times New Roman"/>
          <w:sz w:val="24"/>
          <w:szCs w:val="24"/>
          <w:vertAlign w:val="superscript"/>
          <w:lang w:eastAsia="en-US"/>
        </w:rPr>
        <w:t>2</w:t>
      </w:r>
      <w:r>
        <w:rPr>
          <w:rFonts w:ascii="Times New Roman" w:eastAsia="Calibri" w:hAnsi="Times New Roman" w:cs="Times New Roman"/>
          <w:sz w:val="24"/>
          <w:szCs w:val="24"/>
          <w:lang w:eastAsia="en-US"/>
        </w:rPr>
        <w:t>, слабо населена спрямо общата гъстота за областта - 42,7 д/м</w:t>
      </w:r>
      <w:r>
        <w:rPr>
          <w:rFonts w:ascii="Times New Roman" w:eastAsia="Calibri" w:hAnsi="Times New Roman" w:cs="Times New Roman"/>
          <w:sz w:val="24"/>
          <w:szCs w:val="24"/>
          <w:vertAlign w:val="superscript"/>
          <w:lang w:eastAsia="en-US"/>
        </w:rPr>
        <w:t>2</w:t>
      </w:r>
      <w:r>
        <w:rPr>
          <w:rFonts w:ascii="Times New Roman" w:eastAsia="Calibri" w:hAnsi="Times New Roman" w:cs="Times New Roman"/>
          <w:sz w:val="24"/>
          <w:szCs w:val="24"/>
          <w:lang w:eastAsia="en-US"/>
        </w:rPr>
        <w:t>и тази за страната - 65,3д/м</w:t>
      </w:r>
      <w:r>
        <w:rPr>
          <w:rFonts w:ascii="Times New Roman" w:eastAsia="Calibri" w:hAnsi="Times New Roman" w:cs="Times New Roman"/>
          <w:sz w:val="24"/>
          <w:szCs w:val="24"/>
          <w:vertAlign w:val="superscript"/>
          <w:lang w:eastAsia="en-US"/>
        </w:rPr>
        <w:t>2</w:t>
      </w:r>
      <w:r>
        <w:rPr>
          <w:rFonts w:ascii="Times New Roman" w:eastAsia="Calibri" w:hAnsi="Times New Roman" w:cs="Times New Roman"/>
          <w:sz w:val="24"/>
          <w:szCs w:val="24"/>
          <w:lang w:eastAsia="en-US"/>
        </w:rPr>
        <w:t>.</w:t>
      </w:r>
    </w:p>
    <w:p w:rsidR="009329C9" w:rsidRDefault="00B5212B">
      <w:pPr>
        <w:jc w:val="both"/>
        <w:rPr>
          <w:rFonts w:ascii="Times New Roman" w:eastAsia="Calibri" w:hAnsi="Times New Roman" w:cs="Times New Roman"/>
          <w:sz w:val="24"/>
          <w:szCs w:val="24"/>
          <w:lang w:eastAsia="en-US"/>
        </w:rPr>
      </w:pPr>
      <w:r>
        <w:rPr>
          <w:rFonts w:ascii="Times New Roman" w:hAnsi="Times New Roman" w:cs="Times New Roman"/>
          <w:i/>
          <w:sz w:val="24"/>
          <w:szCs w:val="24"/>
        </w:rPr>
        <w:t>Таблица 2</w:t>
      </w:r>
    </w:p>
    <w:tbl>
      <w:tblPr>
        <w:tblStyle w:val="TableGrid2"/>
        <w:tblW w:w="0" w:type="auto"/>
        <w:tblInd w:w="108" w:type="dxa"/>
        <w:tblLook w:val="04A0" w:firstRow="1" w:lastRow="0" w:firstColumn="1" w:lastColumn="0" w:noHBand="0" w:noVBand="1"/>
      </w:tblPr>
      <w:tblGrid>
        <w:gridCol w:w="1276"/>
        <w:gridCol w:w="2126"/>
        <w:gridCol w:w="1560"/>
        <w:gridCol w:w="1417"/>
        <w:gridCol w:w="1701"/>
        <w:gridCol w:w="1276"/>
      </w:tblGrid>
      <w:tr w:rsidR="009329C9">
        <w:tc>
          <w:tcPr>
            <w:tcW w:w="1276" w:type="dxa"/>
          </w:tcPr>
          <w:p w:rsidR="009329C9" w:rsidRDefault="00B5212B">
            <w:pPr>
              <w:spacing w:after="0" w:line="240" w:lineRule="auto"/>
              <w:rPr>
                <w:rFonts w:ascii="Times New Roman" w:eastAsia="Calibri" w:hAnsi="Times New Roman" w:cs="Times New Roman"/>
                <w:b/>
                <w:bCs/>
                <w:sz w:val="18"/>
                <w:szCs w:val="18"/>
                <w:lang w:eastAsia="en-US"/>
              </w:rPr>
            </w:pPr>
            <w:r>
              <w:rPr>
                <w:rFonts w:ascii="Times New Roman" w:eastAsia="Calibri" w:hAnsi="Times New Roman" w:cs="Times New Roman"/>
                <w:b/>
                <w:bCs/>
                <w:lang w:eastAsia="en-US"/>
              </w:rPr>
              <w:t>ЕКАТТЕ</w:t>
            </w:r>
          </w:p>
        </w:tc>
        <w:tc>
          <w:tcPr>
            <w:tcW w:w="2126" w:type="dxa"/>
          </w:tcPr>
          <w:p w:rsidR="009329C9" w:rsidRDefault="00B5212B">
            <w:pPr>
              <w:spacing w:after="0" w:line="240" w:lineRule="auto"/>
              <w:rPr>
                <w:rFonts w:ascii="Times New Roman" w:eastAsia="Calibri" w:hAnsi="Times New Roman" w:cs="Times New Roman"/>
                <w:b/>
                <w:bCs/>
                <w:sz w:val="18"/>
                <w:szCs w:val="18"/>
                <w:lang w:eastAsia="en-US"/>
              </w:rPr>
            </w:pPr>
            <w:r>
              <w:rPr>
                <w:rFonts w:ascii="Times New Roman" w:eastAsia="Calibri" w:hAnsi="Times New Roman" w:cs="Times New Roman"/>
                <w:b/>
                <w:bCs/>
                <w:sz w:val="18"/>
                <w:szCs w:val="18"/>
                <w:lang w:eastAsia="en-US"/>
              </w:rPr>
              <w:t>Населено място</w:t>
            </w:r>
          </w:p>
        </w:tc>
        <w:tc>
          <w:tcPr>
            <w:tcW w:w="1560" w:type="dxa"/>
          </w:tcPr>
          <w:p w:rsidR="009329C9" w:rsidRDefault="00B5212B">
            <w:pPr>
              <w:spacing w:after="0" w:line="240" w:lineRule="auto"/>
              <w:rPr>
                <w:rFonts w:ascii="Times New Roman" w:eastAsia="Calibri" w:hAnsi="Times New Roman" w:cs="Times New Roman"/>
                <w:b/>
                <w:bCs/>
                <w:sz w:val="18"/>
                <w:szCs w:val="18"/>
                <w:lang w:eastAsia="en-US"/>
              </w:rPr>
            </w:pPr>
            <w:r>
              <w:rPr>
                <w:rFonts w:ascii="Times New Roman" w:eastAsia="Calibri" w:hAnsi="Times New Roman" w:cs="Times New Roman"/>
                <w:b/>
                <w:bCs/>
                <w:sz w:val="18"/>
                <w:szCs w:val="18"/>
                <w:lang w:eastAsia="en-US"/>
              </w:rPr>
              <w:t>Население</w:t>
            </w:r>
            <w:r>
              <w:rPr>
                <w:rFonts w:ascii="Times New Roman" w:eastAsia="Calibri" w:hAnsi="Times New Roman" w:cs="Times New Roman"/>
                <w:b/>
                <w:bCs/>
                <w:sz w:val="18"/>
                <w:szCs w:val="18"/>
                <w:lang w:eastAsia="en-US"/>
              </w:rPr>
              <w:br/>
            </w:r>
          </w:p>
        </w:tc>
        <w:tc>
          <w:tcPr>
            <w:tcW w:w="1417" w:type="dxa"/>
          </w:tcPr>
          <w:p w:rsidR="009329C9" w:rsidRDefault="00B5212B">
            <w:pPr>
              <w:spacing w:after="0" w:line="240" w:lineRule="auto"/>
              <w:rPr>
                <w:rFonts w:ascii="Times New Roman" w:eastAsia="Calibri" w:hAnsi="Times New Roman" w:cs="Times New Roman"/>
                <w:b/>
                <w:bCs/>
                <w:sz w:val="18"/>
                <w:szCs w:val="18"/>
                <w:lang w:eastAsia="en-US"/>
              </w:rPr>
            </w:pPr>
            <w:r>
              <w:rPr>
                <w:rFonts w:ascii="Times New Roman" w:eastAsia="Calibri" w:hAnsi="Times New Roman" w:cs="Times New Roman"/>
                <w:b/>
                <w:bCs/>
                <w:lang w:eastAsia="en-US"/>
              </w:rPr>
              <w:t>ЕКАТТЕ</w:t>
            </w:r>
          </w:p>
        </w:tc>
        <w:tc>
          <w:tcPr>
            <w:tcW w:w="1701" w:type="dxa"/>
          </w:tcPr>
          <w:p w:rsidR="009329C9" w:rsidRDefault="00B5212B">
            <w:pPr>
              <w:spacing w:after="0" w:line="240" w:lineRule="auto"/>
              <w:rPr>
                <w:rFonts w:ascii="Times New Roman" w:eastAsia="Calibri" w:hAnsi="Times New Roman" w:cs="Times New Roman"/>
                <w:b/>
                <w:bCs/>
                <w:sz w:val="18"/>
                <w:szCs w:val="18"/>
                <w:lang w:eastAsia="en-US"/>
              </w:rPr>
            </w:pPr>
            <w:r>
              <w:rPr>
                <w:rFonts w:ascii="Times New Roman" w:eastAsia="Calibri" w:hAnsi="Times New Roman" w:cs="Times New Roman"/>
                <w:b/>
                <w:bCs/>
                <w:sz w:val="18"/>
                <w:szCs w:val="18"/>
                <w:lang w:eastAsia="en-US"/>
              </w:rPr>
              <w:t>Населено място</w:t>
            </w:r>
          </w:p>
        </w:tc>
        <w:tc>
          <w:tcPr>
            <w:tcW w:w="1276" w:type="dxa"/>
          </w:tcPr>
          <w:p w:rsidR="009329C9" w:rsidRDefault="00B5212B">
            <w:pPr>
              <w:spacing w:after="0" w:line="240" w:lineRule="auto"/>
              <w:rPr>
                <w:rFonts w:ascii="Times New Roman" w:eastAsia="Calibri" w:hAnsi="Times New Roman" w:cs="Times New Roman"/>
                <w:b/>
                <w:bCs/>
                <w:sz w:val="18"/>
                <w:szCs w:val="18"/>
                <w:lang w:eastAsia="en-US"/>
              </w:rPr>
            </w:pPr>
            <w:r>
              <w:rPr>
                <w:rFonts w:ascii="Times New Roman" w:eastAsia="Calibri" w:hAnsi="Times New Roman" w:cs="Times New Roman"/>
                <w:b/>
                <w:bCs/>
                <w:sz w:val="18"/>
                <w:szCs w:val="18"/>
                <w:lang w:eastAsia="en-US"/>
              </w:rPr>
              <w:t>Население</w:t>
            </w:r>
            <w:r>
              <w:rPr>
                <w:rFonts w:ascii="Times New Roman" w:eastAsia="Calibri" w:hAnsi="Times New Roman" w:cs="Times New Roman"/>
                <w:b/>
                <w:bCs/>
                <w:sz w:val="18"/>
                <w:szCs w:val="18"/>
                <w:lang w:eastAsia="en-US"/>
              </w:rPr>
              <w:br/>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10152</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Варник</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48979</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Момково</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574</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14708</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Генералово</w:t>
            </w:r>
          </w:p>
        </w:tc>
        <w:tc>
          <w:tcPr>
            <w:tcW w:w="1560" w:type="dxa"/>
          </w:tcPr>
          <w:p w:rsidR="009329C9" w:rsidRDefault="00B5212B">
            <w:pPr>
              <w:spacing w:after="0" w:line="240" w:lineRule="auto"/>
              <w:rPr>
                <w:rFonts w:ascii="Times New Roman" w:eastAsia="Calibri" w:hAnsi="Times New Roman" w:cs="Times New Roman"/>
                <w:lang w:val="en-US" w:eastAsia="en-US"/>
              </w:rPr>
            </w:pPr>
            <w:r>
              <w:rPr>
                <w:rFonts w:ascii="Times New Roman" w:eastAsia="Calibri" w:hAnsi="Times New Roman" w:cs="Times New Roman"/>
                <w:lang w:eastAsia="en-US"/>
              </w:rPr>
              <w:t>1</w:t>
            </w:r>
            <w:r>
              <w:rPr>
                <w:rFonts w:ascii="Times New Roman" w:eastAsia="Calibri" w:hAnsi="Times New Roman" w:cs="Times New Roman"/>
                <w:lang w:val="en-US" w:eastAsia="en-US"/>
              </w:rPr>
              <w:t>61</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49446</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Мустрак</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216</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20674</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Дервишка могила</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19</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55645</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Пашово</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9</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21078</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Димитровче</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231</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59183</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Пъстрогор</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152</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36110</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Капитан Андреево</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843</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61131</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Равна гора</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30</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39001</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Костур</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30</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61844</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Райкова могила</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221</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43205</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Левка</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415</w:t>
            </w:r>
          </w:p>
        </w:tc>
        <w:tc>
          <w:tcPr>
            <w:tcW w:w="1417" w:type="dxa"/>
          </w:tcPr>
          <w:p w:rsidR="009329C9" w:rsidRDefault="00B5212B">
            <w:pPr>
              <w:spacing w:after="0" w:line="240" w:lineRule="auto"/>
              <w:rPr>
                <w:rFonts w:ascii="Times New Roman" w:eastAsia="Calibri" w:hAnsi="Times New Roman" w:cs="Times New Roman"/>
                <w:b/>
                <w:bCs/>
                <w:lang w:eastAsia="en-US"/>
              </w:rPr>
            </w:pPr>
            <w:r>
              <w:rPr>
                <w:rFonts w:ascii="Times New Roman" w:eastAsia="Times New Roman" w:hAnsi="Times New Roman" w:cs="Times New Roman"/>
                <w:bCs/>
              </w:rPr>
              <w:t>65677</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b/>
                <w:bCs/>
                <w:lang w:eastAsia="en-US"/>
              </w:rPr>
              <w:t>Свиленград</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Times New Roman" w:hAnsi="Times New Roman" w:cs="Times New Roman"/>
                <w:bCs/>
                <w:sz w:val="23"/>
                <w:szCs w:val="23"/>
              </w:rPr>
              <w:t>17 754</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43877</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Лисово</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6</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66370</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Сива река</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185</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47468</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Маточина</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21</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67146</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Сладун</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133</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47737</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Мезек</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231</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70055</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Студена</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471</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48533</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Михалич</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38</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81116</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Чернодъб</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83</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48698</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Младиново</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309</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84036</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Щит</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100</w:t>
            </w:r>
          </w:p>
        </w:tc>
      </w:tr>
    </w:tbl>
    <w:p w:rsidR="009329C9" w:rsidRDefault="00B5212B">
      <w:pPr>
        <w:rPr>
          <w:rFonts w:ascii="Times New Roman" w:hAnsi="Times New Roman" w:cs="Times New Roman"/>
          <w:i/>
          <w:sz w:val="24"/>
          <w:szCs w:val="24"/>
        </w:rPr>
      </w:pPr>
      <w:r>
        <w:rPr>
          <w:rFonts w:ascii="Times New Roman" w:hAnsi="Times New Roman" w:cs="Times New Roman"/>
          <w:i/>
          <w:sz w:val="24"/>
          <w:szCs w:val="24"/>
        </w:rPr>
        <w:t>Източник НСИ</w:t>
      </w:r>
      <w:r>
        <w:rPr>
          <w:rFonts w:ascii="Times New Roman" w:hAnsi="Times New Roman" w:cs="Times New Roman"/>
          <w:i/>
          <w:sz w:val="24"/>
          <w:szCs w:val="24"/>
          <w:lang w:val="en-US"/>
        </w:rPr>
        <w:t xml:space="preserve"> 2016</w:t>
      </w:r>
      <w:r>
        <w:rPr>
          <w:rFonts w:ascii="Times New Roman" w:hAnsi="Times New Roman" w:cs="Times New Roman"/>
          <w:i/>
          <w:sz w:val="24"/>
          <w:szCs w:val="24"/>
        </w:rPr>
        <w:t>, ТСБ Хасково 2016</w:t>
      </w:r>
    </w:p>
    <w:p w:rsidR="009329C9" w:rsidRDefault="00B5212B">
      <w:pPr>
        <w:pStyle w:val="2"/>
        <w:spacing w:before="0" w:after="12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1.2. Карта на територията:</w:t>
      </w:r>
      <w:bookmarkEnd w:id="4"/>
      <w:bookmarkEnd w:id="5"/>
    </w:p>
    <w:p w:rsidR="009329C9" w:rsidRDefault="009329C9">
      <w:pPr>
        <w:rPr>
          <w:rFonts w:ascii="Times New Roman" w:hAnsi="Times New Roman" w:cs="Times New Roman"/>
          <w:b/>
          <w:sz w:val="24"/>
          <w:szCs w:val="24"/>
        </w:rPr>
      </w:pPr>
    </w:p>
    <w:p w:rsidR="009329C9" w:rsidRDefault="00B5212B">
      <w:pPr>
        <w:autoSpaceDE w:val="0"/>
        <w:autoSpaceDN w:val="0"/>
        <w:adjustRightInd w:val="0"/>
        <w:spacing w:after="120"/>
        <w:ind w:right="-1"/>
        <w:jc w:val="both"/>
        <w:rPr>
          <w:rFonts w:ascii="Times New Roman" w:eastAsia="Calibri" w:hAnsi="Times New Roman" w:cs="Times New Roman"/>
          <w:sz w:val="24"/>
          <w:szCs w:val="24"/>
        </w:rPr>
      </w:pPr>
      <w:r>
        <w:rPr>
          <w:rFonts w:ascii="Times New Roman" w:eastAsia="Times New Roman" w:hAnsi="Times New Roman" w:cs="Times New Roman"/>
          <w:noProof/>
          <w:sz w:val="23"/>
          <w:szCs w:val="23"/>
        </w:rPr>
        <w:drawing>
          <wp:inline distT="0" distB="0" distL="0" distR="0">
            <wp:extent cx="2681605" cy="250317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84365" cy="2506030"/>
                    </a:xfrm>
                    <a:prstGeom prst="rect">
                      <a:avLst/>
                    </a:prstGeom>
                    <a:noFill/>
                    <a:ln>
                      <a:noFill/>
                    </a:ln>
                  </pic:spPr>
                </pic:pic>
              </a:graphicData>
            </a:graphic>
          </wp:inline>
        </w:drawing>
      </w:r>
      <w:r>
        <w:rPr>
          <w:rFonts w:ascii="Times New Roman" w:eastAsia="Calibri" w:hAnsi="Times New Roman" w:cs="Times New Roman"/>
          <w:noProof/>
          <w:sz w:val="24"/>
          <w:szCs w:val="24"/>
        </w:rPr>
        <w:drawing>
          <wp:inline distT="0" distB="0" distL="0" distR="0">
            <wp:extent cx="2620010" cy="2241550"/>
            <wp:effectExtent l="0" t="0" r="8890" b="6350"/>
            <wp:docPr id="1" name="Picture 1" descr="C:\Users\jivko_pr\Desktop\karta Svilen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ivko_pr\Desktop\karta Svilengrad.png"/>
                    <pic:cNvPicPr>
                      <a:picLocks noChangeAspect="1" noChangeArrowheads="1"/>
                    </pic:cNvPicPr>
                  </pic:nvPicPr>
                  <pic:blipFill>
                    <a:blip r:embed="rId9" cstate="print"/>
                    <a:srcRect b="4965"/>
                    <a:stretch>
                      <a:fillRect/>
                    </a:stretch>
                  </pic:blipFill>
                  <pic:spPr>
                    <a:xfrm>
                      <a:off x="0" y="0"/>
                      <a:ext cx="2620193" cy="2242111"/>
                    </a:xfrm>
                    <a:prstGeom prst="rect">
                      <a:avLst/>
                    </a:prstGeom>
                    <a:noFill/>
                    <a:ln>
                      <a:noFill/>
                    </a:ln>
                  </pic:spPr>
                </pic:pic>
              </a:graphicData>
            </a:graphic>
          </wp:inline>
        </w:drawing>
      </w:r>
    </w:p>
    <w:p w:rsidR="009329C9" w:rsidRDefault="00B5212B">
      <w:pPr>
        <w:rPr>
          <w:rFonts w:ascii="Times New Roman" w:hAnsi="Times New Roman" w:cs="Times New Roman"/>
          <w:b/>
          <w:sz w:val="24"/>
          <w:szCs w:val="24"/>
        </w:rPr>
      </w:pPr>
      <w:bookmarkStart w:id="6" w:name="_Toc448392276"/>
      <w:bookmarkStart w:id="7" w:name="_Toc449349418"/>
      <w:r>
        <w:rPr>
          <w:rFonts w:ascii="Times New Roman" w:hAnsi="Times New Roman" w:cs="Times New Roman"/>
          <w:b/>
          <w:sz w:val="24"/>
          <w:szCs w:val="24"/>
        </w:rPr>
        <w:br w:type="page"/>
      </w:r>
    </w:p>
    <w:p w:rsidR="009329C9" w:rsidRDefault="00B5212B">
      <w:pPr>
        <w:pStyle w:val="1"/>
        <w:pBdr>
          <w:top w:val="single" w:sz="4" w:space="1" w:color="auto"/>
          <w:left w:val="single" w:sz="4" w:space="4" w:color="auto"/>
          <w:bottom w:val="single" w:sz="4" w:space="1" w:color="auto"/>
          <w:right w:val="single" w:sz="4" w:space="4" w:color="auto"/>
        </w:pBdr>
        <w:rPr>
          <w:rFonts w:ascii="Times New Roman" w:hAnsi="Times New Roman" w:cs="Times New Roman"/>
          <w:b w:val="0"/>
          <w:bCs w:val="0"/>
          <w:color w:val="auto"/>
          <w:sz w:val="24"/>
          <w:szCs w:val="24"/>
        </w:rPr>
      </w:pPr>
      <w:r>
        <w:rPr>
          <w:rFonts w:ascii="Times New Roman" w:hAnsi="Times New Roman" w:cs="Times New Roman"/>
          <w:color w:val="auto"/>
          <w:sz w:val="24"/>
          <w:szCs w:val="24"/>
        </w:rPr>
        <w:lastRenderedPageBreak/>
        <w:t>2. Описание на процеса на участие на общността в разработване на стратегията:</w:t>
      </w:r>
      <w:bookmarkEnd w:id="6"/>
      <w:bookmarkEnd w:id="7"/>
    </w:p>
    <w:p w:rsidR="009329C9" w:rsidRDefault="00B5212B">
      <w:pPr>
        <w:pStyle w:val="2"/>
        <w:spacing w:before="0"/>
        <w:jc w:val="both"/>
        <w:rPr>
          <w:rFonts w:ascii="Times New Roman" w:hAnsi="Times New Roman" w:cs="Times New Roman"/>
          <w:color w:val="auto"/>
          <w:sz w:val="24"/>
          <w:szCs w:val="24"/>
        </w:rPr>
      </w:pPr>
      <w:bookmarkStart w:id="8" w:name="_Toc448392277"/>
      <w:bookmarkStart w:id="9" w:name="_Toc449349419"/>
      <w:r>
        <w:rPr>
          <w:rFonts w:ascii="Times New Roman" w:hAnsi="Times New Roman" w:cs="Times New Roman"/>
          <w:b/>
          <w:color w:val="auto"/>
          <w:sz w:val="24"/>
          <w:szCs w:val="24"/>
        </w:rPr>
        <w:t>2.1. Описание на процеса – проведени срещи, семинари, конференции, обучения и</w:t>
      </w:r>
    </w:p>
    <w:p w:rsidR="009329C9" w:rsidRDefault="00B5212B">
      <w:pPr>
        <w:pStyle w:val="2"/>
        <w:spacing w:before="0"/>
        <w:jc w:val="both"/>
        <w:rPr>
          <w:rFonts w:ascii="Times New Roman" w:hAnsi="Times New Roman" w:cs="Times New Roman"/>
          <w:b/>
          <w:color w:val="auto"/>
          <w:sz w:val="24"/>
          <w:szCs w:val="24"/>
        </w:rPr>
      </w:pPr>
      <w:r>
        <w:rPr>
          <w:rFonts w:ascii="Times New Roman" w:hAnsi="Times New Roman" w:cs="Times New Roman"/>
          <w:b/>
          <w:color w:val="auto"/>
          <w:sz w:val="24"/>
          <w:szCs w:val="24"/>
        </w:rPr>
        <w:t>обществени обсъждания:</w:t>
      </w:r>
      <w:bookmarkEnd w:id="8"/>
      <w:bookmarkEnd w:id="9"/>
    </w:p>
    <w:p w:rsidR="009329C9" w:rsidRDefault="00B5212B">
      <w:pPr>
        <w:pStyle w:val="af4"/>
        <w:numPr>
          <w:ilvl w:val="2"/>
          <w:numId w:val="1"/>
        </w:numPr>
        <w:spacing w:after="0"/>
        <w:ind w:right="-1"/>
        <w:jc w:val="both"/>
        <w:rPr>
          <w:rFonts w:ascii="Times New Roman" w:hAnsi="Times New Roman" w:cs="Times New Roman"/>
          <w:b/>
          <w:sz w:val="24"/>
          <w:szCs w:val="24"/>
        </w:rPr>
      </w:pPr>
      <w:r>
        <w:rPr>
          <w:rFonts w:ascii="Times New Roman" w:hAnsi="Times New Roman" w:cs="Times New Roman"/>
          <w:b/>
          <w:sz w:val="24"/>
          <w:szCs w:val="24"/>
        </w:rPr>
        <w:t>Етапи и дейности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Подготвителнитедейности преминаха през три основни етапа. Отделните етапи са свързани помежду си и частично се припокриват времево и тематично: 1.Проучване и анализ на територията на МИГ с цел установяване на местния потенциал за развитие, както и на най-наболелите проблеми за решаване. Анализ на нагласите чрез проучване сред фокус-групи на всички заинтересовани страни. 2. Изработване на първи вариант наСВОМР. Проведени са няколко обучения на екипа на МИГ и местните лидери, създадени са експертни групи и са направени обществени обсъждания. Този етап завърши с изготвяне на окончателния вариант на Стратегията. 3. Популяризиране.Третият етап е посветен на представянето на проекта на СВОМР пред общността, институциите и потенциалните бенефициенти. Той има за цел да изгради капацитет за прилагането на стратегията. 4. Кандидатстване за издаване на решение за преценяване необходимостта от извършване на екологична оценка. Подаване на документи в ИСУН.</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b/>
          <w:sz w:val="24"/>
          <w:szCs w:val="24"/>
        </w:rPr>
        <w:t>2.1.2Популяризиране процеса на разработка на стратегията</w:t>
      </w:r>
      <w:r>
        <w:rPr>
          <w:rFonts w:ascii="Times New Roman" w:hAnsi="Times New Roman" w:cs="Times New Roman"/>
          <w:sz w:val="24"/>
          <w:szCs w:val="24"/>
        </w:rPr>
        <w:t>.</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периода октомври 2016 г. до февруари 2017г.  бяха проведени: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u w:val="single"/>
          <w:lang w:eastAsia="en-US"/>
        </w:rPr>
        <w:t>3 информационни срещи, свързани с консултиране с местната общност:</w:t>
      </w:r>
      <w:r>
        <w:rPr>
          <w:rFonts w:ascii="Times New Roman" w:eastAsia="Calibri" w:hAnsi="Times New Roman" w:cs="Times New Roman"/>
          <w:sz w:val="24"/>
          <w:szCs w:val="24"/>
          <w:lang w:eastAsia="en-US"/>
        </w:rPr>
        <w:t xml:space="preserve"> на 14.12.16г., 22 души: представители на читалища, музей, общ. администрация, обл. информационен център;  на 22.11.16г. с 22 души: земеделски производители –сектор овощарство, животновъдство, растениевъдство, зеленчукопроизводство, пчелари, хлебопроизводители, винопроизводители и др.; на 22.11.16г. с 20 души: председател на УС на МИГ, кметове на села, представители на общинска администрация.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u w:val="single"/>
          <w:lang w:eastAsia="en-US"/>
        </w:rPr>
        <w:t>2 работни срещи, свързани с консултиране за подготовка на СВОМР</w:t>
      </w:r>
      <w:r>
        <w:rPr>
          <w:rFonts w:ascii="Times New Roman" w:eastAsia="Calibri" w:hAnsi="Times New Roman" w:cs="Times New Roman"/>
          <w:b/>
          <w:sz w:val="24"/>
          <w:szCs w:val="24"/>
          <w:lang w:eastAsia="en-US"/>
        </w:rPr>
        <w:t>:</w:t>
      </w:r>
      <w:r>
        <w:rPr>
          <w:rFonts w:ascii="Times New Roman" w:eastAsia="Calibri" w:hAnsi="Times New Roman" w:cs="Times New Roman"/>
          <w:sz w:val="24"/>
          <w:szCs w:val="24"/>
          <w:lang w:eastAsia="en-US"/>
        </w:rPr>
        <w:t xml:space="preserve"> на 21.11.16г. с 10 души: председател на УС на МИГ, представители на занаятчиите в общ. Свиленград, НПО в сектор екология; на 21.11.16г. с 10 души: председател на УС на МИГ, представители на ромската общност, хора с увреждания, Съюза на инвалидите, Дирекция социално подпомагане.</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u w:val="single"/>
          <w:lang w:eastAsia="en-US"/>
        </w:rPr>
        <w:t>2 информационни конференции</w:t>
      </w:r>
      <w:r>
        <w:rPr>
          <w:rFonts w:ascii="Times New Roman" w:eastAsia="Calibri" w:hAnsi="Times New Roman" w:cs="Times New Roman"/>
          <w:b/>
          <w:sz w:val="24"/>
          <w:szCs w:val="24"/>
          <w:u w:val="single"/>
          <w:lang w:eastAsia="en-US"/>
        </w:rPr>
        <w:t>:</w:t>
      </w:r>
      <w:r>
        <w:rPr>
          <w:rFonts w:ascii="Times New Roman" w:eastAsia="Calibri" w:hAnsi="Times New Roman" w:cs="Times New Roman"/>
          <w:sz w:val="24"/>
          <w:szCs w:val="24"/>
          <w:lang w:eastAsia="en-US"/>
        </w:rPr>
        <w:t xml:space="preserve"> на 31.10.16г. – Свиленград с 51 души: председател на УС на МИГ, представители на НПО, земеделски производители, кметове на села и местния бизнес. На 17.02.2017г. - втора информационна конференция за 50 човека в град Свиленград.</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u w:val="single"/>
          <w:lang w:eastAsia="en-US"/>
        </w:rPr>
        <w:t>2 информационни кампании:</w:t>
      </w:r>
      <w:r>
        <w:rPr>
          <w:rFonts w:ascii="Times New Roman" w:eastAsia="Calibri" w:hAnsi="Times New Roman" w:cs="Times New Roman"/>
          <w:sz w:val="24"/>
          <w:szCs w:val="24"/>
          <w:lang w:eastAsia="en-US"/>
        </w:rPr>
        <w:t xml:space="preserve"> 28.10.16г. – с.Левка, 15 души: земеделски производители, публичен сектор, НПО сектор екология, търговия; на 27.10.16г. – с.Момково, 8 души: земеделски производители, публичен сектор, бизнес сектор;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u w:val="single"/>
          <w:lang w:eastAsia="en-US"/>
        </w:rPr>
        <w:t>2 информационни срещи/семинари:</w:t>
      </w:r>
      <w:r>
        <w:rPr>
          <w:rFonts w:ascii="Times New Roman" w:eastAsia="Calibri" w:hAnsi="Times New Roman" w:cs="Times New Roman"/>
          <w:sz w:val="24"/>
          <w:szCs w:val="24"/>
          <w:lang w:eastAsia="en-US"/>
        </w:rPr>
        <w:t xml:space="preserve"> на 28.10.16г. – с.Капитан Андреево, 21 души: земеделски производители, строителен сектор, публичен сектор, НПО сектор, търговия, бизнес сектор; на 27.10.16г. – с.Мезек, 21 души: земеделски производители, строителен сектор, публичен сектор, НПО сектор, търговия, бизнес сектор, транспорт, здравеопазване.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 цел подобряване на информираността относно дейността на МИГ, подхода ВОМР, допустимите оперативни програми, мерки и кандидати на тези мероприятия са разгледани възможностите за финансиране по ПРСР, по ОП „Околна среда“, ОП „Човешки ресурси”, ОПИК и ОПНОИР. Сред местната общност са разпространени информационни материали, всички покани за събития са публикувани на интернет страницата на МИГ и в местните медии с цел да се достигне до по-голям брой заинтересовани лица.</w:t>
      </w:r>
    </w:p>
    <w:p w:rsidR="009329C9" w:rsidRDefault="00B5212B">
      <w:pPr>
        <w:pStyle w:val="af4"/>
        <w:spacing w:after="0"/>
        <w:ind w:left="0" w:right="-1"/>
        <w:jc w:val="both"/>
        <w:rPr>
          <w:rFonts w:ascii="Times New Roman" w:hAnsi="Times New Roman" w:cs="Times New Roman"/>
          <w:sz w:val="24"/>
          <w:szCs w:val="24"/>
        </w:rPr>
      </w:pPr>
      <w:r>
        <w:rPr>
          <w:rFonts w:ascii="Times New Roman" w:hAnsi="Times New Roman" w:cs="Times New Roman"/>
          <w:b/>
          <w:sz w:val="24"/>
          <w:szCs w:val="24"/>
        </w:rPr>
        <w:t>2.1.3Обучение на екипа на МИГ, в т.ч. представители на партньорите и местни лидери</w:t>
      </w:r>
      <w:r>
        <w:rPr>
          <w:rFonts w:ascii="Times New Roman" w:hAnsi="Times New Roman" w:cs="Times New Roman"/>
          <w:sz w:val="24"/>
          <w:szCs w:val="24"/>
        </w:rPr>
        <w:t>.</w:t>
      </w:r>
    </w:p>
    <w:p w:rsidR="009329C9" w:rsidRDefault="00B5212B">
      <w:pPr>
        <w:spacing w:after="0"/>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lastRenderedPageBreak/>
        <w:t xml:space="preserve">С цел увеличаване на капацитета на екипа на МИГ и представители на партньорите е проведено </w:t>
      </w:r>
      <w:r>
        <w:rPr>
          <w:rFonts w:ascii="Times New Roman" w:eastAsia="Calibri" w:hAnsi="Times New Roman" w:cs="Times New Roman"/>
          <w:sz w:val="24"/>
          <w:szCs w:val="24"/>
          <w:u w:val="single"/>
          <w:lang w:eastAsia="en-US"/>
        </w:rPr>
        <w:t>1 двудневно обучение на екипа на МИГ, вкл. представители на партньорите</w:t>
      </w:r>
      <w:r>
        <w:rPr>
          <w:rFonts w:ascii="Times New Roman" w:eastAsia="Calibri" w:hAnsi="Times New Roman" w:cs="Times New Roman"/>
          <w:b/>
          <w:sz w:val="24"/>
          <w:szCs w:val="24"/>
          <w:lang w:eastAsia="en-US"/>
        </w:rPr>
        <w:t xml:space="preserve">: </w:t>
      </w:r>
      <w:r>
        <w:rPr>
          <w:rFonts w:ascii="Times New Roman" w:eastAsia="Calibri" w:hAnsi="Times New Roman" w:cs="Times New Roman"/>
          <w:sz w:val="24"/>
          <w:szCs w:val="24"/>
          <w:lang w:eastAsia="en-US"/>
        </w:rPr>
        <w:t>на 15-16.11.2016г., 10 души, на което е поканен проф. д-р Димитър Николов, директор на Института по аграрна икономика в гр.София и всички членове на МИГ. Проведени са и</w:t>
      </w:r>
      <w:r>
        <w:rPr>
          <w:rFonts w:ascii="Times New Roman" w:eastAsia="Calibri" w:hAnsi="Times New Roman" w:cs="Times New Roman"/>
          <w:sz w:val="24"/>
          <w:szCs w:val="24"/>
          <w:u w:val="single"/>
          <w:lang w:eastAsia="en-US"/>
        </w:rPr>
        <w:t>2 обучения на местни лидери:</w:t>
      </w:r>
      <w:r>
        <w:rPr>
          <w:rFonts w:ascii="Times New Roman" w:eastAsia="Calibri" w:hAnsi="Times New Roman" w:cs="Times New Roman"/>
          <w:sz w:val="24"/>
          <w:szCs w:val="24"/>
          <w:lang w:eastAsia="en-US"/>
        </w:rPr>
        <w:t>двудневно на17-18.11.2016г., 21 души, обучението е водено от проф.д-р Димитър Николов с всички заинтересовани представители на земеделските производители, на бизнеса, на местната власт, както и на НПО сектора</w:t>
      </w:r>
      <w:r>
        <w:rPr>
          <w:rFonts w:ascii="Times New Roman" w:eastAsia="Calibri" w:hAnsi="Times New Roman" w:cs="Times New Roman"/>
          <w:b/>
          <w:sz w:val="24"/>
          <w:szCs w:val="24"/>
          <w:lang w:eastAsia="en-US"/>
        </w:rPr>
        <w:t xml:space="preserve">; </w:t>
      </w:r>
      <w:r>
        <w:rPr>
          <w:rFonts w:ascii="Times New Roman" w:eastAsia="Calibri" w:hAnsi="Times New Roman" w:cs="Times New Roman"/>
          <w:sz w:val="24"/>
          <w:szCs w:val="24"/>
          <w:lang w:eastAsia="en-US"/>
        </w:rPr>
        <w:t>на 16.12.16г. – присъствали 6 души – сектор – киноразпространение, местни медии, охранителна дейност.</w:t>
      </w:r>
    </w:p>
    <w:p w:rsidR="009329C9" w:rsidRDefault="00B5212B">
      <w:pPr>
        <w:spacing w:after="0"/>
        <w:ind w:right="-1"/>
        <w:jc w:val="both"/>
        <w:rPr>
          <w:rFonts w:ascii="Times New Roman" w:hAnsi="Times New Roman" w:cs="Times New Roman"/>
          <w:b/>
          <w:sz w:val="24"/>
          <w:szCs w:val="24"/>
        </w:rPr>
      </w:pPr>
      <w:r>
        <w:rPr>
          <w:rFonts w:ascii="Times New Roman" w:hAnsi="Times New Roman" w:cs="Times New Roman"/>
          <w:b/>
          <w:sz w:val="24"/>
          <w:szCs w:val="24"/>
        </w:rPr>
        <w:t>2.1.4Разработване и популяризиране на СВОМР. Идентифициране и ангажиране на местните заинтересовани страни.</w:t>
      </w:r>
    </w:p>
    <w:p w:rsidR="009329C9" w:rsidRDefault="00B5212B">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 xml:space="preserve">Местната общност беше активно ангажирана в процеса на разработване на Стратегията. Бяха сформирани  експертни групи за подготовка на СВОМРи се проведоха </w:t>
      </w:r>
      <w:r>
        <w:rPr>
          <w:rFonts w:ascii="Times New Roman" w:hAnsi="Times New Roman" w:cs="Times New Roman"/>
          <w:sz w:val="24"/>
          <w:szCs w:val="24"/>
          <w:u w:val="single"/>
        </w:rPr>
        <w:t>3 публични обсъжданияна Стратегията</w:t>
      </w:r>
      <w:r>
        <w:rPr>
          <w:rFonts w:ascii="Times New Roman" w:hAnsi="Times New Roman" w:cs="Times New Roman"/>
          <w:sz w:val="24"/>
          <w:szCs w:val="24"/>
        </w:rPr>
        <w:t xml:space="preserve"> - и трите в гр. С</w:t>
      </w:r>
      <w:r>
        <w:rPr>
          <w:rFonts w:ascii="Times New Roman" w:eastAsia="Calibri" w:hAnsi="Times New Roman" w:cs="Times New Roman"/>
          <w:sz w:val="24"/>
          <w:szCs w:val="24"/>
          <w:lang w:eastAsia="en-US"/>
        </w:rPr>
        <w:t>виленград:</w:t>
      </w:r>
      <w:r>
        <w:rPr>
          <w:rFonts w:ascii="Times New Roman" w:eastAsia="Calibri" w:hAnsi="Times New Roman" w:cs="Times New Roman"/>
          <w:sz w:val="24"/>
          <w:szCs w:val="24"/>
          <w:u w:val="single"/>
          <w:lang w:eastAsia="en-US"/>
        </w:rPr>
        <w:t>на 9.02.2017г.</w:t>
      </w:r>
      <w:r>
        <w:rPr>
          <w:rFonts w:ascii="Times New Roman" w:eastAsia="Calibri" w:hAnsi="Times New Roman" w:cs="Times New Roman"/>
          <w:sz w:val="24"/>
          <w:szCs w:val="24"/>
          <w:lang w:eastAsia="en-US"/>
        </w:rPr>
        <w:t>с 20 души –</w:t>
      </w:r>
      <w:r>
        <w:rPr>
          <w:rFonts w:ascii="Times New Roman" w:eastAsia="Times New Roman" w:hAnsi="Times New Roman" w:cs="Times New Roman"/>
          <w:sz w:val="24"/>
          <w:szCs w:val="24"/>
        </w:rPr>
        <w:t xml:space="preserve">представители на общ. Свиленград, музей, местни медии, сектор туризъм, бизнес, зем. производители, </w:t>
      </w:r>
      <w:r>
        <w:rPr>
          <w:rFonts w:ascii="Times New Roman" w:hAnsi="Times New Roman" w:cs="Times New Roman"/>
          <w:sz w:val="24"/>
          <w:szCs w:val="24"/>
        </w:rPr>
        <w:t>НПО сектор екология</w:t>
      </w:r>
      <w:r>
        <w:rPr>
          <w:rFonts w:ascii="Times New Roman" w:eastAsia="Times New Roman" w:hAnsi="Times New Roman" w:cs="Times New Roman"/>
          <w:sz w:val="24"/>
          <w:szCs w:val="24"/>
        </w:rPr>
        <w:t>, здравеопазване, шивашка промишленост;</w:t>
      </w:r>
      <w:r>
        <w:rPr>
          <w:rFonts w:ascii="Times New Roman" w:hAnsi="Times New Roman" w:cs="Times New Roman"/>
          <w:sz w:val="24"/>
          <w:szCs w:val="24"/>
          <w:u w:val="single"/>
        </w:rPr>
        <w:t>на 10.02.2017г</w:t>
      </w:r>
      <w:r>
        <w:rPr>
          <w:rFonts w:ascii="Times New Roman" w:hAnsi="Times New Roman" w:cs="Times New Roman"/>
          <w:sz w:val="24"/>
          <w:szCs w:val="24"/>
        </w:rPr>
        <w:t xml:space="preserve">. с 20 души –представители на </w:t>
      </w:r>
      <w:r>
        <w:rPr>
          <w:rFonts w:ascii="Times New Roman" w:eastAsia="Times New Roman" w:hAnsi="Times New Roman" w:cs="Times New Roman"/>
          <w:sz w:val="24"/>
          <w:szCs w:val="24"/>
        </w:rPr>
        <w:t xml:space="preserve">общ. Свиленград, пчелари, животновъди,зем. производители, младежи. На втората информационна конференция на </w:t>
      </w:r>
      <w:r>
        <w:rPr>
          <w:rFonts w:ascii="Times New Roman" w:eastAsia="Calibri" w:hAnsi="Times New Roman" w:cs="Times New Roman"/>
          <w:sz w:val="24"/>
          <w:szCs w:val="24"/>
          <w:u w:val="single"/>
          <w:lang w:eastAsia="en-US"/>
        </w:rPr>
        <w:t>17.02.2017г.</w:t>
      </w:r>
      <w:r>
        <w:rPr>
          <w:rFonts w:ascii="Times New Roman" w:eastAsia="Calibri" w:hAnsi="Times New Roman" w:cs="Times New Roman"/>
          <w:sz w:val="24"/>
          <w:szCs w:val="24"/>
          <w:lang w:eastAsia="en-US"/>
        </w:rPr>
        <w:t xml:space="preserve"> - за 50 човека се проведе и представяне и обсъждане на разработената Стратегия  с  </w:t>
      </w:r>
      <w:r>
        <w:rPr>
          <w:rFonts w:ascii="Times New Roman" w:eastAsia="Times New Roman" w:hAnsi="Times New Roman" w:cs="Times New Roman"/>
          <w:sz w:val="24"/>
          <w:szCs w:val="24"/>
        </w:rPr>
        <w:t>представители на общ. Свиленград</w:t>
      </w:r>
      <w:r>
        <w:rPr>
          <w:rFonts w:ascii="Times New Roman" w:hAnsi="Times New Roman" w:cs="Times New Roman"/>
          <w:sz w:val="24"/>
          <w:szCs w:val="24"/>
        </w:rPr>
        <w:t xml:space="preserve">, </w:t>
      </w:r>
      <w:r>
        <w:rPr>
          <w:rFonts w:ascii="Times New Roman" w:eastAsia="Times New Roman" w:hAnsi="Times New Roman" w:cs="Times New Roman"/>
          <w:sz w:val="24"/>
          <w:szCs w:val="24"/>
        </w:rPr>
        <w:t>читалища, зем. производители</w:t>
      </w:r>
      <w:r>
        <w:rPr>
          <w:rFonts w:ascii="Times New Roman" w:hAnsi="Times New Roman" w:cs="Times New Roman"/>
          <w:sz w:val="24"/>
          <w:szCs w:val="24"/>
        </w:rPr>
        <w:t xml:space="preserve">, </w:t>
      </w:r>
      <w:r>
        <w:rPr>
          <w:rFonts w:ascii="Times New Roman" w:eastAsia="Times New Roman" w:hAnsi="Times New Roman" w:cs="Times New Roman"/>
          <w:sz w:val="24"/>
          <w:szCs w:val="24"/>
        </w:rPr>
        <w:t>животновъд</w:t>
      </w:r>
      <w:r>
        <w:rPr>
          <w:rFonts w:ascii="Times New Roman" w:hAnsi="Times New Roman" w:cs="Times New Roman"/>
          <w:sz w:val="24"/>
          <w:szCs w:val="24"/>
        </w:rPr>
        <w:t>и</w:t>
      </w:r>
      <w:r>
        <w:rPr>
          <w:rFonts w:ascii="Times New Roman" w:eastAsia="Times New Roman" w:hAnsi="Times New Roman" w:cs="Times New Roman"/>
          <w:sz w:val="24"/>
          <w:szCs w:val="24"/>
        </w:rPr>
        <w:t xml:space="preserve">, сектор здравеопазване. </w:t>
      </w:r>
      <w:r>
        <w:rPr>
          <w:rFonts w:ascii="Times New Roman" w:hAnsi="Times New Roman" w:cs="Times New Roman"/>
          <w:sz w:val="24"/>
          <w:szCs w:val="24"/>
        </w:rPr>
        <w:t xml:space="preserve">В проявите бяха обхванати </w:t>
      </w:r>
      <w:r>
        <w:rPr>
          <w:rFonts w:ascii="Times New Roman" w:hAnsi="Times New Roman" w:cs="Times New Roman"/>
          <w:b/>
          <w:sz w:val="24"/>
          <w:szCs w:val="24"/>
        </w:rPr>
        <w:t>88% от всички идентифицирани сектори/заинтересовани страни</w:t>
      </w:r>
      <w:r>
        <w:rPr>
          <w:rFonts w:ascii="Times New Roman" w:hAnsi="Times New Roman" w:cs="Times New Roman"/>
          <w:sz w:val="24"/>
          <w:szCs w:val="24"/>
        </w:rPr>
        <w:t>.</w:t>
      </w:r>
      <w:r>
        <w:rPr>
          <w:rFonts w:ascii="Times New Roman" w:hAnsi="Times New Roman" w:cs="Times New Roman"/>
          <w:bCs/>
          <w:sz w:val="24"/>
          <w:szCs w:val="24"/>
        </w:rPr>
        <w:t xml:space="preserve">На базата на цялата информация и проведените проучвания за нагласите на местното население бе взето решение за създаване на многофондова стратегия, която обхваща всичкидопустими програми. </w:t>
      </w:r>
    </w:p>
    <w:p w:rsidR="009329C9" w:rsidRDefault="00B5212B">
      <w:pPr>
        <w:pStyle w:val="2"/>
        <w:spacing w:before="0"/>
        <w:ind w:right="-1"/>
        <w:jc w:val="both"/>
        <w:rPr>
          <w:rFonts w:ascii="Times New Roman" w:hAnsi="Times New Roman" w:cs="Times New Roman"/>
          <w:b/>
          <w:color w:val="auto"/>
          <w:sz w:val="24"/>
          <w:szCs w:val="24"/>
        </w:rPr>
      </w:pPr>
      <w:bookmarkStart w:id="10" w:name="_Toc448392278"/>
      <w:bookmarkStart w:id="11" w:name="_Toc449349420"/>
      <w:r>
        <w:rPr>
          <w:rFonts w:ascii="Times New Roman" w:hAnsi="Times New Roman" w:cs="Times New Roman"/>
          <w:b/>
          <w:color w:val="auto"/>
          <w:sz w:val="24"/>
          <w:szCs w:val="24"/>
        </w:rPr>
        <w:t>2.2. Групи/сектори заинтересовани лица, участвали в разработване на стратегията:</w:t>
      </w:r>
      <w:bookmarkEnd w:id="10"/>
      <w:bookmarkEnd w:id="11"/>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В рамките на проекта по мярка 19.1 беше проведено проучване и изготвен анализ на заинтересованите страни във връзка с разработването на стратегията. В разработването се включиха </w:t>
      </w:r>
      <w:r>
        <w:rPr>
          <w:rFonts w:ascii="Times New Roman" w:hAnsi="Times New Roman" w:cs="Times New Roman"/>
          <w:b/>
          <w:sz w:val="24"/>
          <w:szCs w:val="24"/>
        </w:rPr>
        <w:t>общо 250души.</w:t>
      </w:r>
      <w:r>
        <w:rPr>
          <w:rFonts w:ascii="Times New Roman" w:hAnsi="Times New Roman" w:cs="Times New Roman"/>
          <w:sz w:val="24"/>
          <w:szCs w:val="24"/>
        </w:rPr>
        <w:t xml:space="preserve">Активно участваха представители на: </w:t>
      </w:r>
      <w:r>
        <w:rPr>
          <w:rFonts w:ascii="Times New Roman" w:hAnsi="Times New Roman" w:cs="Times New Roman"/>
          <w:b/>
          <w:sz w:val="24"/>
          <w:szCs w:val="24"/>
        </w:rPr>
        <w:t>публичен сектор</w:t>
      </w:r>
      <w:r>
        <w:rPr>
          <w:rFonts w:ascii="Times New Roman" w:hAnsi="Times New Roman" w:cs="Times New Roman"/>
          <w:sz w:val="24"/>
          <w:szCs w:val="24"/>
        </w:rPr>
        <w:t xml:space="preserve"> – общинска администрация, </w:t>
      </w:r>
      <w:r>
        <w:rPr>
          <w:rFonts w:ascii="Times New Roman" w:eastAsia="Calibri" w:hAnsi="Times New Roman" w:cs="Times New Roman"/>
          <w:sz w:val="24"/>
          <w:szCs w:val="24"/>
          <w:lang w:eastAsia="en-US"/>
        </w:rPr>
        <w:t xml:space="preserve">кметове на села и кметски наместници; </w:t>
      </w:r>
      <w:r>
        <w:rPr>
          <w:rFonts w:ascii="Times New Roman" w:hAnsi="Times New Roman" w:cs="Times New Roman"/>
          <w:b/>
          <w:sz w:val="24"/>
          <w:szCs w:val="24"/>
        </w:rPr>
        <w:t>стопански сектор</w:t>
      </w:r>
      <w:r>
        <w:rPr>
          <w:rFonts w:ascii="Times New Roman" w:hAnsi="Times New Roman" w:cs="Times New Roman"/>
          <w:sz w:val="24"/>
          <w:szCs w:val="24"/>
        </w:rPr>
        <w:t xml:space="preserve">, включващ зем. производители, животновъди, работещи в обл. на транспорта, услугите, търговията и др., </w:t>
      </w:r>
      <w:r>
        <w:rPr>
          <w:rFonts w:ascii="Times New Roman" w:hAnsi="Times New Roman" w:cs="Times New Roman"/>
          <w:b/>
          <w:sz w:val="24"/>
          <w:szCs w:val="24"/>
        </w:rPr>
        <w:t>нестопански сектор</w:t>
      </w:r>
      <w:r>
        <w:rPr>
          <w:rFonts w:ascii="Times New Roman" w:hAnsi="Times New Roman" w:cs="Times New Roman"/>
          <w:sz w:val="24"/>
          <w:szCs w:val="24"/>
        </w:rPr>
        <w:t xml:space="preserve">, представен предимно от читалища, спортни клубове и НПО, както и представители на </w:t>
      </w:r>
      <w:r>
        <w:rPr>
          <w:rFonts w:ascii="Times New Roman" w:hAnsi="Times New Roman" w:cs="Times New Roman"/>
          <w:b/>
          <w:sz w:val="24"/>
          <w:szCs w:val="24"/>
        </w:rPr>
        <w:t>уязвимите групи и малцинствата</w:t>
      </w:r>
      <w:r>
        <w:rPr>
          <w:rFonts w:ascii="Times New Roman" w:hAnsi="Times New Roman" w:cs="Times New Roman"/>
          <w:sz w:val="24"/>
          <w:szCs w:val="24"/>
        </w:rPr>
        <w:t xml:space="preserve">. При проведените срещи по консултиране, представителите на различните сектори индентифицираха проблемите и потребностите си, като направиха предложения за включените мерки. Стопанският сектор –зем. производители, животновъди, секторите транспорт, услуги, търговия и др. предложиха за влючване на мерките 4.1,4.2 и 6.4 от ПРСР, както и предвиждането на възможности за кандидатстване по мерките на ОПИК. Земеделските производители и животновъдите индентифицираха техните потребности с мерки 4.1 и 4.2.Представителите на публичния и нестопанския сектор предложиха включването на мерките 7.2 и 7.5 от ПРСР, които напълно отговарят на техните потребности.Бизнесът с неземеделски дейности определи като отговаряща на техните нужди мярка 6.4. Нестопанският сектор, представен от читалища, спортни клубове и занаятчии изразиха мнения за необходимост от включване на нова мярка, целяща насърчаване на инициативи за изучаване и съхраняване на културното наследство и природните дадености. За нуждите на уязвимите групи беше предложено финансиране по ОПРЧР и ОПНОИР. С оглед на високия процент площи от територията на МИГ в рамките на Натура 2000 беше взето решение за включване на финансиране и от ОПОС. </w:t>
      </w:r>
      <w:bookmarkStart w:id="12" w:name="_Toc449349421"/>
      <w:bookmarkStart w:id="13" w:name="_Toc448392279"/>
      <w:r>
        <w:rPr>
          <w:rFonts w:ascii="Times New Roman" w:hAnsi="Times New Roman" w:cs="Times New Roman"/>
          <w:sz w:val="24"/>
          <w:szCs w:val="24"/>
        </w:rPr>
        <w:t xml:space="preserve">Стратегията за ВОМР бе подкрепена от </w:t>
      </w:r>
      <w:r>
        <w:rPr>
          <w:rFonts w:ascii="Times New Roman" w:hAnsi="Times New Roman" w:cs="Times New Roman"/>
          <w:b/>
          <w:sz w:val="24"/>
          <w:szCs w:val="24"/>
        </w:rPr>
        <w:t>744 жители, което е над 2% от населението</w:t>
      </w:r>
      <w:r>
        <w:rPr>
          <w:rFonts w:ascii="Times New Roman" w:hAnsi="Times New Roman" w:cs="Times New Roman"/>
          <w:sz w:val="24"/>
          <w:szCs w:val="24"/>
        </w:rPr>
        <w:t xml:space="preserve"> на територията на МИГ. </w:t>
      </w:r>
    </w:p>
    <w:p w:rsidR="009329C9" w:rsidRDefault="00B5212B">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r>
        <w:rPr>
          <w:rFonts w:ascii="Times New Roman" w:hAnsi="Times New Roman" w:cs="Times New Roman"/>
          <w:b/>
          <w:sz w:val="24"/>
          <w:szCs w:val="24"/>
        </w:rPr>
        <w:lastRenderedPageBreak/>
        <w:t>3. Описание на ситуацията в района към момента на кандидатстване:</w:t>
      </w:r>
      <w:bookmarkEnd w:id="12"/>
      <w:bookmarkEnd w:id="13"/>
    </w:p>
    <w:p w:rsidR="009329C9" w:rsidRDefault="00B5212B">
      <w:pPr>
        <w:pStyle w:val="2"/>
        <w:spacing w:before="0"/>
        <w:ind w:right="-1"/>
        <w:jc w:val="both"/>
        <w:rPr>
          <w:rFonts w:ascii="Times New Roman" w:hAnsi="Times New Roman" w:cs="Times New Roman"/>
          <w:b/>
          <w:color w:val="auto"/>
          <w:sz w:val="24"/>
          <w:szCs w:val="24"/>
        </w:rPr>
      </w:pPr>
      <w:bookmarkStart w:id="14" w:name="_Toc448392280"/>
      <w:bookmarkStart w:id="15" w:name="_Toc449349422"/>
      <w:r>
        <w:rPr>
          <w:rFonts w:ascii="Times New Roman" w:hAnsi="Times New Roman" w:cs="Times New Roman"/>
          <w:b/>
          <w:color w:val="auto"/>
          <w:sz w:val="24"/>
          <w:szCs w:val="24"/>
        </w:rPr>
        <w:t>3.1. Анализ на нуждите и потенциала за развитие на територията:</w:t>
      </w:r>
      <w:bookmarkEnd w:id="14"/>
      <w:bookmarkEnd w:id="15"/>
    </w:p>
    <w:p w:rsidR="009329C9" w:rsidRDefault="00B5212B">
      <w:pPr>
        <w:tabs>
          <w:tab w:val="left" w:pos="284"/>
        </w:tabs>
        <w:spacing w:after="0"/>
        <w:ind w:right="-1"/>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u w:val="single"/>
          <w:lang w:eastAsia="en-US"/>
        </w:rPr>
        <w:t>Природни и географски дадености</w:t>
      </w:r>
      <w:r>
        <w:rPr>
          <w:rFonts w:ascii="Times New Roman" w:eastAsia="Calibri" w:hAnsi="Times New Roman" w:cs="Times New Roman"/>
          <w:sz w:val="24"/>
          <w:szCs w:val="24"/>
          <w:lang w:eastAsia="en-US"/>
        </w:rPr>
        <w:t xml:space="preserve"> В климатично отношение регионът се характеризира с  топло лято и мека зима, малка годишна температурна амплитуда, есенно-зимен максимум на валежите и липсата на устойчива снежна покривка – тези условия са изключително подходящи за отглеждане на разнообразни земеделски култури. Главен воден ресурс е река Марица. Всички останали реки  в района са нейни леви притоци и са от Беломорския водоносен басейн, по-големите от които са: река Голяма, река Селска, река Левченска и река Каламица. За напояване има изградени над 96 микроязовира. Растителният и животински свят са изключително разнообразни, в района има над 50 растителни и над 80 животински защитени видове, а 87,47% от територията е включена в Натура 2000. Защитени зони са:  Ждрелото на река Тунджа</w:t>
      </w:r>
      <w:r>
        <w:rPr>
          <w:rFonts w:ascii="Times New Roman" w:eastAsia="Times New Roman" w:hAnsi="Times New Roman" w:cs="Times New Roman"/>
          <w:sz w:val="23"/>
          <w:szCs w:val="23"/>
        </w:rPr>
        <w:t xml:space="preserve"> с код BG0000217</w:t>
      </w:r>
      <w:r>
        <w:rPr>
          <w:rFonts w:ascii="Times New Roman" w:eastAsia="Calibri" w:hAnsi="Times New Roman" w:cs="Times New Roman"/>
          <w:sz w:val="24"/>
          <w:szCs w:val="24"/>
          <w:lang w:eastAsia="en-US"/>
        </w:rPr>
        <w:t xml:space="preserve">, Река Марица с </w:t>
      </w:r>
      <w:r>
        <w:rPr>
          <w:rFonts w:ascii="Times New Roman" w:eastAsia="Times New Roman" w:hAnsi="Times New Roman" w:cs="Times New Roman"/>
          <w:sz w:val="23"/>
          <w:szCs w:val="23"/>
        </w:rPr>
        <w:t>код BG0000578</w:t>
      </w:r>
      <w:r>
        <w:rPr>
          <w:rFonts w:ascii="Times New Roman" w:eastAsia="Calibri" w:hAnsi="Times New Roman" w:cs="Times New Roman"/>
          <w:sz w:val="24"/>
          <w:szCs w:val="24"/>
          <w:lang w:eastAsia="en-US"/>
        </w:rPr>
        <w:t xml:space="preserve">,  Източни Родопи с </w:t>
      </w:r>
      <w:r>
        <w:rPr>
          <w:rFonts w:ascii="Times New Roman" w:eastAsia="Times New Roman" w:hAnsi="Times New Roman" w:cs="Times New Roman"/>
          <w:sz w:val="23"/>
          <w:szCs w:val="23"/>
        </w:rPr>
        <w:t xml:space="preserve">код BG0001032 </w:t>
      </w:r>
      <w:r>
        <w:rPr>
          <w:rFonts w:ascii="Times New Roman" w:eastAsia="Calibri" w:hAnsi="Times New Roman" w:cs="Times New Roman"/>
          <w:sz w:val="24"/>
          <w:szCs w:val="24"/>
          <w:lang w:eastAsia="en-US"/>
        </w:rPr>
        <w:t xml:space="preserve">и Сакар с  </w:t>
      </w:r>
      <w:r>
        <w:rPr>
          <w:rFonts w:ascii="Times New Roman" w:eastAsia="Times New Roman" w:hAnsi="Times New Roman" w:cs="Times New Roman"/>
          <w:sz w:val="23"/>
          <w:szCs w:val="23"/>
        </w:rPr>
        <w:t xml:space="preserve">код BG0000212, всички </w:t>
      </w:r>
      <w:r>
        <w:rPr>
          <w:rFonts w:ascii="Times New Roman" w:eastAsia="Calibri" w:hAnsi="Times New Roman" w:cs="Times New Roman"/>
          <w:sz w:val="24"/>
          <w:szCs w:val="24"/>
          <w:lang w:eastAsia="en-US"/>
        </w:rPr>
        <w:t xml:space="preserve">по Директивата за хабитатите, както и Сакар с </w:t>
      </w:r>
      <w:r>
        <w:rPr>
          <w:rFonts w:ascii="Times New Roman" w:eastAsia="Times New Roman" w:hAnsi="Times New Roman" w:cs="Times New Roman"/>
          <w:sz w:val="23"/>
          <w:szCs w:val="23"/>
        </w:rPr>
        <w:t>код BG0002021</w:t>
      </w:r>
      <w:r>
        <w:rPr>
          <w:rFonts w:ascii="Times New Roman" w:eastAsia="Calibri" w:hAnsi="Times New Roman" w:cs="Times New Roman"/>
          <w:sz w:val="24"/>
          <w:szCs w:val="24"/>
          <w:lang w:eastAsia="en-US"/>
        </w:rPr>
        <w:t>по Директивата за птиците. За по-нататъшното развитие на земеделието има и  благоприятни почвени условия – многообразието е представено основно от алувиално-ливадни почви, канелени горски почви и смолници, като тези видове са подходящи за отглеждане на зърнени култури, за развитие на лозарство и овощарство, производство на ранни, скъпи зеленчуци и плодове, както и производство на памук и тютюн. На територията на МИГ  няма обекти за добив на подземни богатства и не са установени замърсявания на почвите. Природните дадености са основен потенциал за развитие на земеделието.</w:t>
      </w:r>
    </w:p>
    <w:p w:rsidR="009329C9" w:rsidRDefault="00B5212B">
      <w:pPr>
        <w:tabs>
          <w:tab w:val="left" w:pos="284"/>
        </w:tabs>
        <w:spacing w:after="0"/>
        <w:ind w:right="-1"/>
        <w:jc w:val="both"/>
        <w:rPr>
          <w:rFonts w:ascii="Times New Roman" w:eastAsia="Calibri" w:hAnsi="Times New Roman" w:cs="Times New Roman"/>
          <w:b/>
          <w:sz w:val="24"/>
          <w:szCs w:val="24"/>
          <w:u w:val="single"/>
          <w:lang w:eastAsia="en-US"/>
        </w:rPr>
      </w:pPr>
      <w:r>
        <w:rPr>
          <w:rFonts w:ascii="Times New Roman" w:eastAsia="Calibri" w:hAnsi="Times New Roman" w:cs="Times New Roman"/>
          <w:b/>
          <w:sz w:val="24"/>
          <w:szCs w:val="24"/>
          <w:u w:val="single"/>
          <w:lang w:eastAsia="en-US"/>
        </w:rPr>
        <w:t>Териториално и селищно устройство</w:t>
      </w:r>
      <w:r>
        <w:rPr>
          <w:rFonts w:ascii="Times New Roman" w:eastAsia="Times New Roman" w:hAnsi="Times New Roman" w:cs="Times New Roman"/>
          <w:sz w:val="24"/>
          <w:szCs w:val="24"/>
        </w:rPr>
        <w:t xml:space="preserve"> Общата площ на МИГ „Свиленград Ареал” е 700,316 км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а според баланса на територията по данни на НСИ, земеделската земя заема 528 478 дка или 75,7% от общата площ, горските територии са 126 767дка, което е 18,5%. Площта, обхваната от населени места, урбанизирани територии, транспорт и инфраструктура възлиза на 22 851 дка или 2,8% от територията на общината, което я прави една от най-слабо урбанизираните в областта. За сравнение този дял е около 3,7% общо за област Хасково. Водните площи заемат 17 638 дка или 2,5%, а тези за транспортна инфраструктура – 4464 дка или 0,6% от общата територия.</w:t>
      </w:r>
      <w:r>
        <w:rPr>
          <w:rFonts w:ascii="Times New Roman" w:eastAsia="Calibri" w:hAnsi="Times New Roman" w:cs="Times New Roman"/>
          <w:sz w:val="24"/>
          <w:szCs w:val="24"/>
          <w:lang w:eastAsia="en-US"/>
        </w:rPr>
        <w:t>По данни на ОС „Земеделие”-Свиленград за начина на трайно ползване на земеделските земи, на територията на МИГ с най-голям дял в селскостопанския фонд са нивите – 253 128 дка (44,6%), мери и пасища –108 159 дка (19%), залесена територия 62 608 дка (11%), лозя – 23 394 дка (4,1%), дървопроизводствени площи - 20 588 дка (3,6%) и др. Селскостопанските пътища и прокари заемат около 4.5%. В община Свиленград няма населени места без землища. Балансът на територията в полза на земеделските земи също е потенциал за по-нататъшното развитие на селското стопанство.</w:t>
      </w:r>
    </w:p>
    <w:p w:rsidR="009329C9" w:rsidRDefault="00B5212B">
      <w:pPr>
        <w:tabs>
          <w:tab w:val="left" w:pos="284"/>
        </w:tabs>
        <w:spacing w:after="0"/>
        <w:ind w:right="-1"/>
        <w:jc w:val="both"/>
        <w:rPr>
          <w:rFonts w:ascii="Times New Roman" w:eastAsia="Times New Roman" w:hAnsi="Times New Roman" w:cs="Times New Roman"/>
          <w:sz w:val="24"/>
          <w:szCs w:val="24"/>
          <w:lang w:val="en-US"/>
        </w:rPr>
      </w:pPr>
      <w:r>
        <w:rPr>
          <w:rFonts w:ascii="Times New Roman" w:eastAsia="Calibri" w:hAnsi="Times New Roman" w:cs="Times New Roman"/>
          <w:b/>
          <w:sz w:val="24"/>
          <w:szCs w:val="24"/>
          <w:u w:val="single"/>
          <w:lang w:eastAsia="en-US"/>
        </w:rPr>
        <w:t>Население и демографски тенденции.</w:t>
      </w:r>
      <w:r>
        <w:rPr>
          <w:rFonts w:ascii="Times New Roman" w:eastAsia="Calibri" w:hAnsi="Times New Roman" w:cs="Times New Roman"/>
          <w:sz w:val="24"/>
          <w:szCs w:val="24"/>
          <w:lang w:eastAsia="en-US"/>
        </w:rPr>
        <w:t xml:space="preserve"> По данни на НСИ на територията на МИГ „Свиленград Ареал“ към 31.12.2016 г. живеят</w:t>
      </w:r>
      <w:r>
        <w:rPr>
          <w:rFonts w:ascii="Times New Roman" w:eastAsia="Calibri" w:hAnsi="Times New Roman" w:cs="Times New Roman"/>
          <w:bCs/>
          <w:sz w:val="24"/>
          <w:szCs w:val="24"/>
          <w:lang w:eastAsia="en-US"/>
        </w:rPr>
        <w:t>22 234 души</w:t>
      </w:r>
      <w:r>
        <w:rPr>
          <w:rFonts w:ascii="Times New Roman" w:eastAsia="Calibri" w:hAnsi="Times New Roman" w:cs="Times New Roman"/>
          <w:sz w:val="24"/>
          <w:szCs w:val="24"/>
          <w:lang w:eastAsia="en-US"/>
        </w:rPr>
        <w:t xml:space="preserve">. Общата демографска тенденция обаче е към спад на населението и се обуславя от високия отрицателен естествен прираст: –8,7. Разпределението е в полза на градското население - 79,3%  живеят в град Свиленград, а останалите 20,7% - в селата, някои от които са застрашени от обезлюдяване. Налице е и общата за страната тенденция към застаряване на населението. През 2015-та г. се наблюдава лек превес на възрастното население над това в трудоспособна възраст – под 15 годишна възраст са </w:t>
      </w:r>
      <w:r>
        <w:rPr>
          <w:rFonts w:ascii="Times New Roman" w:eastAsia="Calibri" w:hAnsi="Times New Roman" w:cs="Times New Roman"/>
          <w:bCs/>
          <w:sz w:val="24"/>
          <w:szCs w:val="24"/>
          <w:lang w:eastAsia="en-US"/>
        </w:rPr>
        <w:t>3 306 лица</w:t>
      </w:r>
      <w:r>
        <w:rPr>
          <w:rFonts w:ascii="Times New Roman" w:eastAsia="Calibri" w:hAnsi="Times New Roman" w:cs="Times New Roman"/>
          <w:sz w:val="24"/>
          <w:szCs w:val="24"/>
          <w:lang w:eastAsia="en-US"/>
        </w:rPr>
        <w:t>(13,9%),</w:t>
      </w:r>
      <w:r>
        <w:rPr>
          <w:rFonts w:ascii="Times New Roman" w:eastAsia="Calibri" w:hAnsi="Times New Roman" w:cs="Times New Roman"/>
          <w:bCs/>
          <w:sz w:val="24"/>
          <w:szCs w:val="24"/>
          <w:lang w:eastAsia="en-US"/>
        </w:rPr>
        <w:t xml:space="preserve">, между 15-64 години са 13 689 (62,1%), а над 65 и повече години са 5 457 </w:t>
      </w:r>
      <w:r>
        <w:rPr>
          <w:rFonts w:ascii="Times New Roman" w:eastAsia="Calibri" w:hAnsi="Times New Roman" w:cs="Times New Roman"/>
          <w:sz w:val="24"/>
          <w:szCs w:val="24"/>
          <w:lang w:eastAsia="en-US"/>
        </w:rPr>
        <w:t xml:space="preserve">(24%) </w:t>
      </w:r>
      <w:r>
        <w:rPr>
          <w:rFonts w:ascii="Times New Roman" w:eastAsia="Calibri" w:hAnsi="Times New Roman" w:cs="Times New Roman"/>
          <w:bCs/>
          <w:sz w:val="24"/>
          <w:szCs w:val="24"/>
          <w:lang w:eastAsia="en-US"/>
        </w:rPr>
        <w:t xml:space="preserve">души. Наблюдават се още две тенденции – увеличаване броя на децата, което е положително в дългосрочен аспект, но в краткосрочен натоварва системата на социалните услуги и втората: - увеличаване броя на възрастните спрямо активното население, което създава </w:t>
      </w:r>
      <w:r>
        <w:rPr>
          <w:rFonts w:ascii="Times New Roman" w:eastAsia="Calibri" w:hAnsi="Times New Roman" w:cs="Times New Roman"/>
          <w:bCs/>
          <w:sz w:val="24"/>
          <w:szCs w:val="24"/>
          <w:lang w:eastAsia="en-US"/>
        </w:rPr>
        <w:lastRenderedPageBreak/>
        <w:t>проблеми, свързани с текущото състояние на работната сила и отново със социалните системи.</w:t>
      </w:r>
      <w:r>
        <w:rPr>
          <w:rFonts w:ascii="Times New Roman" w:eastAsia="Calibri" w:hAnsi="Times New Roman" w:cs="Times New Roman"/>
          <w:sz w:val="24"/>
          <w:szCs w:val="24"/>
          <w:lang w:eastAsia="en-US"/>
        </w:rPr>
        <w:t xml:space="preserve">Според данните на НСИ, най-многобройната етническа общност на територията е българската - 89,9% от самоопределилите се по етнически признак, ромският етнос е втори по численост, като към него са се самоопределили относителен дял от 8,01%, малко по-висок от този  за обл. Хасково от 7.0%. </w:t>
      </w:r>
      <w:r>
        <w:rPr>
          <w:rFonts w:ascii="Times New Roman" w:eastAsia="Times New Roman" w:hAnsi="Times New Roman" w:cs="Times New Roman"/>
          <w:sz w:val="24"/>
          <w:szCs w:val="24"/>
          <w:lang w:eastAsia="en-US"/>
        </w:rPr>
        <w:t>Сред самоопределилите се като роми, относителният дял на децата и младежите на възраст 0-19 год. е 37.35%, като за сравнение тази възрастова група при самоопределилите се като българи е с относителен дял 14.92%. Сред всички деца на възраст 0-9 години 18.29% са роми, а сред възрастовата група 10-19 години делът на ромските младежи е 16.56%.</w:t>
      </w:r>
      <w:r>
        <w:rPr>
          <w:rFonts w:ascii="Times New Roman" w:eastAsia="Calibri" w:hAnsi="Times New Roman" w:cs="Times New Roman"/>
          <w:sz w:val="24"/>
          <w:szCs w:val="24"/>
          <w:lang w:eastAsia="en-US"/>
        </w:rPr>
        <w:t>Турският етнос е с относителен дял от 1,5%, значително по-нисък от тази за областта (12.5%). Демографската картина в общината е идентифицирана като един от проблемите на територията на МИГ, чието решаване е сред целите на стратегията.</w:t>
      </w:r>
    </w:p>
    <w:p w:rsidR="009329C9" w:rsidRDefault="00B5212B">
      <w:pPr>
        <w:tabs>
          <w:tab w:val="left" w:pos="284"/>
        </w:tabs>
        <w:spacing w:after="0"/>
        <w:ind w:right="-1"/>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u w:val="single"/>
          <w:lang w:eastAsia="en-US"/>
        </w:rPr>
        <w:t xml:space="preserve">Икономика </w:t>
      </w:r>
      <w:r>
        <w:rPr>
          <w:rFonts w:ascii="Times New Roman" w:eastAsia="Calibri" w:hAnsi="Times New Roman" w:cs="Times New Roman"/>
          <w:sz w:val="24"/>
          <w:szCs w:val="24"/>
          <w:lang w:eastAsia="en-US"/>
        </w:rPr>
        <w:t xml:space="preserve">Свиленград принадлежи към общините със смесен тип икономика, като водещи позиции има секторът на транспорта, следван от търговията, услугите и преработващата промишленост. Секторът „Селско, горско и рибно стопанство“ заема пето място по продукция и нетни приходи, но е водещ по отношение на инвестициите в ДМА и е идентифициран като един от отраслите за бъдещо развитие. Увеличаването на постоянния размер на ДМА илюстрира осъзнаването на необходимостта от модернизация на мощностите в земеделието с цел повишаване конкурентоспособността на произведената продукция.  Налице са и условия за преработка и изграждане на затворени цикли в няколко направления: селскостопанска продукция/хранително-вкусова промишленост; жито/мелничарство/хранително-вкусова промишленост и фуражна база/животновъдство/месопреработване; отглеждане на лозя/винопроизводство, както и за диверсификация на стопанствата в неземеделски дейности.Територията на МИГ „Свиленград Ареал“ не е изключение от тенденцията в национален мащаб в местните икономики на селските общини да преобладават микро- и малките предприятия. Те са и основен двигател на икономиката и съответно техният потенциал трябва да бъде развиван в посока увеличаване конкурентоспоспобността им. Броят на нефинансовите предприятия се увеличава плавно почти три пъти спрямо базовата 2007г. и достига е 1 276 през 2014г., като по този начин в общината са съсредоточени 11,3% от нефинансовите предприятия в областта. Обемът на произведената продукция на стоки и услуги също е с тенденция към плавно нарастване, като през 2014 г. се увеличава с над 200% спрямо базовата 2007 г., общите нетни приходи от продажби през 2014 г. са  почти два пъти повече, а при разходите за придобиване на ДМА се наблюдава ръст от около 28%.  В макроикономически план това показва  положителна промяна в стопанското развитие, като е налице своеобразна икономическа стабилност. Община Свиленград, заедно с община Маджарово е сред най-добрите примери за административен капацитет и на първо място в областта по усвояването на европейски средства спрямо населението. По данни на общинската администрация, към декември 2016г. усвоените средства от европейски програми са над 75 млн. В последните няколко години на територията на МИГ се наблюдава интерес към  развитие на бизнеса, свързан с хазартни игри, което води до увеличен потенциал за по-нататъшно развитие на други видове туризъм. Увеличават се и инвестициите в сферата на производство и преработка на лозаро-винарски продукти, като в тази област  е отчетена и най-съществената външна инвестиция в последните 10 години – „Катаржинаестейт“.  В сектора на туризма общината е сред водещите в областта  по обем на предлагането, а по капацитет на легловата база отстъпва само на община Хасково, като  е на първо място по приходи от нощувки. Предвид богатото културно-историческо наследство, биологичното разнообразие и земите в Натура 2000, туризмът </w:t>
      </w:r>
      <w:r>
        <w:rPr>
          <w:rFonts w:ascii="Times New Roman" w:eastAsia="Calibri" w:hAnsi="Times New Roman" w:cs="Times New Roman"/>
          <w:sz w:val="24"/>
          <w:szCs w:val="24"/>
          <w:lang w:eastAsia="en-US"/>
        </w:rPr>
        <w:lastRenderedPageBreak/>
        <w:t>също е сред перспективните сектори. В тази област има потенциал за развиване и на алтернативните му форми: селски и екотуризъм, ловен, лозаро-винарски, приключенски, религиозен и др. Изхождайки от природо-географските, гранични и транспортно-комуникационни функции на територията на МИГ „Свиленград Ареал“, развитието й в бъдеще се очертава основно в селскостопанското производство, повишаване капацитета на малките и средни предприятия в сферата на преработвателната промишленост и услугите, в транспортното обслужване с международно значение, в туризма и в развитието на трансграничното сътрудничество с Турция и Гърция.</w:t>
      </w:r>
    </w:p>
    <w:p w:rsidR="009329C9" w:rsidRDefault="00B5212B">
      <w:pPr>
        <w:tabs>
          <w:tab w:val="left" w:pos="284"/>
        </w:tabs>
        <w:spacing w:after="0"/>
        <w:ind w:right="-1"/>
        <w:jc w:val="both"/>
        <w:rPr>
          <w:rFonts w:ascii="Times New Roman" w:eastAsia="Times New Roman" w:hAnsi="Times New Roman" w:cs="Times New Roman"/>
          <w:sz w:val="24"/>
          <w:szCs w:val="24"/>
        </w:rPr>
      </w:pPr>
      <w:r>
        <w:rPr>
          <w:rFonts w:ascii="Times New Roman" w:eastAsia="Calibri" w:hAnsi="Times New Roman" w:cs="Times New Roman"/>
          <w:b/>
          <w:sz w:val="24"/>
          <w:szCs w:val="24"/>
          <w:u w:val="single"/>
          <w:lang w:eastAsia="en-US"/>
        </w:rPr>
        <w:t>Културно наследство</w:t>
      </w:r>
      <w:r>
        <w:rPr>
          <w:rFonts w:ascii="Times New Roman" w:eastAsia="Calibri" w:hAnsi="Times New Roman" w:cs="Times New Roman"/>
          <w:sz w:val="24"/>
          <w:szCs w:val="24"/>
          <w:lang w:eastAsia="en-US"/>
        </w:rPr>
        <w:t>На територията на МИГ са запазени множество паметници на материалното културно наследствос археологическо и архитектурно значение от различни исторически периоди, както и значителен дял от живото  нематериалното културно наследство– фолклора, местни традиции и обичаи. От паметниците на недвижимото материално културно наследство, на територията на МИГ има 8 с национално значение и три с местно: 1.Долмен от желязната епоха (VIII – VI в. пр. н. е.); 2.Тракийска куполна гробница до с. Мезек; 3.Късноантична и средновековна крепост “Букелон” (IV – XIV в.); 4.Средновековна крепост, с. Мезек; 5.Скална църква от X в., с. Михалич; 6.Скална църква от X в., с. Маточина;  7.Старият сводест мост на Мустафа паша от 1529г.; 8.Антично и средновековно селище в м. Хисаря, които са от национално значение и:  9.Османска баня от XVI, 10.Църква “Св. Троица” от 1834 г., 11.Лобно място “Голото хоро” – последните три са с местно значение. На територията действат 15 читалища, две от които в гр. Свиленград, и 21 библиотеки с общ фонд 231 242 книги. Опазването и развиването на културното наследство може да бъде важен ресурс за устойчиво развитие на цялата територия на МИГ.</w:t>
      </w:r>
    </w:p>
    <w:p w:rsidR="009329C9" w:rsidRDefault="00B5212B">
      <w:pPr>
        <w:tabs>
          <w:tab w:val="left" w:pos="284"/>
        </w:tabs>
        <w:spacing w:after="0"/>
        <w:ind w:right="-1"/>
        <w:jc w:val="both"/>
        <w:rPr>
          <w:rFonts w:ascii="Times New Roman" w:eastAsia="Times New Roman" w:hAnsi="Times New Roman" w:cs="Times New Roman"/>
          <w:sz w:val="24"/>
          <w:szCs w:val="24"/>
        </w:rPr>
      </w:pPr>
      <w:r>
        <w:rPr>
          <w:rFonts w:ascii="Times New Roman" w:eastAsia="Calibri" w:hAnsi="Times New Roman" w:cs="Times New Roman"/>
          <w:b/>
          <w:sz w:val="24"/>
          <w:szCs w:val="24"/>
          <w:u w:val="single"/>
          <w:lang w:eastAsia="en-US"/>
        </w:rPr>
        <w:t>Пазар на труда</w:t>
      </w:r>
      <w:r>
        <w:rPr>
          <w:rFonts w:ascii="Times New Roman" w:eastAsia="Calibri" w:hAnsi="Times New Roman" w:cs="Times New Roman"/>
          <w:sz w:val="24"/>
          <w:szCs w:val="24"/>
          <w:lang w:eastAsia="en-US"/>
        </w:rPr>
        <w:t xml:space="preserve"> За 2014 г. населението над 15 години е общо 13958 души (15632 д. през 2011 г), а броят на икономически активното население е 6287 души (9408 за 2011 г.).  Анализът на данните показва, че икономически активното население е около половината от общия брой на населението над 15 годишна възраст, с което общината се нарежда на първо място в областта по относителен дял на икономически активното население (54.4%), на първо място по коефициент на икономическа активност (69.2%) и на второ по коефициент на заетост (56.6%). По отношение на заетостта данните на НСИ за 2014 г отчитат </w:t>
      </w:r>
      <w:r>
        <w:rPr>
          <w:rFonts w:ascii="Times New Roman" w:eastAsia="Calibri" w:hAnsi="Times New Roman" w:cs="Times New Roman"/>
          <w:bCs/>
          <w:sz w:val="24"/>
          <w:szCs w:val="24"/>
          <w:lang w:eastAsia="en-US"/>
        </w:rPr>
        <w:t xml:space="preserve">4 746 заети (в еквивалент на пълна заетост) и 3 867 наети лица, като </w:t>
      </w:r>
      <w:r>
        <w:rPr>
          <w:rFonts w:ascii="Times New Roman" w:eastAsia="Calibri" w:hAnsi="Times New Roman" w:cs="Times New Roman"/>
          <w:sz w:val="24"/>
          <w:szCs w:val="24"/>
          <w:lang w:eastAsia="en-US"/>
        </w:rPr>
        <w:t>броят на наетите отговаря на структурата на икономиката – водещо място заема секторът на преработващата промишленост със 706 наети, следван от транспорта и търговията – съответно със 671 и 648 наети. Голям е и делът на наетите в държавното управление – 626 и културата и развлеченията– 653.</w:t>
      </w:r>
      <w:r>
        <w:rPr>
          <w:rFonts w:ascii="Times New Roman" w:eastAsia="Times New Roman" w:hAnsi="Times New Roman" w:cs="Times New Roman"/>
          <w:sz w:val="24"/>
          <w:szCs w:val="24"/>
          <w:lang w:val="be-BY" w:eastAsia="en-US"/>
        </w:rPr>
        <w:t xml:space="preserve">Нивото на безработица на територията на МИГ е едно от най-ниските в областта. Към 30.06.2015 г. равнището  на безработица е 8,6 %, а през 2014 г. е било  9,3%. Въпреки общата тенденция към намаляване, безработицата остава проблем за редица групи от населението, най-вечеза ромската общност, хората с ниско образование или без образование и за младежите до 29 г. </w:t>
      </w:r>
      <w:r>
        <w:rPr>
          <w:rFonts w:ascii="Times New Roman" w:eastAsia="Calibri" w:hAnsi="Times New Roman" w:cs="Times New Roman"/>
          <w:bCs/>
          <w:sz w:val="24"/>
          <w:szCs w:val="24"/>
          <w:lang w:eastAsia="en-US"/>
        </w:rPr>
        <w:t>Регистрираните продължително безработни лица с престой в бюрото по труда над 1 година са с дял от 23,2% от всички безработни, като намаляването им се дължи предимно на процента обхванати от програмите за субсидирана заетост. Безработицата на територията на МИГ е един от основните проблеми за решаване, за който в стратегията са предвидени специални насочени мерки по различните програми.</w:t>
      </w:r>
    </w:p>
    <w:p w:rsidR="009329C9" w:rsidRDefault="00B5212B">
      <w:pPr>
        <w:tabs>
          <w:tab w:val="left" w:pos="284"/>
        </w:tabs>
        <w:spacing w:after="0"/>
        <w:ind w:right="-1"/>
        <w:jc w:val="both"/>
        <w:rPr>
          <w:rFonts w:ascii="Times New Roman" w:eastAsia="Times New Roman" w:hAnsi="Times New Roman" w:cs="Times New Roman"/>
          <w:sz w:val="24"/>
          <w:szCs w:val="24"/>
          <w:lang w:val="en-US"/>
        </w:rPr>
      </w:pPr>
      <w:r>
        <w:rPr>
          <w:rFonts w:ascii="Times New Roman" w:eastAsia="Calibri" w:hAnsi="Times New Roman" w:cs="Times New Roman"/>
          <w:b/>
          <w:sz w:val="24"/>
          <w:szCs w:val="24"/>
          <w:u w:val="single"/>
          <w:lang w:eastAsia="en-US"/>
        </w:rPr>
        <w:t>Техническата инфраструктура</w:t>
      </w:r>
      <w:r>
        <w:rPr>
          <w:rFonts w:ascii="Times New Roman" w:eastAsia="Calibri" w:hAnsi="Times New Roman" w:cs="Times New Roman"/>
          <w:sz w:val="24"/>
          <w:szCs w:val="24"/>
          <w:lang w:eastAsia="en-US"/>
        </w:rPr>
        <w:t xml:space="preserve">е сравнително добре развита. Изградената </w:t>
      </w:r>
      <w:r>
        <w:rPr>
          <w:rFonts w:ascii="Times New Roman" w:eastAsia="Calibri" w:hAnsi="Times New Roman" w:cs="Times New Roman"/>
          <w:b/>
          <w:sz w:val="24"/>
          <w:szCs w:val="24"/>
          <w:lang w:eastAsia="en-US"/>
        </w:rPr>
        <w:t>пътна мрежа</w:t>
      </w:r>
      <w:r>
        <w:rPr>
          <w:rFonts w:ascii="Times New Roman" w:eastAsia="Calibri" w:hAnsi="Times New Roman" w:cs="Times New Roman"/>
          <w:sz w:val="24"/>
          <w:szCs w:val="24"/>
          <w:lang w:eastAsia="en-US"/>
        </w:rPr>
        <w:t xml:space="preserve"> включва общо 156,381 км пътища от републиканската пътна мрежа и 316 км местни пътища. От Републиканската пътна мрежа преминават изцяло или частично 9 пътя:последният учас</w:t>
      </w:r>
      <w:r>
        <w:rPr>
          <w:rFonts w:ascii="Times New Roman" w:eastAsia="Calibri" w:hAnsi="Times New Roman" w:cs="Times New Roman"/>
          <w:sz w:val="24"/>
          <w:szCs w:val="24"/>
          <w:lang w:eastAsia="en-US"/>
        </w:rPr>
        <w:lastRenderedPageBreak/>
        <w:t xml:space="preserve">тък от 23,7 км от автомагистрала Марица; 25,1 км от РП I-8;  23,3 км от РП II-55; целият участък от 3,5 км от РII-80; 7,1 км от РП III-505; 5,2 км от РП III-761; 26,3 км от РП III-5507; целият участък от 34,9 км от РП III-5509; 7,2 км от РП III-7612. Освен магистралата и първокласните пътища, които са в много добро състояние,  пътната мрежа на територията на МИГ  обхваща и другите  класове пътища: второкласни (33,4 км) в добро състояние, третокласни (42,7 км) в средно състояние, четвъртокласни (125,1 км) в лошо състояние. </w:t>
      </w:r>
      <w:r>
        <w:rPr>
          <w:rFonts w:ascii="Times New Roman" w:eastAsia="Calibri" w:hAnsi="Times New Roman" w:cs="Times New Roman"/>
          <w:b/>
          <w:sz w:val="24"/>
          <w:szCs w:val="24"/>
          <w:lang w:eastAsia="en-US"/>
        </w:rPr>
        <w:t>Железопътният транспорт</w:t>
      </w:r>
      <w:r>
        <w:rPr>
          <w:rFonts w:ascii="Times New Roman" w:eastAsia="Calibri" w:hAnsi="Times New Roman" w:cs="Times New Roman"/>
          <w:sz w:val="24"/>
          <w:szCs w:val="24"/>
          <w:lang w:eastAsia="en-US"/>
        </w:rPr>
        <w:t xml:space="preserve"> е представен с 45 километров участък от ж.п. линията “Калотина - София - Пловдив- Свиленград”, категоризирана в европейската мрежа от магистрални линии и мрежата за комбинирани превози с международно значение (Е-70С).Всички населени места са </w:t>
      </w:r>
      <w:r>
        <w:rPr>
          <w:rFonts w:ascii="Times New Roman" w:eastAsia="Calibri" w:hAnsi="Times New Roman" w:cs="Times New Roman"/>
          <w:b/>
          <w:sz w:val="24"/>
          <w:szCs w:val="24"/>
          <w:lang w:eastAsia="en-US"/>
        </w:rPr>
        <w:t>електрифицирани</w:t>
      </w:r>
      <w:r>
        <w:rPr>
          <w:rFonts w:ascii="Times New Roman" w:eastAsia="Calibri" w:hAnsi="Times New Roman" w:cs="Times New Roman"/>
          <w:sz w:val="24"/>
          <w:szCs w:val="24"/>
          <w:lang w:eastAsia="en-US"/>
        </w:rPr>
        <w:t xml:space="preserve"> и са част от енергийната система на страната. Собственик на електроразпределителната мрежа е EVN България.Част от територията е </w:t>
      </w:r>
      <w:r>
        <w:rPr>
          <w:rFonts w:ascii="Times New Roman" w:eastAsia="Calibri" w:hAnsi="Times New Roman" w:cs="Times New Roman"/>
          <w:b/>
          <w:sz w:val="24"/>
          <w:szCs w:val="24"/>
          <w:lang w:eastAsia="en-US"/>
        </w:rPr>
        <w:t>газифицирана.</w:t>
      </w:r>
      <w:r>
        <w:rPr>
          <w:rFonts w:ascii="Times New Roman" w:eastAsia="Calibri" w:hAnsi="Times New Roman" w:cs="Times New Roman"/>
          <w:sz w:val="24"/>
          <w:szCs w:val="24"/>
          <w:lang w:eastAsia="en-US"/>
        </w:rPr>
        <w:t xml:space="preserve">Разпределението и снабдяването с природен газ се осъществява от  “Свиленград-газ”АД. </w:t>
      </w:r>
      <w:r>
        <w:rPr>
          <w:rFonts w:ascii="Times New Roman" w:eastAsia="Calibri" w:hAnsi="Times New Roman" w:cs="Times New Roman"/>
          <w:b/>
          <w:sz w:val="24"/>
          <w:szCs w:val="24"/>
          <w:lang w:eastAsia="en-US"/>
        </w:rPr>
        <w:t>Водоснабдени</w:t>
      </w:r>
      <w:r>
        <w:rPr>
          <w:rFonts w:ascii="Times New Roman" w:eastAsia="Calibri" w:hAnsi="Times New Roman" w:cs="Times New Roman"/>
          <w:sz w:val="24"/>
          <w:szCs w:val="24"/>
          <w:lang w:eastAsia="en-US"/>
        </w:rPr>
        <w:t>са 22 населени места, като селата Лисово и Равна гора са само частично водоснабдени. Водопроводната мрежа обхваща около 98% от територията и се състои от 70% вътрешни и 30% външни водопроводи. От вътрешната водопроводна мрежа най-силно амортизирана е тази в селата Студена, Момково и Капитан Андреево. Навсякъде водоснабдяването се извършва главно от кладенци, като подаването е предимно чрез помпи, което увеличава себестойността на водата.</w:t>
      </w:r>
      <w:r>
        <w:rPr>
          <w:rFonts w:ascii="Times New Roman" w:eastAsia="Calibri" w:hAnsi="Times New Roman" w:cs="Times New Roman"/>
          <w:b/>
          <w:sz w:val="24"/>
          <w:szCs w:val="24"/>
          <w:lang w:eastAsia="en-US"/>
        </w:rPr>
        <w:t>Канализация</w:t>
      </w:r>
      <w:r>
        <w:rPr>
          <w:rFonts w:ascii="Times New Roman" w:eastAsia="Calibri" w:hAnsi="Times New Roman" w:cs="Times New Roman"/>
          <w:sz w:val="24"/>
          <w:szCs w:val="24"/>
          <w:lang w:eastAsia="en-US"/>
        </w:rPr>
        <w:t xml:space="preserve"> има само в гр. Свиленград и частично в село Мезек.  Дължината на канализационната мрежа е 41 138 м. Населението, което не е свързано към канализацията използва изгреби и септични ями. Това създава предпоставки за замърсяване на подпочвените води, както и тези на р. Марица. Изградеността на канализационната мрежа е около 38%, което е сред ниските в областта. Необходимо е доизграждане на водоснабдяването и канализацията в селата, особено в районите с туристически потенциал и строеж на пречиствателни станции, като тази в град Свиленград вече е факт.Като проблемни области се определят малката инфраструктура –уличната мрежа в почти всички села не е в добро състояние, зелените площи и спортните съоръжения са недостатъчни, което също е идентифицирано като един от проблемите за решаване в стратегията.</w:t>
      </w:r>
    </w:p>
    <w:p w:rsidR="009329C9" w:rsidRDefault="00B5212B">
      <w:pPr>
        <w:tabs>
          <w:tab w:val="left" w:pos="284"/>
        </w:tabs>
        <w:spacing w:after="0"/>
        <w:ind w:right="-1"/>
        <w:jc w:val="both"/>
        <w:rPr>
          <w:rFonts w:ascii="Times New Roman" w:eastAsia="Times New Roman" w:hAnsi="Times New Roman" w:cs="Times New Roman"/>
          <w:sz w:val="24"/>
          <w:szCs w:val="24"/>
        </w:rPr>
      </w:pPr>
      <w:r>
        <w:rPr>
          <w:rFonts w:ascii="Times New Roman" w:eastAsia="Calibri" w:hAnsi="Times New Roman" w:cs="Times New Roman"/>
          <w:b/>
          <w:sz w:val="24"/>
          <w:szCs w:val="24"/>
          <w:u w:val="single"/>
          <w:lang w:eastAsia="en-US"/>
        </w:rPr>
        <w:t>Социална инфраструктура</w:t>
      </w:r>
      <w:r>
        <w:rPr>
          <w:rFonts w:ascii="Times New Roman" w:eastAsia="Calibri" w:hAnsi="Times New Roman" w:cs="Times New Roman"/>
          <w:sz w:val="24"/>
          <w:szCs w:val="24"/>
          <w:lang w:eastAsia="en-US"/>
        </w:rPr>
        <w:t xml:space="preserve"> В областта на </w:t>
      </w:r>
      <w:r>
        <w:rPr>
          <w:rFonts w:ascii="Times New Roman" w:eastAsia="Calibri" w:hAnsi="Times New Roman" w:cs="Times New Roman"/>
          <w:b/>
          <w:sz w:val="24"/>
          <w:szCs w:val="24"/>
          <w:lang w:eastAsia="en-US"/>
        </w:rPr>
        <w:t>здравеопазването</w:t>
      </w:r>
      <w:r>
        <w:rPr>
          <w:rFonts w:ascii="Times New Roman" w:eastAsia="Calibri" w:hAnsi="Times New Roman" w:cs="Times New Roman"/>
          <w:sz w:val="24"/>
          <w:szCs w:val="24"/>
          <w:lang w:eastAsia="en-US"/>
        </w:rPr>
        <w:t xml:space="preserve"> населението се обслужва от една многопрофилна болница за активно лечение, един медицински център за извън болнична помощ, една медико-диагностична и осем медико-технически лаборатории, един филиал на центъра за спешна медицинска помощ-Хасково и една регионална структура на РЗИ-Хасково. Има  разкрити пет лекарски практики в селата Капитан Андреево, Момково, Левка, Райкова Могила и Сладун. В района липсват санитарно-курортни заведения. Структурата на </w:t>
      </w:r>
      <w:r>
        <w:rPr>
          <w:rFonts w:ascii="Times New Roman" w:eastAsia="Calibri" w:hAnsi="Times New Roman" w:cs="Times New Roman"/>
          <w:b/>
          <w:sz w:val="24"/>
          <w:szCs w:val="24"/>
          <w:lang w:eastAsia="en-US"/>
        </w:rPr>
        <w:t>образованието</w:t>
      </w:r>
      <w:r>
        <w:rPr>
          <w:rFonts w:ascii="Times New Roman" w:eastAsia="Calibri" w:hAnsi="Times New Roman" w:cs="Times New Roman"/>
          <w:sz w:val="24"/>
          <w:szCs w:val="24"/>
          <w:lang w:eastAsia="en-US"/>
        </w:rPr>
        <w:t xml:space="preserve">е представена от предучилищно обучение, общо образование във всичките му степени и средно професионално образование. В общината и в цялата област Хасково няма висши учебни заведения. Повечето от учебните заведения са разположени в общинския център  град Свиленград – всички детски заведения, 4 от 5-те общообразователни училища и Професионалното училище за селско стопанство и икономика. В село Левка е единственото средищно училище извън административния център и в него се обучават ученици от 12 села, сред които преобладаващата част са от ромски и турски етнически произход. В областта на </w:t>
      </w:r>
      <w:r>
        <w:rPr>
          <w:rFonts w:ascii="Times New Roman" w:eastAsia="Calibri" w:hAnsi="Times New Roman" w:cs="Times New Roman"/>
          <w:b/>
          <w:sz w:val="24"/>
          <w:szCs w:val="24"/>
          <w:lang w:eastAsia="en-US"/>
        </w:rPr>
        <w:t>социалните услуги</w:t>
      </w:r>
      <w:r>
        <w:rPr>
          <w:rFonts w:ascii="Times New Roman" w:eastAsia="Calibri" w:hAnsi="Times New Roman" w:cs="Times New Roman"/>
          <w:sz w:val="24"/>
          <w:szCs w:val="24"/>
          <w:lang w:eastAsia="en-US"/>
        </w:rPr>
        <w:t xml:space="preserve"> се работи в посока увеличаване услугите в обичайна среда и в общността и деинституционализация. На територията действат Дневен център за възрастни хора с увреждания, Дневен център за възрастни хора с увреждания със седмична грижа, Домашен социален патронаж, Преходно жилище за лица с психически разстройства, Дом за лица с психически разстройства, Дневен център за деца с увреждания, Личен асистент, Домашен </w:t>
      </w:r>
      <w:r>
        <w:rPr>
          <w:rFonts w:ascii="Times New Roman" w:eastAsia="Calibri" w:hAnsi="Times New Roman" w:cs="Times New Roman"/>
          <w:sz w:val="24"/>
          <w:szCs w:val="24"/>
          <w:lang w:eastAsia="en-US"/>
        </w:rPr>
        <w:lastRenderedPageBreak/>
        <w:t xml:space="preserve">санитар, Клуб на инвалида, Социален асистент, Клуб на пенсионера и Център за настаняване от семеен тип.Предоставяните услуги обслужват различни целеви групи и освен че са увеличени като брой, разширен е и териториалният им обхват– включени са и повече населени места. По този начин се разширява и кръгът от услуги, насочени към населението в над трудоспособна възраст и някои малцинствени групи. Богатото културно наследство предопределя и добре развитата инфраструктура по отношение на </w:t>
      </w:r>
      <w:r>
        <w:rPr>
          <w:rFonts w:ascii="Times New Roman" w:eastAsia="Calibri" w:hAnsi="Times New Roman" w:cs="Times New Roman"/>
          <w:b/>
          <w:sz w:val="24"/>
          <w:szCs w:val="24"/>
          <w:lang w:eastAsia="en-US"/>
        </w:rPr>
        <w:t>културата</w:t>
      </w:r>
      <w:r>
        <w:rPr>
          <w:rFonts w:ascii="Times New Roman" w:eastAsia="Calibri" w:hAnsi="Times New Roman" w:cs="Times New Roman"/>
          <w:sz w:val="24"/>
          <w:szCs w:val="24"/>
          <w:lang w:eastAsia="en-US"/>
        </w:rPr>
        <w:t xml:space="preserve">. От 2012 г. в Свиленград  действа нов  Туристически информационен център (ТИЦ), </w:t>
      </w:r>
      <w:r>
        <w:rPr>
          <w:rFonts w:ascii="Times New Roman" w:eastAsia="Calibri" w:hAnsi="Times New Roman" w:cs="Times New Roman"/>
          <w:iCs/>
          <w:sz w:val="24"/>
          <w:szCs w:val="24"/>
          <w:lang w:eastAsia="en-US"/>
        </w:rPr>
        <w:t>музейната дейност</w:t>
      </w:r>
      <w:r>
        <w:rPr>
          <w:rFonts w:ascii="Times New Roman" w:eastAsia="Calibri" w:hAnsi="Times New Roman" w:cs="Times New Roman"/>
          <w:sz w:val="24"/>
          <w:szCs w:val="24"/>
          <w:lang w:eastAsia="en-US"/>
        </w:rPr>
        <w:t xml:space="preserve"> е представена от Общинския исторически музей</w:t>
      </w:r>
      <w:r>
        <w:rPr>
          <w:rFonts w:ascii="Times New Roman" w:eastAsia="Calibri" w:hAnsi="Times New Roman" w:cs="Times New Roman"/>
          <w:b/>
          <w:sz w:val="24"/>
          <w:szCs w:val="24"/>
          <w:lang w:eastAsia="en-US"/>
        </w:rPr>
        <w:t xml:space="preserve">, </w:t>
      </w:r>
      <w:r>
        <w:rPr>
          <w:rFonts w:ascii="Times New Roman" w:eastAsia="Calibri" w:hAnsi="Times New Roman" w:cs="Times New Roman"/>
          <w:sz w:val="24"/>
          <w:szCs w:val="24"/>
          <w:lang w:eastAsia="en-US"/>
        </w:rPr>
        <w:t xml:space="preserve">на територията на МИГ има 15 действащи читалища, като основните проблеми при тях са от финансов характер и особено невъзможността за поддържане състоянието на материалната база. Поддържането им трябва да стане приоритет, тъй като единствено в читалищата се предлагат условия за развитие на комплексна културна дейност - библиотечна, кръжочна, художествена самодейност и др. Важен фактор за цялостното развитие на </w:t>
      </w:r>
      <w:r>
        <w:rPr>
          <w:rFonts w:ascii="Times New Roman" w:eastAsia="Calibri" w:hAnsi="Times New Roman" w:cs="Times New Roman"/>
          <w:b/>
          <w:sz w:val="24"/>
          <w:szCs w:val="24"/>
          <w:lang w:eastAsia="en-US"/>
        </w:rPr>
        <w:t xml:space="preserve">спорта </w:t>
      </w:r>
      <w:r>
        <w:rPr>
          <w:rFonts w:ascii="Times New Roman" w:eastAsia="Calibri" w:hAnsi="Times New Roman" w:cs="Times New Roman"/>
          <w:sz w:val="24"/>
          <w:szCs w:val="24"/>
          <w:lang w:eastAsia="en-US"/>
        </w:rPr>
        <w:t>е финансирането на спортните клубове със собствени средства на община Свиленград. Във всяко населено място има обособени места за отдих и зелени площи, за които обаче, с изключение на тези в административния център, не са в добро състояние. Основната част от спортната инфраструктура също е разположена в общинския център.</w:t>
      </w:r>
    </w:p>
    <w:p w:rsidR="009329C9" w:rsidRDefault="00B5212B">
      <w:pPr>
        <w:tabs>
          <w:tab w:val="left" w:pos="284"/>
        </w:tabs>
        <w:spacing w:after="0"/>
        <w:ind w:right="-1"/>
        <w:jc w:val="both"/>
        <w:rPr>
          <w:rFonts w:ascii="Times New Roman" w:eastAsia="Times New Roman" w:hAnsi="Times New Roman" w:cs="Times New Roman"/>
          <w:sz w:val="24"/>
          <w:szCs w:val="24"/>
        </w:rPr>
      </w:pPr>
      <w:r>
        <w:rPr>
          <w:rFonts w:ascii="Times New Roman" w:eastAsia="Calibri" w:hAnsi="Times New Roman" w:cs="Times New Roman"/>
          <w:b/>
          <w:sz w:val="24"/>
          <w:szCs w:val="24"/>
          <w:u w:val="single"/>
          <w:lang w:eastAsia="en-US"/>
        </w:rPr>
        <w:t>Екологично състояние и рискове</w:t>
      </w:r>
      <w:r>
        <w:rPr>
          <w:rFonts w:ascii="Times New Roman" w:eastAsia="Calibri" w:hAnsi="Times New Roman" w:cs="Times New Roman"/>
          <w:sz w:val="24"/>
          <w:szCs w:val="24"/>
          <w:lang w:eastAsia="en-US"/>
        </w:rPr>
        <w:t xml:space="preserve"> Битовите и индустриални замърсявания на околната среда, както и </w:t>
      </w:r>
      <w:r>
        <w:rPr>
          <w:rFonts w:ascii="Times New Roman" w:eastAsia="Calibri" w:hAnsi="Times New Roman" w:cs="Times New Roman"/>
          <w:b/>
          <w:sz w:val="24"/>
          <w:szCs w:val="24"/>
          <w:lang w:eastAsia="en-US"/>
        </w:rPr>
        <w:t>екологичните рискове са силно ограничени</w:t>
      </w:r>
      <w:r>
        <w:rPr>
          <w:rFonts w:ascii="Times New Roman" w:eastAsia="Calibri" w:hAnsi="Times New Roman" w:cs="Times New Roman"/>
          <w:sz w:val="24"/>
          <w:szCs w:val="24"/>
          <w:lang w:eastAsia="en-US"/>
        </w:rPr>
        <w:t xml:space="preserve">.  Отделни проблеми съществуват по отношение на качеството на природните води, както и при почвената покривка, подложена на ерозийни процеси и замърсяване. Сериозни дефицити има в слабата изграденост на канализационна мрежа, амортизираното състояние на съоръженията, липсата на пречиствателни станции за отпадни води в селата и необходимостта от съвременна система за управление на отпадъците и рекултивация на нарушените от тази дейност терени. Състоянието на </w:t>
      </w:r>
      <w:r>
        <w:rPr>
          <w:rFonts w:ascii="Times New Roman" w:eastAsia="Calibri" w:hAnsi="Times New Roman" w:cs="Times New Roman"/>
          <w:b/>
          <w:sz w:val="24"/>
          <w:szCs w:val="24"/>
          <w:lang w:eastAsia="en-US"/>
        </w:rPr>
        <w:t>атмосферния въздух</w:t>
      </w:r>
      <w:r>
        <w:rPr>
          <w:rFonts w:ascii="Times New Roman" w:eastAsia="Calibri" w:hAnsi="Times New Roman" w:cs="Times New Roman"/>
          <w:sz w:val="24"/>
          <w:szCs w:val="24"/>
          <w:lang w:eastAsia="en-US"/>
        </w:rPr>
        <w:t xml:space="preserve"> се определя като добро, липсват значителни местни източници на замърсяване. Националната система за мониторинг на качеството на атмосферния въздух няма свои стационарни пунктове за наблюдение в община Свиленград. Територията не попада в РОУКАВ, което е свидетелство, че не са установени превишения на нормите за вредни вещества във въздуха. </w:t>
      </w:r>
      <w:r>
        <w:rPr>
          <w:rFonts w:ascii="Times New Roman" w:eastAsia="Calibri" w:hAnsi="Times New Roman" w:cs="Times New Roman"/>
          <w:b/>
          <w:sz w:val="24"/>
          <w:szCs w:val="24"/>
          <w:lang w:eastAsia="en-US"/>
        </w:rPr>
        <w:t>Повърхностните води</w:t>
      </w:r>
      <w:r>
        <w:rPr>
          <w:rFonts w:ascii="Times New Roman" w:eastAsia="Calibri" w:hAnsi="Times New Roman" w:cs="Times New Roman"/>
          <w:sz w:val="24"/>
          <w:szCs w:val="24"/>
          <w:lang w:eastAsia="en-US"/>
        </w:rPr>
        <w:t xml:space="preserve"> са в добро състояние за по-малките реки и лошо общо състояние за р. Марица, която е основен водоизточник в региона. Обект на екологичен мониторинг е Повърхностно водно тяло „Река Марица от река Съзлийка до границата“ с код BG3МА100R001 от типа „големи реки”.По данни на РИОСВ – Хасково, състоянието на р. Марица в района на гр. Свиленград е: по биологични елементи – умерено; по физико-химични елементи – много лошо и по химично състояние – добро. Общото състояние на р. Марица в района на гр. Свиленград е много лошо.Основното промишлено замърсяване на реката обаче се формира извън територията на МИГ. При гр. Свиленград е изграден пункт на контролен мониторинг с № BG3MA01191MS0010. Другите водни тела, които са обект на наблюдение са Повърхностно водно тяло „Река Левченска” с код BG3МА100R004, Повърхностно водно тяло „Река Голямата (Пъстрогорска)“ с код BG3МА100R005, Повърхностно водно тяло р. Ченгене дере, с код BG3MA100R003 и Повърхностно водно тяло р.Каламица с код 208 BG3MA100R002.</w:t>
      </w:r>
      <w:r>
        <w:rPr>
          <w:rFonts w:ascii="Times New Roman" w:eastAsia="Calibri" w:hAnsi="Times New Roman" w:cs="Times New Roman"/>
          <w:b/>
          <w:sz w:val="24"/>
          <w:szCs w:val="24"/>
          <w:lang w:eastAsia="en-US"/>
        </w:rPr>
        <w:t>Подземните води</w:t>
      </w:r>
      <w:r>
        <w:rPr>
          <w:rFonts w:ascii="Times New Roman" w:eastAsia="Calibri" w:hAnsi="Times New Roman" w:cs="Times New Roman"/>
          <w:sz w:val="24"/>
          <w:szCs w:val="24"/>
          <w:lang w:eastAsia="en-US"/>
        </w:rPr>
        <w:t xml:space="preserve"> на територията са в добро състояние в кватернера и в лошо състояние в неогенскитенаслаги. Обект на екологичен мониторинг са  Подземно водно тяло „Порови води в Неоген – Свиленград - Стамболово с код BG3G000000N011 и Подземно водно тяло „Порови води в Кватернер – Свиленград – Стамболово” с код BG3G000000Q048.На територията на МИГ Свиленград Ареал съществуват и </w:t>
      </w:r>
      <w:r>
        <w:rPr>
          <w:rFonts w:ascii="Times New Roman" w:eastAsia="Calibri" w:hAnsi="Times New Roman" w:cs="Times New Roman"/>
          <w:b/>
          <w:sz w:val="24"/>
          <w:szCs w:val="24"/>
          <w:lang w:eastAsia="en-US"/>
        </w:rPr>
        <w:t>зони за защита на водите</w:t>
      </w:r>
      <w:r>
        <w:rPr>
          <w:rFonts w:ascii="Times New Roman" w:eastAsia="Calibri" w:hAnsi="Times New Roman" w:cs="Times New Roman"/>
          <w:sz w:val="24"/>
          <w:szCs w:val="24"/>
          <w:lang w:eastAsia="en-US"/>
        </w:rPr>
        <w:t xml:space="preserve"> съгласно чл. 119 а, ал. 1, т. 5 от Закона за водите. На територията на МИГ няма </w:t>
      </w:r>
      <w:r>
        <w:rPr>
          <w:rFonts w:ascii="Times New Roman" w:eastAsia="Calibri" w:hAnsi="Times New Roman" w:cs="Times New Roman"/>
          <w:sz w:val="24"/>
          <w:szCs w:val="24"/>
          <w:lang w:eastAsia="en-US"/>
        </w:rPr>
        <w:lastRenderedPageBreak/>
        <w:t>установени значителни замърсявания на почвите, липсват големи нарушения на земните недра, развитието на ерозийните процеси е в умерени граници. Доброто екологично състояние е отчетено като потенциал за развитие на територията на МИГ.</w:t>
      </w:r>
    </w:p>
    <w:p w:rsidR="009329C9" w:rsidRDefault="00B5212B">
      <w:pPr>
        <w:pStyle w:val="2"/>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3.2. Идентифицирани групи от заинтересовани лица на територията на МИГ:</w:t>
      </w:r>
    </w:p>
    <w:p w:rsidR="009329C9" w:rsidRDefault="00B5212B">
      <w:pPr>
        <w:spacing w:after="0"/>
        <w:ind w:right="-1"/>
        <w:jc w:val="both"/>
        <w:rPr>
          <w:rFonts w:ascii="Times New Roman" w:hAnsi="Times New Roman" w:cs="Times New Roman"/>
          <w:sz w:val="24"/>
          <w:szCs w:val="24"/>
        </w:rPr>
      </w:pPr>
      <w:bookmarkStart w:id="16" w:name="_Toc448392281"/>
      <w:bookmarkStart w:id="17" w:name="_Toc449349423"/>
      <w:r>
        <w:rPr>
          <w:rFonts w:ascii="Times New Roman" w:hAnsi="Times New Roman" w:cs="Times New Roman"/>
          <w:sz w:val="24"/>
          <w:szCs w:val="24"/>
        </w:rPr>
        <w:t>От направените анализи на територията  са идентифицирани общо 18 групи заинтересовани страни.:</w:t>
      </w:r>
    </w:p>
    <w:p w:rsidR="009329C9" w:rsidRDefault="00B5212B">
      <w:pPr>
        <w:spacing w:after="0"/>
        <w:rPr>
          <w:rFonts w:ascii="Times New Roman" w:hAnsi="Times New Roman" w:cs="Times New Roman"/>
          <w:b/>
          <w:bCs/>
          <w:sz w:val="24"/>
          <w:szCs w:val="24"/>
        </w:rPr>
      </w:pPr>
      <w:r>
        <w:rPr>
          <w:rFonts w:ascii="Times New Roman" w:eastAsia="Calibri" w:hAnsi="Times New Roman" w:cs="Times New Roman"/>
          <w:b/>
          <w:sz w:val="24"/>
          <w:szCs w:val="24"/>
          <w:lang w:eastAsia="en-US"/>
        </w:rPr>
        <w:t>Публичен сектор(идентифицирани 5 групи):</w:t>
      </w:r>
      <w:r>
        <w:rPr>
          <w:rFonts w:ascii="Times New Roman" w:eastAsia="Calibri" w:hAnsi="Times New Roman" w:cs="Times New Roman"/>
          <w:sz w:val="24"/>
          <w:szCs w:val="24"/>
          <w:lang w:eastAsia="en-US"/>
        </w:rPr>
        <w:t>1.</w:t>
      </w:r>
      <w:r>
        <w:rPr>
          <w:rFonts w:ascii="Times New Roman" w:hAnsi="Times New Roman" w:cs="Times New Roman"/>
          <w:sz w:val="24"/>
          <w:szCs w:val="24"/>
        </w:rPr>
        <w:t xml:space="preserve">Община Свиленград, 2. Културни институции, 3. Образователни институции, 4.Социални заведения, 5. Представители на други структури на държавната власт. </w:t>
      </w:r>
    </w:p>
    <w:p w:rsidR="009329C9" w:rsidRDefault="00B5212B">
      <w:pPr>
        <w:spacing w:after="0"/>
        <w:rPr>
          <w:rFonts w:ascii="Times New Roman" w:eastAsia="Calibri" w:hAnsi="Times New Roman" w:cs="Times New Roman"/>
          <w:sz w:val="24"/>
          <w:szCs w:val="24"/>
          <w:lang w:eastAsia="en-US"/>
        </w:rPr>
      </w:pPr>
      <w:r>
        <w:rPr>
          <w:rFonts w:ascii="Times New Roman" w:hAnsi="Times New Roman" w:cs="Times New Roman"/>
          <w:b/>
          <w:bCs/>
          <w:sz w:val="24"/>
          <w:szCs w:val="24"/>
        </w:rPr>
        <w:t xml:space="preserve">Нестопанскисектор </w:t>
      </w:r>
      <w:r>
        <w:rPr>
          <w:rFonts w:ascii="Times New Roman" w:eastAsia="Calibri" w:hAnsi="Times New Roman" w:cs="Times New Roman"/>
          <w:b/>
          <w:sz w:val="24"/>
          <w:szCs w:val="24"/>
          <w:lang w:eastAsia="en-US"/>
        </w:rPr>
        <w:t>(идентифицирани 5 групи</w:t>
      </w:r>
      <w:r>
        <w:rPr>
          <w:rFonts w:ascii="Times New Roman" w:eastAsia="Calibri" w:hAnsi="Times New Roman" w:cs="Times New Roman"/>
          <w:sz w:val="24"/>
          <w:szCs w:val="24"/>
          <w:lang w:eastAsia="en-US"/>
        </w:rPr>
        <w:t xml:space="preserve">): </w:t>
      </w:r>
      <w:r>
        <w:rPr>
          <w:rFonts w:ascii="Times New Roman" w:hAnsi="Times New Roman" w:cs="Times New Roman"/>
          <w:bCs/>
          <w:sz w:val="24"/>
          <w:szCs w:val="24"/>
        </w:rPr>
        <w:t>1. Юридически лица с нестопанска цел, регистрирани по ЗЮЛНЦ, работещи в сферата на местното развитие; 2. Спортни клубове регистрирани по ЗЮЛНЦ</w:t>
      </w:r>
      <w:r>
        <w:rPr>
          <w:rFonts w:ascii="Times New Roman" w:hAnsi="Times New Roman" w:cs="Times New Roman"/>
          <w:sz w:val="24"/>
          <w:szCs w:val="24"/>
        </w:rPr>
        <w:t xml:space="preserve">; 3. Училищни настоятелства, регистрирани по </w:t>
      </w:r>
      <w:r>
        <w:rPr>
          <w:rFonts w:ascii="Times New Roman" w:hAnsi="Times New Roman" w:cs="Times New Roman"/>
          <w:bCs/>
          <w:sz w:val="24"/>
          <w:szCs w:val="24"/>
        </w:rPr>
        <w:t>ЗЮЛНЦ</w:t>
      </w:r>
      <w:r>
        <w:rPr>
          <w:rFonts w:ascii="Times New Roman" w:hAnsi="Times New Roman" w:cs="Times New Roman"/>
          <w:sz w:val="24"/>
          <w:szCs w:val="24"/>
        </w:rPr>
        <w:t xml:space="preserve">; 4. Организации, регистрирани по Закона за читалищата; 5. Местни лидери – физически лица; </w:t>
      </w:r>
    </w:p>
    <w:p w:rsidR="009329C9" w:rsidRDefault="00B5212B">
      <w:pPr>
        <w:spacing w:after="0"/>
        <w:ind w:right="-1"/>
        <w:jc w:val="both"/>
        <w:rPr>
          <w:rFonts w:ascii="Times New Roman" w:hAnsi="Times New Roman" w:cs="Times New Roman"/>
          <w:bCs/>
          <w:sz w:val="24"/>
          <w:szCs w:val="24"/>
        </w:rPr>
      </w:pPr>
      <w:r>
        <w:rPr>
          <w:rFonts w:ascii="Times New Roman" w:eastAsia="Calibri" w:hAnsi="Times New Roman" w:cs="Times New Roman"/>
          <w:b/>
          <w:sz w:val="24"/>
          <w:szCs w:val="24"/>
          <w:lang w:eastAsia="en-US"/>
        </w:rPr>
        <w:t xml:space="preserve">Стопански сектор (идентифицирани 7 групи): </w:t>
      </w:r>
      <w:r>
        <w:rPr>
          <w:rFonts w:ascii="Times New Roman" w:eastAsia="Calibri" w:hAnsi="Times New Roman" w:cs="Times New Roman"/>
          <w:sz w:val="24"/>
          <w:szCs w:val="24"/>
          <w:lang w:eastAsia="en-US"/>
        </w:rPr>
        <w:t xml:space="preserve">1. Земеделски производители </w:t>
      </w:r>
      <w:r>
        <w:rPr>
          <w:rFonts w:ascii="Times New Roman" w:hAnsi="Times New Roman" w:cs="Times New Roman"/>
          <w:bCs/>
          <w:sz w:val="24"/>
          <w:szCs w:val="24"/>
        </w:rPr>
        <w:t xml:space="preserve">– сектор растениевъдство; 2. </w:t>
      </w:r>
      <w:r>
        <w:rPr>
          <w:rFonts w:ascii="Times New Roman" w:eastAsia="Calibri" w:hAnsi="Times New Roman" w:cs="Times New Roman"/>
          <w:sz w:val="24"/>
          <w:szCs w:val="24"/>
          <w:lang w:eastAsia="en-US"/>
        </w:rPr>
        <w:t xml:space="preserve">Земеделски производители </w:t>
      </w:r>
      <w:r>
        <w:rPr>
          <w:rFonts w:ascii="Times New Roman" w:hAnsi="Times New Roman" w:cs="Times New Roman"/>
          <w:bCs/>
          <w:sz w:val="24"/>
          <w:szCs w:val="24"/>
        </w:rPr>
        <w:t>– сектор животновъдство; 3. Юридически лица регистрирани по Закона за кооперациите; 4. Юридически и/или физически лица, микропредприятия, регистрирани по Търговския закон, работещи в сферата на туризма; 5. Юридически лица и физически лица, микропредприятия регистрирани по Търговския закон, работещи в сферата на услугите; 6. Юридически лица и физически лица, микропредприятия регистрирани по Търговския закон, работещи в сферата на производството;  7. Юридически лица и физически лица, микропредприятия регистрирани по Търговския закон – Малки и средни предприятия;</w:t>
      </w:r>
    </w:p>
    <w:p w:rsidR="009329C9" w:rsidRDefault="00B5212B">
      <w:pPr>
        <w:spacing w:after="0"/>
        <w:ind w:right="-1"/>
        <w:jc w:val="both"/>
        <w:rPr>
          <w:rFonts w:ascii="Times New Roman" w:eastAsia="Calibri" w:hAnsi="Times New Roman" w:cs="Times New Roman"/>
          <w:sz w:val="24"/>
          <w:szCs w:val="24"/>
          <w:lang w:eastAsia="en-US"/>
        </w:rPr>
      </w:pPr>
      <w:r>
        <w:rPr>
          <w:rFonts w:ascii="Times New Roman" w:hAnsi="Times New Roman" w:cs="Times New Roman"/>
          <w:b/>
          <w:bCs/>
          <w:sz w:val="24"/>
          <w:szCs w:val="24"/>
        </w:rPr>
        <w:t>Уязвими групи(идентифицирани 3 групи):</w:t>
      </w:r>
      <w:r>
        <w:rPr>
          <w:rFonts w:ascii="Times New Roman" w:hAnsi="Times New Roman" w:cs="Times New Roman"/>
          <w:bCs/>
          <w:sz w:val="24"/>
          <w:szCs w:val="24"/>
        </w:rPr>
        <w:t xml:space="preserve"> 1. Безработни - младежи, хора над 55, трайно безработни; 2. Малцинствени групи – предимно роми; 3. Хора в неравностойно положение, майки с деца, възрастни хора</w:t>
      </w:r>
      <w:r>
        <w:rPr>
          <w:rFonts w:ascii="Times New Roman" w:eastAsia="Calibri" w:hAnsi="Times New Roman" w:cs="Times New Roman"/>
          <w:sz w:val="24"/>
          <w:szCs w:val="24"/>
          <w:lang w:eastAsia="en-US"/>
        </w:rPr>
        <w:t>.</w:t>
      </w:r>
    </w:p>
    <w:p w:rsidR="009329C9" w:rsidRDefault="00B5212B">
      <w:pPr>
        <w:spacing w:after="0"/>
        <w:jc w:val="both"/>
        <w:rPr>
          <w:rFonts w:ascii="Times New Roman" w:hAnsi="Times New Roman" w:cs="Times New Roman"/>
          <w:sz w:val="24"/>
          <w:szCs w:val="24"/>
        </w:rPr>
      </w:pPr>
      <w:r>
        <w:rPr>
          <w:rFonts w:ascii="Times New Roman" w:hAnsi="Times New Roman" w:cs="Times New Roman"/>
          <w:sz w:val="24"/>
          <w:szCs w:val="24"/>
        </w:rPr>
        <w:t xml:space="preserve">В предвидените цели на Стратегията и мерките за реализирането им всички идентифицирани групи са </w:t>
      </w:r>
      <w:r>
        <w:rPr>
          <w:rFonts w:ascii="Times New Roman" w:hAnsi="Times New Roman" w:cs="Times New Roman"/>
          <w:b/>
          <w:sz w:val="24"/>
          <w:szCs w:val="24"/>
        </w:rPr>
        <w:t>обхванати 100%.</w:t>
      </w:r>
      <w:r>
        <w:rPr>
          <w:rFonts w:ascii="Times New Roman" w:hAnsi="Times New Roman" w:cs="Times New Roman"/>
          <w:sz w:val="24"/>
          <w:szCs w:val="24"/>
        </w:rPr>
        <w:t xml:space="preserve"> В проведените срещи и обсъждания са </w:t>
      </w:r>
      <w:r>
        <w:rPr>
          <w:rFonts w:ascii="Times New Roman" w:hAnsi="Times New Roman" w:cs="Times New Roman"/>
          <w:b/>
          <w:sz w:val="24"/>
          <w:szCs w:val="24"/>
        </w:rPr>
        <w:t>обхванати 88% от групите,</w:t>
      </w:r>
      <w:r>
        <w:rPr>
          <w:rFonts w:ascii="Times New Roman" w:hAnsi="Times New Roman" w:cs="Times New Roman"/>
          <w:sz w:val="24"/>
          <w:szCs w:val="24"/>
        </w:rPr>
        <w:t xml:space="preserve"> идентифицирани като заинтересовани. В колективния върховен орган на МИГ „Свиленград Ареал“ от общо 18 идентифицирани заинтересовани страни, членуват 10 или това възлиза на </w:t>
      </w:r>
      <w:r>
        <w:rPr>
          <w:rFonts w:ascii="Times New Roman" w:hAnsi="Times New Roman" w:cs="Times New Roman"/>
          <w:b/>
          <w:sz w:val="24"/>
          <w:szCs w:val="24"/>
        </w:rPr>
        <w:t>55% представителност</w:t>
      </w:r>
      <w:r>
        <w:rPr>
          <w:rFonts w:ascii="Times New Roman" w:hAnsi="Times New Roman" w:cs="Times New Roman"/>
          <w:sz w:val="24"/>
          <w:szCs w:val="24"/>
        </w:rPr>
        <w:t xml:space="preserve">.    </w:t>
      </w:r>
    </w:p>
    <w:p w:rsidR="009329C9" w:rsidRDefault="00B5212B">
      <w:pPr>
        <w:spacing w:after="0"/>
        <w:jc w:val="both"/>
        <w:rPr>
          <w:rFonts w:ascii="Times New Roman" w:hAnsi="Times New Roman" w:cs="Times New Roman"/>
          <w:b/>
          <w:sz w:val="24"/>
          <w:szCs w:val="24"/>
        </w:rPr>
      </w:pPr>
      <w:r>
        <w:rPr>
          <w:rFonts w:ascii="Times New Roman" w:hAnsi="Times New Roman" w:cs="Times New Roman"/>
          <w:b/>
          <w:sz w:val="24"/>
          <w:szCs w:val="24"/>
        </w:rPr>
        <w:t>3.3. Анализ на силните и слабите страни, възможностите и заплахите:</w:t>
      </w:r>
      <w:bookmarkEnd w:id="16"/>
      <w:bookmarkEnd w:id="17"/>
    </w:p>
    <w:tbl>
      <w:tblPr>
        <w:tblStyle w:val="af3"/>
        <w:tblW w:w="10031" w:type="dxa"/>
        <w:tblLook w:val="04A0" w:firstRow="1" w:lastRow="0" w:firstColumn="1" w:lastColumn="0" w:noHBand="0" w:noVBand="1"/>
      </w:tblPr>
      <w:tblGrid>
        <w:gridCol w:w="5211"/>
        <w:gridCol w:w="4820"/>
      </w:tblGrid>
      <w:tr w:rsidR="009329C9">
        <w:tc>
          <w:tcPr>
            <w:tcW w:w="5211" w:type="dxa"/>
          </w:tcPr>
          <w:p w:rsidR="009329C9" w:rsidRDefault="00B5212B">
            <w:pPr>
              <w:pStyle w:val="Default"/>
              <w:spacing w:line="276" w:lineRule="auto"/>
              <w:rPr>
                <w:b/>
                <w:color w:val="auto"/>
              </w:rPr>
            </w:pPr>
            <w:bookmarkStart w:id="18" w:name="_Toc448392282"/>
            <w:bookmarkStart w:id="19" w:name="_Toc449349428"/>
            <w:r>
              <w:rPr>
                <w:b/>
                <w:color w:val="auto"/>
              </w:rPr>
              <w:t>Силни страни</w:t>
            </w:r>
          </w:p>
        </w:tc>
        <w:tc>
          <w:tcPr>
            <w:tcW w:w="4820" w:type="dxa"/>
          </w:tcPr>
          <w:p w:rsidR="009329C9" w:rsidRDefault="00B5212B">
            <w:pPr>
              <w:spacing w:after="0" w:line="240" w:lineRule="auto"/>
              <w:ind w:right="-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Слаби страни</w:t>
            </w:r>
          </w:p>
        </w:tc>
      </w:tr>
      <w:tr w:rsidR="009329C9">
        <w:tc>
          <w:tcPr>
            <w:tcW w:w="5211" w:type="dxa"/>
          </w:tcPr>
          <w:p w:rsidR="009329C9" w:rsidRDefault="00B5212B">
            <w:pPr>
              <w:pStyle w:val="Default"/>
              <w:spacing w:line="274" w:lineRule="auto"/>
              <w:rPr>
                <w:color w:val="auto"/>
              </w:rPr>
            </w:pPr>
            <w:r>
              <w:rPr>
                <w:color w:val="auto"/>
              </w:rPr>
              <w:t>1. Благоприятни климатични, териториални  и почвени условия за развитие на интензивно и многопрофилно  земеделие и биоземеделие с насоченост в зърнени и технически  култури, зеленчукопроизводство и овощарство, вкл. за износ на ранни зеленчуци и млечно животновъдство; Много добри практики и инвестиции в развитието на лозарството и винарството; Традиции на местното население в земеделието;  Висок процент земеделски площи, много висок процент ИЗП; Добри икономически показатели, вкл. и на инвестициите в ДМА в селското и горското стопанство</w:t>
            </w:r>
          </w:p>
          <w:p w:rsidR="009329C9" w:rsidRDefault="00B5212B">
            <w:pPr>
              <w:pStyle w:val="Default"/>
              <w:spacing w:line="274" w:lineRule="auto"/>
              <w:rPr>
                <w:color w:val="auto"/>
              </w:rPr>
            </w:pPr>
            <w:r>
              <w:lastRenderedPageBreak/>
              <w:t>2. Съхранена природна среда с богато биологично разнообразие, над 80% от земите са в Натура 2000; Няма големи промишлени замърсители, районът е екологично чист</w:t>
            </w:r>
          </w:p>
          <w:p w:rsidR="009329C9" w:rsidRDefault="00B5212B">
            <w:pPr>
              <w:pStyle w:val="Default"/>
              <w:spacing w:line="274" w:lineRule="auto"/>
            </w:pPr>
            <w:r>
              <w:t>3. Ключово разположение на общината на границата с Турция и Гърция; Важно място в транспортната инфраструктура на страната и ЕС.</w:t>
            </w:r>
          </w:p>
          <w:p w:rsidR="009329C9" w:rsidRDefault="00B5212B">
            <w:pPr>
              <w:pStyle w:val="Default"/>
              <w:spacing w:line="274" w:lineRule="auto"/>
              <w:rPr>
                <w:color w:val="auto"/>
              </w:rPr>
            </w:pPr>
            <w:r>
              <w:t>4. Многоотраслова структура на икономиката; традиции на МСП в областта на преработващата промишленост - хранително-вкусова, производство на вино, преработка на дървен материал, в  транспорта, търговията, и услугите; Добре развит  развлекателен и хазартен бизнес, привличащ много туристи; Добри практики в туризма, наличие на потенциал за развитие на традиционен и алтернативен туризъм;</w:t>
            </w:r>
          </w:p>
          <w:p w:rsidR="009329C9" w:rsidRDefault="00B5212B">
            <w:pPr>
              <w:pStyle w:val="Default"/>
              <w:spacing w:line="274" w:lineRule="auto"/>
              <w:rPr>
                <w:color w:val="auto"/>
              </w:rPr>
            </w:pPr>
            <w:r>
              <w:t>5. Добре изградена пътна инфраструктура по отношение на републикански и първокласни пътища, както и железопътен транспорт; Добре развита енергийна инфраструктура – електрическа и природен газ; Наличие на потенциал за производство на енергия от ВЕИ; Сравнително добра водоснабдителна и канализационна система, рехабилитирана в последните години със средства по ОП; Наличие на хидромелиоративна мрежа от 96 микроязовира за нуждите на напояването</w:t>
            </w:r>
          </w:p>
          <w:p w:rsidR="009329C9" w:rsidRDefault="00B5212B">
            <w:pPr>
              <w:pStyle w:val="Default"/>
              <w:spacing w:line="274" w:lineRule="auto"/>
              <w:rPr>
                <w:color w:val="auto"/>
              </w:rPr>
            </w:pPr>
            <w:r>
              <w:t>6. Сравнително добре изградена и като капацитет социална инфраструктура – здравеопазване, образование и социални услуги,  вкл. и в областта на политиките за социално включване и борба с бедността – деинституционализация и десегрегация</w:t>
            </w:r>
          </w:p>
          <w:p w:rsidR="009329C9" w:rsidRDefault="00B5212B">
            <w:pPr>
              <w:pStyle w:val="Default"/>
              <w:spacing w:line="274" w:lineRule="auto"/>
              <w:rPr>
                <w:color w:val="auto"/>
              </w:rPr>
            </w:pPr>
            <w:r>
              <w:t>7. Съхранено богато културно-историческо наследство, вкл. паметници с национално значение; Добри практики по опазване, консервация и възстановяването им, както и оползотворяване на туристическия им потенциал; Наличие на традиции, запазващиидентичността на местните общности.</w:t>
            </w:r>
          </w:p>
          <w:p w:rsidR="009329C9" w:rsidRDefault="00B5212B">
            <w:pPr>
              <w:pStyle w:val="Default"/>
              <w:spacing w:line="274" w:lineRule="auto"/>
              <w:rPr>
                <w:color w:val="auto"/>
              </w:rPr>
            </w:pPr>
            <w:r>
              <w:t>8. Относително стабилна демографска среда, налице е необходимият потенциал на свободни човешки ресурси; Ниско ниво на безработица в сравнение със средното за областта; сравнително благоприятна възрастова структура на насе</w:t>
            </w:r>
            <w:r>
              <w:lastRenderedPageBreak/>
              <w:t>лението; Наличие на достатъчно квалифицирана работна сила</w:t>
            </w:r>
          </w:p>
          <w:p w:rsidR="009329C9" w:rsidRDefault="00B5212B">
            <w:pPr>
              <w:pStyle w:val="Default"/>
              <w:spacing w:line="274" w:lineRule="auto"/>
              <w:rPr>
                <w:color w:val="auto"/>
              </w:rPr>
            </w:pPr>
            <w:r>
              <w:t>9. Високо ниво на административен капацитет, високо качество на обслужване на населението; Много добър административен опит в областта на усвояване на средства от структурните фондове на ЕС.</w:t>
            </w:r>
          </w:p>
        </w:tc>
        <w:tc>
          <w:tcPr>
            <w:tcW w:w="4820" w:type="dxa"/>
          </w:tcPr>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lastRenderedPageBreak/>
              <w:t>1. 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2. Недостатъчно използван потенциал на биологичното разнообразие, вкл. и за валоризацията му като обект на туристически </w:t>
            </w:r>
            <w:r>
              <w:rPr>
                <w:rFonts w:ascii="Times New Roman" w:hAnsi="Times New Roman" w:cs="Times New Roman"/>
                <w:sz w:val="24"/>
                <w:szCs w:val="24"/>
              </w:rPr>
              <w:lastRenderedPageBreak/>
              <w:t>интерес; Редица  ограничения в териториалното устройство и използването на природните и поземлени ресурси, наложени от разпоредбите на ЗБР и ЗЗТ</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3. Недостатъчно развита промишленост, особено в областта на преработване на селскостопанската продукция; МСП са със затруднен достъп до финансиране, имат ниска норма на печалба и не създават достатъчен брой работни места; Недостатъчна предприемаческа култура в местната общност; Ниско ниво на външните и чуждите инвестиции, особено в последните години; Нисък дял на иновациите;</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4. Липса на интегрирани туристически продукти; развитие само на определени области от туризма, без да се обхване целия потенциал на територията; Недостатъчно развита пътна и туристическа инфраструктура в малките населени места; Липса на туристически атракции;</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5. Влошено демографско състояние на селата; Висок дял на населението с ниско образование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6. Лошо състояние на пътната инфраструктура между и в малките населени места, както и на голяма част от 3 и 4 класните пътища, които  не отговарят на европейските стандарти за сигурност;  липса на канализация в селата, битово замърсяване на въздуха, почвите и водите поради отопление с твърдо гориво, наличие на септични ями, заустване в реките или директно в деретата на отпадъчните води; наличие на нерегламентирани сметища и липса на пречиствателни съоръжения в повечето села от общината; </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7. Затруднено здравно обслужване в селата, където населението е застаряващо и с лош здравен, и социален статус; Липса на висши учебни заведения и научни институции в </w:t>
            </w:r>
            <w:r>
              <w:rPr>
                <w:rFonts w:ascii="Times New Roman" w:hAnsi="Times New Roman" w:cs="Times New Roman"/>
                <w:sz w:val="24"/>
                <w:szCs w:val="24"/>
              </w:rPr>
              <w:lastRenderedPageBreak/>
              <w:t>общината, както и в областта, недостатъчно специализирани учебни заведения; Недостатъчен капацитет на социалните услуги извън институциите по отношение на малките население места.</w:t>
            </w:r>
          </w:p>
          <w:p w:rsidR="009329C9" w:rsidRDefault="009329C9">
            <w:pPr>
              <w:spacing w:after="0" w:line="274" w:lineRule="auto"/>
              <w:ind w:right="-1"/>
              <w:jc w:val="both"/>
              <w:rPr>
                <w:rFonts w:ascii="Times New Roman" w:eastAsia="Times New Roman" w:hAnsi="Times New Roman" w:cs="Times New Roman"/>
              </w:rPr>
            </w:pPr>
          </w:p>
        </w:tc>
      </w:tr>
      <w:tr w:rsidR="009329C9">
        <w:tc>
          <w:tcPr>
            <w:tcW w:w="5211" w:type="dxa"/>
          </w:tcPr>
          <w:p w:rsidR="009329C9" w:rsidRDefault="00B5212B">
            <w:pPr>
              <w:pStyle w:val="Default"/>
              <w:spacing w:line="274" w:lineRule="auto"/>
              <w:rPr>
                <w:b/>
                <w:color w:val="auto"/>
              </w:rPr>
            </w:pPr>
            <w:r>
              <w:rPr>
                <w:b/>
                <w:color w:val="auto"/>
              </w:rPr>
              <w:lastRenderedPageBreak/>
              <w:t>Възможности</w:t>
            </w:r>
          </w:p>
        </w:tc>
        <w:tc>
          <w:tcPr>
            <w:tcW w:w="4820" w:type="dxa"/>
          </w:tcPr>
          <w:p w:rsidR="009329C9" w:rsidRDefault="00B5212B">
            <w:pPr>
              <w:spacing w:after="0" w:line="274" w:lineRule="auto"/>
              <w:rPr>
                <w:rFonts w:ascii="Times New Roman" w:hAnsi="Times New Roman" w:cs="Times New Roman"/>
                <w:b/>
                <w:sz w:val="24"/>
                <w:szCs w:val="24"/>
              </w:rPr>
            </w:pPr>
            <w:r>
              <w:rPr>
                <w:rFonts w:ascii="Times New Roman" w:hAnsi="Times New Roman" w:cs="Times New Roman"/>
                <w:b/>
                <w:sz w:val="24"/>
                <w:szCs w:val="24"/>
              </w:rPr>
              <w:t>Заплахи</w:t>
            </w:r>
          </w:p>
        </w:tc>
      </w:tr>
      <w:tr w:rsidR="009329C9">
        <w:tc>
          <w:tcPr>
            <w:tcW w:w="5211" w:type="dxa"/>
          </w:tcPr>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1. Развитие на земеделието чрез използване подкрепата на фондове на ЕС и най-вече от ПРСР 2014-2020; По нататъшното развитие на селското стопанство в насока  уедряване, механизация, и модернизация на стопанствата; Нови политики за насърчаване на малките земеделски стопанства и късите вериги на доставка, повишаване на тяхната конкурентоспособност; По-нататъшно развитие на лозарството и привличане на още инвестиции за този отрасъл</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2. Диверсификация в неземеделски дейности и изграждане на затворени цикли в няколко направления: селскостопанска продукция/хранително вкусова преработваща промишленост; жито-мелничарство-хранително-вкусова промишленост; фуражна база-животновъдство-месопреработване; отглеждане на лозя-винопроизводство; Подобряване на икономическото състояние на територията чрез насърчаване на местните МСП;</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3. Валоризация на екологичната природна среда в насока развитие на туризма, както и чрез развиване на био-земеделието; усвояване на средства по ОПОС;</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4. Развитие на туризма като структуроопределящ  отрасъл и на туристическата инфраструктура; Развиване на алтернативен туризъм – еко-, ловен, лозаро-винарски, приключенски, религиозен и особено на селския туризъм, който ще създаде нови работни места в селата и ще задържи хората в тях; Създаване на интегриран туристически продукт – културни забележителности и природа; Създаване на културни маршрути;</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5. Подобряване на местната между- и вътреселищна инфраструктура – пътища и канализация; Повишаване на енергийната ефективност и по</w:t>
            </w:r>
            <w:r>
              <w:rPr>
                <w:rFonts w:ascii="Times New Roman" w:hAnsi="Times New Roman" w:cs="Times New Roman"/>
                <w:sz w:val="24"/>
                <w:szCs w:val="24"/>
              </w:rPr>
              <w:lastRenderedPageBreak/>
              <w:t>литики за енерго спестяване, вкл. и продължаване на газификацията и изграждане на ВЕИ; Подобряване на достъпа до интернет, както и разширяване на интернет  базираните услуги на администрацията и електронно управление ;</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6. Подобряване на социалната инфраструктура за селата в областта на здравеопазването, образованието и социалните услуги чрез разширяване на обхвата и капацитета им; </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7. По-нататъшно развитие на политиките за деинституционализация и десегрегация чрез включване на застрашени общности в проекти и използване на програми за заетостта; </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8. Създаване на нови работни места, развитие на сектора на образованието и професионалната квалификация, намаляване на социалната изолация на определени групи, особено на ромската общност и възрастните хора;</w:t>
            </w:r>
          </w:p>
        </w:tc>
        <w:tc>
          <w:tcPr>
            <w:tcW w:w="4820" w:type="dxa"/>
          </w:tcPr>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lastRenderedPageBreak/>
              <w:t>1. Продължаващ ефект на глобалната финансова и икономическа криза, особено върху развитието на дребния  и средния бизнес; Ограничени финансови ресурси на местните власти; Слаба децентрализация на местните финанси; Финансова невъзможност  на общинските бюджети да осигуряват необходимото съфинансиране в процеса на усвояване на европейски фондове; Липса на достатъчно външни финансови източници, вкл. и на чужди инвестиции; Проблеми със спиране или забавяне на финансирането от ЕСИФ;</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2. Липса на достатъчно пазари за селскостопанска продукция на територията; Висока конкуренция и по-ниски цени на вносната  продукция; Произведената животинска продукция няма стоков характер; Свръхпроизводство на една култура;</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3. Ограничения за дребния бизнес и МСП, който е основа на местната икономика, вследствие на лицензионни режими, държавна бюрокрация и лоша данъчна политика; Завишени изисквания към дребния и средния бизнес от ЕС; Недостатъчно изграден капацитет в частния сектор и ниска степен на усвояване на ресурси по линия на Европейските фондове; </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4. Задълбочаване на негативните демографски процеси и миграцията в рамките на страната и в чужбина; По-добри възможности за реализация на младите хора извън общината; Намаляване на населението и съкращаване на работната сила и възпроизводствения потенциал; Обезлюдяване на селата; </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5. Увеличаване броя на здравно неосигуре</w:t>
            </w:r>
            <w:r>
              <w:rPr>
                <w:rFonts w:ascii="Times New Roman" w:hAnsi="Times New Roman" w:cs="Times New Roman"/>
                <w:sz w:val="24"/>
                <w:szCs w:val="24"/>
              </w:rPr>
              <w:lastRenderedPageBreak/>
              <w:t>ните лица и на младежите, които отпадат от училище в селата на общината; Продължаваща изолация на ромската общност - повишена заболеваемост, липса на мотивация за работа и превръщането на социалното подпомагане е начин на живот;</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6. Негативно влияние на бежански кризи; Липса на адекватна държавна политика за граничните райони;</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7. Рискове, причинени от промените в климата, вкл. от високи щети при природни бедствия и аварии. Рискове от продължаващото битово замърсяване поради употребата на твърди горива и замърсяване на отпадните води заради липсата на канализация и пречиствателни станции.</w:t>
            </w:r>
          </w:p>
          <w:p w:rsidR="009329C9" w:rsidRDefault="009329C9">
            <w:pPr>
              <w:spacing w:after="0" w:line="274" w:lineRule="auto"/>
              <w:rPr>
                <w:rFonts w:ascii="Times New Roman" w:hAnsi="Times New Roman" w:cs="Times New Roman"/>
                <w:sz w:val="24"/>
                <w:szCs w:val="24"/>
              </w:rPr>
            </w:pPr>
          </w:p>
        </w:tc>
      </w:tr>
    </w:tbl>
    <w:p w:rsidR="009329C9" w:rsidRDefault="00B5212B">
      <w:pPr>
        <w:pStyle w:val="2"/>
        <w:tabs>
          <w:tab w:val="left" w:pos="426"/>
        </w:tabs>
        <w:spacing w:before="0"/>
        <w:ind w:right="-1"/>
        <w:jc w:val="both"/>
        <w:rPr>
          <w:rFonts w:ascii="Times New Roman" w:hAnsi="Times New Roman" w:cs="Times New Roman"/>
          <w:b/>
          <w:color w:val="auto"/>
          <w:sz w:val="24"/>
          <w:szCs w:val="24"/>
          <w:highlight w:val="yellow"/>
        </w:rPr>
      </w:pPr>
      <w:r>
        <w:rPr>
          <w:rFonts w:ascii="Times New Roman" w:hAnsi="Times New Roman" w:cs="Times New Roman"/>
          <w:b/>
          <w:color w:val="auto"/>
          <w:sz w:val="24"/>
          <w:szCs w:val="24"/>
        </w:rPr>
        <w:lastRenderedPageBreak/>
        <w:t>3.4.Потребности на уязвимите и малцинствени групи</w:t>
      </w:r>
      <w:bookmarkEnd w:id="18"/>
      <w:bookmarkEnd w:id="19"/>
      <w:r>
        <w:rPr>
          <w:rFonts w:ascii="Times New Roman" w:hAnsi="Times New Roman" w:cs="Times New Roman"/>
          <w:b/>
          <w:color w:val="auto"/>
          <w:sz w:val="24"/>
          <w:szCs w:val="24"/>
        </w:rPr>
        <w:t>:</w:t>
      </w:r>
    </w:p>
    <w:p w:rsidR="009329C9" w:rsidRDefault="00B5212B">
      <w:pPr>
        <w:spacing w:after="0"/>
        <w:ind w:right="-1"/>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анализа на социално-демографската и икономическа картина на територията на МИГ „Свиленград Ареал” се очертават някои уязвимигрупи и малцинствени общности. Разрешаването на част от проблемите им е включено в целите на Стратегията за ВОМР.</w:t>
      </w:r>
    </w:p>
    <w:p w:rsidR="009329C9" w:rsidRDefault="00B5212B">
      <w:pPr>
        <w:pStyle w:val="af4"/>
        <w:numPr>
          <w:ilvl w:val="0"/>
          <w:numId w:val="2"/>
        </w:numPr>
        <w:tabs>
          <w:tab w:val="left" w:pos="142"/>
          <w:tab w:val="left" w:pos="426"/>
        </w:tabs>
        <w:spacing w:after="0"/>
        <w:ind w:left="0" w:right="-1" w:firstLine="142"/>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Безработни лица</w:t>
      </w:r>
      <w:r>
        <w:rPr>
          <w:rFonts w:ascii="Times New Roman" w:eastAsia="Calibri" w:hAnsi="Times New Roman" w:cs="Times New Roman"/>
          <w:sz w:val="24"/>
          <w:szCs w:val="24"/>
          <w:lang w:eastAsia="en-US"/>
        </w:rPr>
        <w:t xml:space="preserve"> с по-ниска конкурентоспособност на пазара на труда. Това са: -безработни младежи, завършили образованието си; - младежи, неактивни на пазара на труда; - безработни без квалификация, особено от етнически общности; - безработни в предпенсионна възраст. </w:t>
      </w:r>
      <w:r>
        <w:rPr>
          <w:rFonts w:ascii="Times New Roman" w:hAnsi="Times New Roman" w:cs="Times New Roman"/>
          <w:sz w:val="24"/>
          <w:szCs w:val="24"/>
        </w:rPr>
        <w:t>Разпределението на безработните по възраст се отличава с нарастване на броя им с увеличаване на възрастта. С най-голям дял са възрастовите групи над 55 г., следвани от тези до 54 г. и до 49 г.. Расте и броят на безработните до 29 годишна възраст - т.нар. „младежка безработица“ – 21,8% от всички безработни, показател по-висок от този за областта (18%). Освен тях, като най-уязвими на пазара на труда са лицата с ниско образование, ниска квалификация или без квалификация. Структурата на безработните по степен на образование също е негативна: най-голям е относителният дял на безработните без квалификация (33%) и с основно и по-ниско образование – (25%), като техният брой и относителен дял също се увеличават. Тенденцията към нарастване прави тази група една от най-рисковите и най-застрашените категории лица от социално изключване. Потребностите на тази група са най-вече от осигуряване на работа, затова в Стратегията са предвидени мерки по ОП РЧР.</w:t>
      </w:r>
    </w:p>
    <w:p w:rsidR="009329C9" w:rsidRDefault="00B5212B">
      <w:pPr>
        <w:pStyle w:val="af4"/>
        <w:numPr>
          <w:ilvl w:val="0"/>
          <w:numId w:val="2"/>
        </w:numPr>
        <w:tabs>
          <w:tab w:val="left" w:pos="142"/>
          <w:tab w:val="left" w:pos="426"/>
        </w:tabs>
        <w:spacing w:after="0"/>
        <w:ind w:left="0" w:firstLine="142"/>
        <w:jc w:val="both"/>
        <w:rPr>
          <w:rFonts w:ascii="Times New Roman" w:eastAsia="Calibri" w:hAnsi="Times New Roman" w:cs="Times New Roman"/>
          <w:sz w:val="24"/>
          <w:szCs w:val="24"/>
          <w:lang w:eastAsia="en-US"/>
        </w:rPr>
      </w:pPr>
      <w:r>
        <w:rPr>
          <w:rFonts w:ascii="Times New Roman" w:hAnsi="Times New Roman" w:cs="Times New Roman"/>
          <w:b/>
          <w:bCs/>
          <w:sz w:val="24"/>
          <w:szCs w:val="24"/>
        </w:rPr>
        <w:t xml:space="preserve">Регистрираните продължително безработни лица - </w:t>
      </w:r>
      <w:r>
        <w:rPr>
          <w:rFonts w:ascii="Times New Roman" w:hAnsi="Times New Roman" w:cs="Times New Roman"/>
          <w:sz w:val="24"/>
          <w:szCs w:val="24"/>
        </w:rPr>
        <w:t>специфична група в неравностойно положение, за която е характерна трайната загуба на трудови навици и десоциализацията</w:t>
      </w:r>
      <w:r>
        <w:rPr>
          <w:rFonts w:ascii="Times New Roman" w:eastAsia="Calibri" w:hAnsi="Times New Roman" w:cs="Times New Roman"/>
          <w:sz w:val="24"/>
          <w:szCs w:val="24"/>
          <w:lang w:eastAsia="en-US"/>
        </w:rPr>
        <w:t>. Регистрираните продължително безработни са 23,2% от всички регистрирани - дял по-нисък от този за областта. Спрямо предходни години средномесечният им брой намалява, което обаче до голяма степен се дължи на процента обхванати от програмите за субсидирана заетост, но относителният им дял продължава да бъде висок. За тях също са предвидени мерки по ОП РЧР, тъй като потребностите им също са най-вече от осигуряване на заетост и доходи.</w:t>
      </w:r>
    </w:p>
    <w:p w:rsidR="009329C9" w:rsidRDefault="00B5212B">
      <w:pPr>
        <w:pStyle w:val="af4"/>
        <w:numPr>
          <w:ilvl w:val="0"/>
          <w:numId w:val="2"/>
        </w:numPr>
        <w:tabs>
          <w:tab w:val="left" w:pos="142"/>
          <w:tab w:val="left" w:pos="426"/>
        </w:tabs>
        <w:spacing w:after="0"/>
        <w:ind w:left="0" w:firstLine="142"/>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Етнически общности със специален фокус към ромите</w:t>
      </w:r>
      <w:r>
        <w:rPr>
          <w:rFonts w:ascii="Times New Roman" w:eastAsia="Calibri" w:hAnsi="Times New Roman" w:cs="Times New Roman"/>
          <w:sz w:val="24"/>
          <w:szCs w:val="24"/>
          <w:lang w:eastAsia="en-US"/>
        </w:rPr>
        <w:t>. Ромската общност на територията е втора по численост след българската. В ромските квартали са налице различни фак</w:t>
      </w:r>
      <w:r>
        <w:rPr>
          <w:rFonts w:ascii="Times New Roman" w:eastAsia="Calibri" w:hAnsi="Times New Roman" w:cs="Times New Roman"/>
          <w:sz w:val="24"/>
          <w:szCs w:val="24"/>
          <w:lang w:eastAsia="en-US"/>
        </w:rPr>
        <w:lastRenderedPageBreak/>
        <w:t xml:space="preserve">тори, пораждащи бедността – ниско образование и квалификация, трайна безработица и липса на трудови навици, лоши битови условия. Допълнителен фактор, затрудняващ развитието е изолираността на самото гето. Обособените ромски квартали са районите с най-голям относителен дял на непълнолетни майки, деца, настанени в институции, деца в риск за отпадане от училище.  </w:t>
      </w:r>
      <w:r>
        <w:rPr>
          <w:rFonts w:ascii="Times New Roman" w:hAnsi="Times New Roman" w:cs="Times New Roman"/>
          <w:sz w:val="24"/>
          <w:szCs w:val="24"/>
        </w:rPr>
        <w:t xml:space="preserve">В резултат на значително по-високата раждаемост, ромските деца и младежи заемат все по-голям относителен дял в ниските възрастови групи. </w:t>
      </w:r>
      <w:r>
        <w:rPr>
          <w:rFonts w:ascii="Times New Roman" w:eastAsia="Calibri" w:hAnsi="Times New Roman" w:cs="Times New Roman"/>
          <w:sz w:val="24"/>
          <w:szCs w:val="24"/>
          <w:lang w:eastAsia="en-US"/>
        </w:rPr>
        <w:t>На територията на община Свиленград действа „План за изпълнение на Националната стратегия на РБ за интегриране на ромите 2012-2020“. Проблемите и потребностите на тази група са свързани най-вече с липсата на образование и квалификация, както и с ранното отпадане на децата от училище. Затова за тях са предвидени мерки по ОПНОИР.</w:t>
      </w:r>
    </w:p>
    <w:p w:rsidR="009329C9" w:rsidRDefault="00B5212B">
      <w:pPr>
        <w:pStyle w:val="af4"/>
        <w:numPr>
          <w:ilvl w:val="0"/>
          <w:numId w:val="2"/>
        </w:numPr>
        <w:tabs>
          <w:tab w:val="left" w:pos="142"/>
          <w:tab w:val="left" w:pos="426"/>
        </w:tabs>
        <w:spacing w:after="0"/>
        <w:ind w:left="0" w:firstLine="142"/>
        <w:jc w:val="both"/>
        <w:rPr>
          <w:rFonts w:ascii="Times New Roman" w:eastAsia="Calibri" w:hAnsi="Times New Roman" w:cs="Times New Roman"/>
          <w:sz w:val="24"/>
          <w:szCs w:val="24"/>
          <w:lang w:eastAsia="en-US"/>
        </w:rPr>
      </w:pPr>
      <w:r>
        <w:rPr>
          <w:rFonts w:ascii="Times New Roman" w:hAnsi="Times New Roman" w:cs="Times New Roman"/>
          <w:b/>
          <w:bCs/>
          <w:sz w:val="24"/>
          <w:szCs w:val="24"/>
        </w:rPr>
        <w:t>Други рискови група са: хора с увреждания, самотни майки, самотно живеещи възрастни хора, особено в селата, социално слаби,</w:t>
      </w:r>
      <w:r>
        <w:rPr>
          <w:rFonts w:ascii="Times New Roman" w:hAnsi="Times New Roman" w:cs="Times New Roman"/>
          <w:bCs/>
          <w:sz w:val="24"/>
          <w:szCs w:val="24"/>
        </w:rPr>
        <w:t xml:space="preserve"> чиито потребости и нужди са очертани като проблем за решаване в целите и приоритетите на стратегията.</w:t>
      </w:r>
    </w:p>
    <w:p w:rsidR="009329C9" w:rsidRDefault="00B5212B">
      <w:pPr>
        <w:tabs>
          <w:tab w:val="left" w:pos="0"/>
          <w:tab w:val="left" w:pos="284"/>
        </w:tabs>
        <w:spacing w:after="0"/>
        <w:ind w:right="-1"/>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решаване на проблемите на рисковите групи – бедност, безработица и липса на квалификция, особено сред ромите, ще бъдат използвани мерките на ОП РЧР и на ОПНОИР. По ПРСР, ОПОС и ОПИК, където е възможно, ще бъде давано предимство на проекти създаващи нови работни места, подобряващи достъпността на средата, повишаващи качеството на живот в обичайна среда, а приоритет ще се дава на дейности, които осигуряват заетост и услуги за хора в неравностойно положение и рисковите групи.Ще бъдат предприети действия в посока на: наваксване на липсата на квалификация и образование; подкрепа   на   родители   в   случаите   на   трайна   безработица;насърчаване на самостоятелната заетост и предприемачеството; предоставяне на равен достъп до различните обществени служби по заетостта, вкл. за ромите, търсещи работа, както и наемането им в общински фирми; включване на групите в неравностойно положение в пазара на труда; изграждане на родителски капацитет и увереност; включване на децата от ранна възраст в образователната система и мотивация за задържане в нея;  директна работа в общността за подкрепа на семействата в неравностойно положение и за подпомагане на семейството при реинтеграция на деца, настанени в институции, както и превенция на изоставянето; изграждане  на  механизъм  на  междусекторно  партньорство  между  институциите  за използване на техните ресурси в подкрепа на семействата при преодоляване на бедността и социалната изолация.</w:t>
      </w:r>
    </w:p>
    <w:p w:rsidR="009329C9" w:rsidRDefault="00B5212B">
      <w:pPr>
        <w:tabs>
          <w:tab w:val="left" w:pos="0"/>
          <w:tab w:val="left" w:pos="284"/>
        </w:tabs>
        <w:spacing w:after="0"/>
        <w:ind w:right="-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Екипът на МИГ и всички експерти ще следват принципа на равните възможности. Информацията за работата на МИГ и потенциалът за получаване на финансиране по всички ОПтрябва да достига до всички членове на местната общност. </w:t>
      </w:r>
      <w:bookmarkStart w:id="20" w:name="_Toc448392283"/>
      <w:bookmarkStart w:id="21" w:name="_Toc449349429"/>
      <w:r>
        <w:rPr>
          <w:rFonts w:ascii="Times New Roman" w:eastAsia="Times New Roman" w:hAnsi="Times New Roman" w:cs="Times New Roman"/>
          <w:sz w:val="24"/>
          <w:szCs w:val="24"/>
        </w:rPr>
        <w:t>Екипът ще предоставя консултации и помощ за всички потенциални бенефициенти във всички населени места.</w:t>
      </w:r>
    </w:p>
    <w:p w:rsidR="009329C9" w:rsidRDefault="009329C9">
      <w:pPr>
        <w:tabs>
          <w:tab w:val="left" w:pos="0"/>
          <w:tab w:val="left" w:pos="284"/>
        </w:tabs>
        <w:spacing w:after="0"/>
        <w:ind w:right="-1"/>
        <w:contextualSpacing/>
        <w:jc w:val="both"/>
        <w:rPr>
          <w:rFonts w:ascii="Times New Roman" w:eastAsia="Calibri" w:hAnsi="Times New Roman" w:cs="Times New Roman"/>
          <w:sz w:val="24"/>
          <w:szCs w:val="24"/>
          <w:lang w:eastAsia="en-US"/>
        </w:rPr>
      </w:pPr>
    </w:p>
    <w:p w:rsidR="009329C9" w:rsidRDefault="00B5212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9329C9" w:rsidRDefault="00B5212B">
      <w:pPr>
        <w:pStyle w:val="1"/>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bCs w:val="0"/>
          <w:color w:val="auto"/>
          <w:sz w:val="24"/>
          <w:szCs w:val="24"/>
        </w:rPr>
      </w:pPr>
      <w:r>
        <w:rPr>
          <w:rFonts w:ascii="Times New Roman" w:hAnsi="Times New Roman" w:cs="Times New Roman"/>
          <w:color w:val="auto"/>
          <w:sz w:val="24"/>
          <w:szCs w:val="24"/>
        </w:rPr>
        <w:lastRenderedPageBreak/>
        <w:t>4. Цели на стратегията:</w:t>
      </w:r>
      <w:bookmarkEnd w:id="20"/>
      <w:bookmarkEnd w:id="21"/>
    </w:p>
    <w:p w:rsidR="009329C9" w:rsidRDefault="00B5212B">
      <w:pPr>
        <w:pStyle w:val="2"/>
        <w:spacing w:before="0"/>
        <w:jc w:val="both"/>
        <w:rPr>
          <w:rFonts w:ascii="Times New Roman" w:hAnsi="Times New Roman" w:cs="Times New Roman"/>
          <w:b/>
          <w:color w:val="auto"/>
          <w:sz w:val="24"/>
          <w:szCs w:val="24"/>
        </w:rPr>
      </w:pPr>
      <w:bookmarkStart w:id="22" w:name="_Toc449349430"/>
      <w:bookmarkStart w:id="23" w:name="_Toc448392284"/>
      <w:r>
        <w:rPr>
          <w:rFonts w:ascii="Times New Roman" w:hAnsi="Times New Roman" w:cs="Times New Roman"/>
          <w:b/>
          <w:color w:val="auto"/>
          <w:sz w:val="24"/>
          <w:szCs w:val="24"/>
        </w:rPr>
        <w:t>4.1. Цели на стратегията и приоритети за развитие на територията:</w:t>
      </w:r>
      <w:bookmarkEnd w:id="22"/>
      <w:bookmarkEnd w:id="23"/>
    </w:p>
    <w:p w:rsidR="009329C9" w:rsidRDefault="00B5212B">
      <w:pPr>
        <w:spacing w:after="0"/>
        <w:rPr>
          <w:rFonts w:ascii="Times New Roman" w:eastAsia="Calibri" w:hAnsi="Times New Roman" w:cs="Times New Roman"/>
          <w:sz w:val="24"/>
          <w:szCs w:val="24"/>
          <w:lang w:eastAsia="en-US"/>
        </w:rPr>
      </w:pPr>
      <w:bookmarkStart w:id="24" w:name="_Toc448392285"/>
      <w:bookmarkStart w:id="25" w:name="_Toc449349431"/>
      <w:r>
        <w:rPr>
          <w:rFonts w:ascii="Times New Roman" w:eastAsia="Calibri" w:hAnsi="Times New Roman" w:cs="Times New Roman"/>
          <w:b/>
          <w:sz w:val="24"/>
          <w:szCs w:val="24"/>
          <w:lang w:eastAsia="en-US"/>
        </w:rPr>
        <w:t xml:space="preserve">Цел и мисия: </w:t>
      </w:r>
      <w:r>
        <w:rPr>
          <w:rFonts w:ascii="Times New Roman" w:eastAsia="Calibri" w:hAnsi="Times New Roman" w:cs="Times New Roman"/>
          <w:sz w:val="24"/>
          <w:szCs w:val="24"/>
          <w:lang w:eastAsia="en-US"/>
        </w:rPr>
        <w:t>Устойчив растеж на цялата територия на МИГ „Свиленград Ареал“ чрез подобряване конкурентостта на селското стопанство и на малките и средни предприятия, повишаване на ефективността на  местната икономика, увеличаване на заетостта и подобряване условията за живот, съхраняване на културния потенциал и подобряване на околната среда.</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b/>
          <w:sz w:val="24"/>
          <w:szCs w:val="24"/>
          <w:u w:val="single"/>
          <w:lang w:eastAsia="en-US"/>
        </w:rPr>
        <w:t>Приоритет 1</w:t>
      </w:r>
      <w:r>
        <w:rPr>
          <w:rFonts w:ascii="Times New Roman" w:eastAsia="Calibri" w:hAnsi="Times New Roman"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9329C9" w:rsidRDefault="00B5212B">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Приоритет 2</w:t>
      </w:r>
      <w:r>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Pr>
          <w:rFonts w:ascii="Times New Roman" w:eastAsia="Calibri" w:hAnsi="Times New Roman" w:cs="Times New Roman"/>
          <w:sz w:val="24"/>
          <w:szCs w:val="24"/>
          <w:lang w:eastAsia="en-US"/>
        </w:rPr>
        <w:t>подобряване на основната и на социалната инфраструктура,</w:t>
      </w:r>
      <w:r>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b/>
          <w:sz w:val="24"/>
          <w:szCs w:val="24"/>
          <w:u w:val="single"/>
        </w:rPr>
        <w:t>Приоритет 3</w:t>
      </w:r>
      <w:r>
        <w:rPr>
          <w:rFonts w:ascii="Times New Roman" w:eastAsia="Calibri" w:hAnsi="Times New Roman" w:cs="Times New Roman"/>
          <w:sz w:val="24"/>
          <w:szCs w:val="24"/>
          <w:lang w:eastAsia="en-US"/>
        </w:rPr>
        <w:t>Подобряване на социалната и образователна среда на територията, чрез подпомагане създаването на заетост, подобряване на местния пазар на труда и реализация на мерки за  активно социално приобщаване.</w:t>
      </w:r>
    </w:p>
    <w:p w:rsidR="009329C9" w:rsidRDefault="00B5212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u w:val="single"/>
        </w:rPr>
        <w:t>Приоритет 4</w:t>
      </w:r>
      <w:r>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w:t>
      </w:r>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4.2. Специфични цели:</w:t>
      </w:r>
      <w:bookmarkEnd w:id="24"/>
      <w:bookmarkEnd w:id="25"/>
    </w:p>
    <w:p w:rsidR="009329C9" w:rsidRDefault="00B5212B">
      <w:pPr>
        <w:spacing w:after="0"/>
        <w:rPr>
          <w:rFonts w:ascii="Times New Roman" w:eastAsia="Calibri" w:hAnsi="Times New Roman" w:cs="Times New Roman"/>
          <w:b/>
          <w:sz w:val="28"/>
          <w:szCs w:val="28"/>
          <w:lang w:eastAsia="en-US"/>
        </w:rPr>
      </w:pPr>
      <w:bookmarkStart w:id="26" w:name="_Toc448392286"/>
      <w:r>
        <w:rPr>
          <w:rFonts w:ascii="Times New Roman" w:eastAsia="Calibri" w:hAnsi="Times New Roman" w:cs="Times New Roman"/>
          <w:b/>
          <w:sz w:val="24"/>
          <w:szCs w:val="24"/>
          <w:u w:val="single"/>
          <w:lang w:eastAsia="en-US"/>
        </w:rPr>
        <w:t>Приоритет 1</w:t>
      </w:r>
      <w:r>
        <w:rPr>
          <w:rFonts w:ascii="Times New Roman" w:eastAsia="Calibri" w:hAnsi="Times New Roman"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9329C9" w:rsidRDefault="00B5212B">
      <w:pPr>
        <w:spacing w:after="0"/>
        <w:rPr>
          <w:rFonts w:ascii="Times New Roman" w:eastAsia="Calibri" w:hAnsi="Times New Roman" w:cs="Times New Roman"/>
          <w:sz w:val="24"/>
          <w:lang w:eastAsia="en-US"/>
        </w:rPr>
      </w:pPr>
      <w:r>
        <w:rPr>
          <w:rFonts w:ascii="Times New Roman" w:eastAsia="Calibri" w:hAnsi="Times New Roman" w:cs="Times New Roman"/>
          <w:b/>
          <w:sz w:val="24"/>
          <w:szCs w:val="24"/>
          <w:lang w:eastAsia="en-US"/>
        </w:rPr>
        <w:t>Специфична цел 1</w:t>
      </w:r>
      <w:r>
        <w:rPr>
          <w:rFonts w:ascii="Times New Roman" w:eastAsia="Calibri" w:hAnsi="Times New Roman" w:cs="Times New Roman"/>
          <w:sz w:val="24"/>
          <w:szCs w:val="24"/>
          <w:lang w:eastAsia="en-US"/>
        </w:rPr>
        <w:t xml:space="preserve"> - </w:t>
      </w:r>
      <w:r>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Тази цел ще бъде постигната чрез инвестиции в модернизация и механизация, пряко свързани с намаляване на производствените разходи и повишаване производителността на труда в земеделските стопанства. Също така чрез дейности за съхранение и преработка на земеделската продукция с цел запазване нейното качество. За постигане на тази цел, помощта ще бъде насочена към подобряване икономическото състояние на земеделския сектор на територията на МИГ.  </w:t>
      </w:r>
      <w:r>
        <w:rPr>
          <w:rFonts w:ascii="Times New Roman" w:eastAsia="Times New Roman" w:hAnsi="Times New Roman" w:cs="Times New Roman"/>
          <w:b/>
          <w:sz w:val="24"/>
          <w:szCs w:val="24"/>
        </w:rPr>
        <w:t xml:space="preserve">Мярка 4.1 „Инвестиции в земеделски стопанства“ от ПРСР </w:t>
      </w:r>
      <w:r>
        <w:rPr>
          <w:rFonts w:ascii="Times New Roman" w:eastAsia="Times New Roman" w:hAnsi="Times New Roman" w:cs="Times New Roman"/>
          <w:sz w:val="24"/>
          <w:szCs w:val="24"/>
        </w:rPr>
        <w:t>е основното средство за постигането на тази цел.</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2</w:t>
      </w:r>
      <w:r>
        <w:rPr>
          <w:rFonts w:ascii="Times New Roman" w:eastAsia="Times New Roman" w:hAnsi="Times New Roman" w:cs="Times New Roman"/>
          <w:sz w:val="24"/>
          <w:szCs w:val="24"/>
        </w:rPr>
        <w:t xml:space="preserve">  - Насърчаване на развитието и икономическата ефективност </w:t>
      </w:r>
      <w:r>
        <w:rPr>
          <w:rFonts w:ascii="Times New Roman" w:eastAsia="Calibri" w:hAnsi="Times New Roman" w:cs="Times New Roman"/>
          <w:sz w:val="24"/>
          <w:szCs w:val="24"/>
          <w:lang w:eastAsia="en-US"/>
        </w:rPr>
        <w:t>на предприятия от хранително-преработвателната промишленост.</w:t>
      </w:r>
    </w:p>
    <w:p w:rsidR="009329C9" w:rsidRDefault="00B5212B">
      <w:pPr>
        <w:spacing w:after="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Тази цел ще се реализира чрез инвестиции в материални и/или нематериални активи, подобряващи цялостната дейност на предприятията. Подкрепа се дава за инсталиране на нови машини и оборудване за оптимизиране на производствения процес и маркетинга, както и за инвестиции в активи за съхранение, преработка, пакетиране, охлаждане, замразяване и сушене с цел запазване качеството на продукцията.В подкрепа изпълнението на тази цел ще бъде използвана мярка </w:t>
      </w:r>
      <w:r>
        <w:rPr>
          <w:rFonts w:ascii="Times New Roman" w:eastAsia="Times New Roman" w:hAnsi="Times New Roman" w:cs="Times New Roman"/>
          <w:b/>
          <w:sz w:val="24"/>
          <w:szCs w:val="24"/>
        </w:rPr>
        <w:t>4.2 „Инвестиции в преработка/маркетинг на селскостопански продукти“ от ПРСР</w:t>
      </w:r>
    </w:p>
    <w:p w:rsidR="009329C9" w:rsidRDefault="00B5212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Специфична цел 3 - </w:t>
      </w:r>
      <w:r>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Тази цел ще бъде постигната чрез подкрепа за дейности в областта на развитието на услуги във всички сектори, търговията, туризма, културата и занаятите. Предвижда се създаване на нови и разнообразяване на съществуващите възможности за заетост извън земеделието. Тази специфична цел ще се реализира чрез  мярка </w:t>
      </w:r>
      <w:r>
        <w:rPr>
          <w:rFonts w:ascii="Times New Roman" w:eastAsia="Times New Roman" w:hAnsi="Times New Roman" w:cs="Times New Roman"/>
          <w:b/>
          <w:sz w:val="24"/>
          <w:szCs w:val="24"/>
        </w:rPr>
        <w:t>6.4 „Инвестиции в подкрепа на неземеделски дейности“ от ПРСР.</w:t>
      </w:r>
    </w:p>
    <w:p w:rsidR="009329C9" w:rsidRDefault="00B5212B">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Приоритет 2</w:t>
      </w:r>
      <w:r>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Pr>
          <w:rFonts w:ascii="Times New Roman" w:eastAsia="Calibri" w:hAnsi="Times New Roman" w:cs="Times New Roman"/>
          <w:sz w:val="24"/>
          <w:szCs w:val="24"/>
          <w:lang w:eastAsia="en-US"/>
        </w:rPr>
        <w:t>подобряване на основната и на социалната инфраструктура,</w:t>
      </w:r>
      <w:r>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9329C9" w:rsidRDefault="00B5212B">
      <w:pPr>
        <w:spacing w:after="0"/>
        <w:ind w:right="-1"/>
        <w:jc w:val="both"/>
        <w:rPr>
          <w:rFonts w:ascii="Times New Roman" w:eastAsia="Times New Roman" w:hAnsi="Times New Roman" w:cs="Times New Roman"/>
          <w:sz w:val="24"/>
          <w:szCs w:val="24"/>
        </w:rPr>
      </w:pPr>
      <w:r>
        <w:rPr>
          <w:rFonts w:ascii="Times New Roman" w:eastAsia="Calibri" w:hAnsi="Times New Roman" w:cs="Times New Roman"/>
          <w:b/>
          <w:sz w:val="24"/>
          <w:szCs w:val="24"/>
          <w:lang w:eastAsia="en-US"/>
        </w:rPr>
        <w:t>Специфична цел 1</w:t>
      </w:r>
      <w:r>
        <w:rPr>
          <w:rFonts w:ascii="Times New Roman" w:eastAsia="Calibri" w:hAnsi="Times New Roman" w:cs="Times New Roman"/>
          <w:sz w:val="24"/>
          <w:szCs w:val="24"/>
          <w:lang w:eastAsia="en-US"/>
        </w:rPr>
        <w:t xml:space="preserve"> – </w:t>
      </w:r>
      <w:r>
        <w:rPr>
          <w:rFonts w:ascii="Times New Roman" w:eastAsia="Times New Roman" w:hAnsi="Times New Roman" w:cs="Times New Roman"/>
          <w:sz w:val="24"/>
          <w:szCs w:val="24"/>
        </w:rPr>
        <w:t>Подобряване на условията на живот в населените места чрез развитие на базисната инфраструктура.</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Основните дейности за постигане на тази цел са изграждането и подобряването на инфраструктурата на територията на МИГ, модернизиране на основните услуги за населението и улесняване на достъпа му до култура, развлечение и спорт, услуги за децата и уязвимите групи, информационни и комуникационни услуги.Тази цел ще бъде постигната чрез мярка </w:t>
      </w:r>
      <w:r>
        <w:rPr>
          <w:rFonts w:ascii="Times New Roman" w:eastAsia="Times New Roman" w:hAnsi="Times New Roman" w:cs="Times New Roman"/>
          <w:b/>
          <w:sz w:val="24"/>
          <w:szCs w:val="24"/>
        </w:rPr>
        <w:t>7.2 „Инвестиции в създаването, подобряването или разширяването на всички видове малка по мащаби инфраструктура“ от ПРСР</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Специфична цел 2</w:t>
      </w:r>
      <w:r>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туристическата инфраструктура.</w:t>
      </w:r>
    </w:p>
    <w:p w:rsidR="009329C9" w:rsidRDefault="00B5212B">
      <w:pPr>
        <w:spacing w:after="0"/>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 xml:space="preserve">Целта е да се създадат условия за развитие на туризма  и свързаното с него опазване на  природното и историческо наследство чрез инвестиции в туристическата инфраструктура, атракции и съоръжения, като по този начин се увеличава и заетостта в населените места.За реализирането на тази цел ще бъде използвана  мярка </w:t>
      </w:r>
      <w:r>
        <w:rPr>
          <w:rFonts w:ascii="Times New Roman" w:eastAsia="Calibri" w:hAnsi="Times New Roman" w:cs="Times New Roman"/>
          <w:b/>
          <w:sz w:val="24"/>
          <w:szCs w:val="24"/>
          <w:lang w:eastAsia="en-US"/>
        </w:rPr>
        <w:t>7.5 „Инвестиции за публично ползване в инфраструктура за отдих, туристическа информация и малка по мащаб туристическа инфраструктура“ от ПРСР.</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3</w:t>
      </w:r>
      <w:r>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наследство</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Тази цел е насочена към подкрепа за проекти, които насърчават местното население дасе включва в общи инициативи за изучаване и съхраняване на наследството и природните дадености, развитие на децата и младите хора в сферата на изкуството и спорта. Целта трябва да доведе до повишаване качеството на живот на местното население чрез добавяне на стойност към околната среда, пейзажа и разнообразяване на свободното време.За постигането на тази цел по ПРСР е създадена иновативна мярка </w:t>
      </w:r>
      <w:r>
        <w:rPr>
          <w:rFonts w:ascii="Times New Roman" w:eastAsia="Times New Roman" w:hAnsi="Times New Roman" w:cs="Times New Roman"/>
          <w:b/>
          <w:bCs/>
          <w:sz w:val="24"/>
          <w:szCs w:val="24"/>
        </w:rPr>
        <w:t>7.11 „Повишаване на атрактивността на територията на МИГ и стимулиране на сътрудничеството, чрез популяризиране на културно-историческото и природно наследство.”</w:t>
      </w:r>
    </w:p>
    <w:p w:rsidR="009329C9" w:rsidRDefault="00B5212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Специфична цел 4 – </w:t>
      </w:r>
      <w:r>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Инвестициите за постигането на тази цел ще осигурят на общността  балансирана околна среда и екологично развитие, които са необходимо условие за напредъка както на земеделския сектор, така и на подобряването на условията за живот на населението.Мерките ще бъдат насочени към видове и местообитания от мрежата Натура 2000, които са докладвани в “неблагоприятно-незадоволително“ състояние съгласно Националната приоритетна рамка за действие за Натура 2000 </w:t>
      </w:r>
      <w:r>
        <w:rPr>
          <w:rFonts w:ascii="Times New Roman" w:eastAsia="Calibri" w:hAnsi="Times New Roman" w:cs="Times New Roman"/>
          <w:sz w:val="24"/>
          <w:szCs w:val="24"/>
          <w:lang w:val="ru-RU" w:eastAsia="en-US"/>
        </w:rPr>
        <w:t>(</w:t>
      </w:r>
      <w:r>
        <w:rPr>
          <w:rFonts w:ascii="Times New Roman" w:eastAsia="Calibri" w:hAnsi="Times New Roman" w:cs="Times New Roman"/>
          <w:sz w:val="24"/>
          <w:szCs w:val="24"/>
          <w:lang w:eastAsia="en-US"/>
        </w:rPr>
        <w:t>НПРД). Средство за постигане на тази специфична цел е мярката по приоритетна ос 3 „Натура 2000 и биоразнообразие“  на Оперативна програма</w:t>
      </w:r>
      <w:r>
        <w:rPr>
          <w:rFonts w:ascii="Times New Roman" w:eastAsia="Calibri" w:hAnsi="Times New Roman" w:cs="Times New Roman"/>
          <w:lang w:eastAsia="en-US"/>
        </w:rPr>
        <w:t xml:space="preserve"> „</w:t>
      </w:r>
      <w:r>
        <w:rPr>
          <w:rFonts w:ascii="Times New Roman" w:eastAsia="Calibri" w:hAnsi="Times New Roman" w:cs="Times New Roman"/>
          <w:sz w:val="24"/>
          <w:szCs w:val="24"/>
          <w:lang w:eastAsia="en-US"/>
        </w:rPr>
        <w:t xml:space="preserve">Околна </w:t>
      </w:r>
      <w:r>
        <w:rPr>
          <w:rFonts w:ascii="Times New Roman" w:eastAsia="Calibri" w:hAnsi="Times New Roman" w:cs="Times New Roman"/>
          <w:sz w:val="24"/>
          <w:szCs w:val="24"/>
          <w:lang w:eastAsia="en-US"/>
        </w:rPr>
        <w:lastRenderedPageBreak/>
        <w:t>среда 2014 – 2020 г.“</w:t>
      </w:r>
      <w:r>
        <w:rPr>
          <w:rFonts w:ascii="Times New Roman" w:eastAsia="Calibri" w:hAnsi="Times New Roman" w:cs="Times New Roman"/>
          <w:b/>
          <w:sz w:val="24"/>
          <w:szCs w:val="24"/>
          <w:lang w:eastAsia="en-US"/>
        </w:rPr>
        <w:t>„Подобряване на природозащитното състояние на видове и местообитания от мрежата Натура 2000 чрез подхода ВОМР“</w:t>
      </w:r>
    </w:p>
    <w:p w:rsidR="009329C9" w:rsidRDefault="00B5212B">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Приоритет </w:t>
      </w:r>
      <w:r>
        <w:rPr>
          <w:rFonts w:ascii="Times New Roman" w:eastAsia="Times New Roman" w:hAnsi="Times New Roman" w:cs="Times New Roman"/>
          <w:b/>
          <w:sz w:val="24"/>
          <w:szCs w:val="24"/>
        </w:rPr>
        <w:t>3</w:t>
      </w:r>
      <w:r>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w:t>
      </w:r>
    </w:p>
    <w:p w:rsidR="009329C9" w:rsidRDefault="00B5212B">
      <w:pPr>
        <w:spacing w:after="0"/>
        <w:ind w:right="283"/>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 xml:space="preserve">Специфична цел 1 - </w:t>
      </w:r>
      <w:r>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Целта ще бъде постигната чрез включване или реинтегриране в пазара на труда на безработни, трайно безработни и неактивни лица от всякакви възрастови групи и насърчаване на създаването на нови работни места. Предвижда се и подкрепа за мобилността на работната сила, както и за повишаване квалификацията на населението. За постигането на тази цел ще бъдат използвани </w:t>
      </w:r>
      <w:r>
        <w:rPr>
          <w:rFonts w:ascii="Times New Roman" w:eastAsia="Times New Roman" w:hAnsi="Times New Roman" w:cs="Times New Roman"/>
          <w:b/>
          <w:sz w:val="24"/>
          <w:szCs w:val="24"/>
        </w:rPr>
        <w:t>Мярка 1.1 Достъп до заетост</w:t>
      </w:r>
      <w:r>
        <w:rPr>
          <w:rFonts w:ascii="Times New Roman" w:eastAsia="Times New Roman" w:hAnsi="Times New Roman" w:cs="Times New Roman"/>
          <w:sz w:val="24"/>
          <w:szCs w:val="24"/>
        </w:rPr>
        <w:t xml:space="preserve">(ПО 1 „Подобряване достъпа до заетост и качеството на работните места“, ИП1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 и </w:t>
      </w:r>
      <w:r>
        <w:rPr>
          <w:rFonts w:ascii="Times New Roman" w:eastAsia="Times New Roman" w:hAnsi="Times New Roman" w:cs="Times New Roman"/>
          <w:b/>
          <w:sz w:val="24"/>
          <w:szCs w:val="24"/>
        </w:rPr>
        <w:t>Мярка 1.3</w:t>
      </w:r>
      <w:r>
        <w:rPr>
          <w:rFonts w:ascii="Times New Roman" w:eastAsia="Calibri" w:hAnsi="Times New Roman" w:cs="Times New Roman"/>
          <w:b/>
          <w:sz w:val="24"/>
          <w:szCs w:val="24"/>
          <w:lang w:eastAsia="en-US"/>
        </w:rPr>
        <w:t>Устойчиво интегриране на пазара на труда на младите хора</w:t>
      </w:r>
      <w:r>
        <w:rPr>
          <w:rFonts w:ascii="Times New Roman" w:eastAsia="Calibri" w:hAnsi="Times New Roman" w:cs="Times New Roman"/>
          <w:sz w:val="24"/>
          <w:szCs w:val="24"/>
          <w:lang w:eastAsia="en-US"/>
        </w:rPr>
        <w:t>(</w:t>
      </w:r>
      <w:r>
        <w:rPr>
          <w:rFonts w:ascii="Times New Roman" w:eastAsia="Times New Roman" w:hAnsi="Times New Roman" w:cs="Times New Roman"/>
          <w:sz w:val="24"/>
          <w:szCs w:val="24"/>
        </w:rPr>
        <w:t xml:space="preserve">ПО1 „Подобряване достъпа до заетост и качеството на работните места“, ИП 3 „Устойчиво интегриране на пазара на труда на младите хора, в частност тези, които не са ангажирани с трудова дейност, образование или обучение, включително младите хора, изложени на риск от социално изключване, и младите хора от маргинализирани общности, включително чрез прилагане на гаранция за младежта“) на </w:t>
      </w:r>
      <w:r>
        <w:rPr>
          <w:rFonts w:ascii="Times New Roman" w:eastAsia="Times New Roman" w:hAnsi="Times New Roman" w:cs="Times New Roman"/>
          <w:b/>
          <w:sz w:val="24"/>
          <w:szCs w:val="24"/>
        </w:rPr>
        <w:t>ОП РЧР 2014-2020.</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Специфична цел 2 </w:t>
      </w:r>
      <w:r>
        <w:rPr>
          <w:rFonts w:ascii="Times New Roman" w:eastAsia="Times New Roman" w:hAnsi="Times New Roman" w:cs="Times New Roman"/>
          <w:sz w:val="24"/>
          <w:szCs w:val="24"/>
        </w:rPr>
        <w:t>-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Тази цел е насочена към доразвиване на политиките за недискриминация и десегрегация и  насърчаване на социалното включване и преодоляване на бедността,</w:t>
      </w:r>
      <w:r>
        <w:rPr>
          <w:rFonts w:ascii="Times New Roman" w:eastAsia="Calibri" w:hAnsi="Times New Roman" w:cs="Times New Roman"/>
          <w:sz w:val="24"/>
          <w:szCs w:val="24"/>
          <w:lang w:eastAsia="en-US"/>
        </w:rPr>
        <w:t xml:space="preserve">за да бъде постигнато пълноценно участие на най-маргинализираните групи и общности в икономиката, пазара на труда, обществения и културния живот. Действията ще бъдат фокусирани върху ромската общност като една от основните групи в риск на територията на МИГ. Целта ще бъде постигната чрез прилагането на </w:t>
      </w:r>
      <w:r>
        <w:rPr>
          <w:rFonts w:ascii="Times New Roman" w:eastAsia="Calibri" w:hAnsi="Times New Roman" w:cs="Times New Roman"/>
          <w:b/>
          <w:sz w:val="24"/>
          <w:szCs w:val="24"/>
          <w:lang w:eastAsia="en-US"/>
        </w:rPr>
        <w:t>Мярка 2.1 Социално-икономическа интеграция на маргинализирани общности като ромите</w:t>
      </w:r>
      <w:r>
        <w:rPr>
          <w:rFonts w:ascii="Times New Roman" w:eastAsia="Times New Roman" w:hAnsi="Times New Roman" w:cs="Times New Roman"/>
          <w:sz w:val="24"/>
          <w:szCs w:val="24"/>
        </w:rPr>
        <w:t xml:space="preserve">(ПО 2Намаляване на бедността и насърчаване на социалното включване“, ИП1 „Социално-икономическа интеграция на маргинализирани общности като ромите”) от </w:t>
      </w:r>
      <w:r>
        <w:rPr>
          <w:rFonts w:ascii="Times New Roman" w:eastAsia="Times New Roman" w:hAnsi="Times New Roman" w:cs="Times New Roman"/>
          <w:b/>
          <w:sz w:val="24"/>
          <w:szCs w:val="24"/>
        </w:rPr>
        <w:t>ОП РЧР 2014-2020.</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Специфична цел 3 – </w:t>
      </w:r>
      <w:r>
        <w:rPr>
          <w:rFonts w:ascii="Times New Roman" w:eastAsia="Times New Roman" w:hAnsi="Times New Roman" w:cs="Times New Roman"/>
          <w:sz w:val="24"/>
          <w:szCs w:val="24"/>
        </w:rPr>
        <w:t xml:space="preserve">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 </w:t>
      </w:r>
    </w:p>
    <w:p w:rsidR="009329C9" w:rsidRDefault="00B5212B">
      <w:pPr>
        <w:spacing w:after="0"/>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Тази цел също е насочена към социално-икономическа интеграция на маргинализирани общности като ромите, чрез изпълнение на дейности свързани с осигуряване на достъп до качествено образование в малките населени места; подкрепа на процеса на образователната интеграция и на социалното включване чрез оптимизиране на обособени на етнически принцип детски градини и училища в населените места с повече от една детска градина/едно училище; преодоляване на негативни обществени нагласи, основани на етнически произход и културна идентичност (включително чрез провеждане на информационни кампании, насочени към недопускане на дискриминация, основана на раса, етнически произход или религиозна принадлежност).  Целта ще бъде реализирана чрез </w:t>
      </w:r>
      <w:r>
        <w:rPr>
          <w:rFonts w:ascii="Times New Roman" w:eastAsia="Times New Roman" w:hAnsi="Times New Roman" w:cs="Times New Roman"/>
          <w:b/>
          <w:sz w:val="24"/>
          <w:szCs w:val="24"/>
        </w:rPr>
        <w:t xml:space="preserve">„Осигуряване на достъп до качествено </w:t>
      </w:r>
      <w:r>
        <w:rPr>
          <w:rFonts w:ascii="Times New Roman" w:eastAsia="Times New Roman" w:hAnsi="Times New Roman" w:cs="Times New Roman"/>
          <w:b/>
          <w:sz w:val="24"/>
          <w:szCs w:val="24"/>
        </w:rPr>
        <w:lastRenderedPageBreak/>
        <w:t>образование в малките населени места и в трудно достъпните райони“ по Инвестиционен приоритет 9.ii „Социално-икономическо интегриране на маргинализирани общности, като например ромите” от ОПНОИР.</w:t>
      </w:r>
    </w:p>
    <w:p w:rsidR="009329C9" w:rsidRDefault="00B5212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u w:val="single"/>
        </w:rPr>
        <w:t>Приоритет 4</w:t>
      </w:r>
      <w:r>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1</w:t>
      </w:r>
      <w:r>
        <w:rPr>
          <w:rFonts w:ascii="Times New Roman" w:eastAsia="Times New Roman" w:hAnsi="Times New Roman" w:cs="Times New Roman"/>
          <w:sz w:val="24"/>
          <w:szCs w:val="24"/>
        </w:rPr>
        <w:t xml:space="preserve"> – Повишаване на производителността на МСП на територията на МИГ „Свиленград Ареал“.</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Тази цел е насочена към подобряване на състоянието на съществуващи на територията на МИГ малки и средни предприятия чрез подобряване на производството в МСП, като се предвижда реализация на инвестиции в дълготрайни материални и нематериални активи, въвеждане на нови технологични решения, разширяване и подобряване на производствения процес чрез  подобряване на продукти и услуги. Целта ще бъде реализирана чрез  мярката съответстваща на  Инвестиционен приоритет </w:t>
      </w:r>
      <w:r>
        <w:rPr>
          <w:rFonts w:ascii="Times New Roman" w:eastAsia="Times New Roman" w:hAnsi="Times New Roman" w:cs="Times New Roman"/>
          <w:b/>
          <w:sz w:val="24"/>
          <w:szCs w:val="24"/>
        </w:rPr>
        <w:t>2.2„Капацитет за растеж на МСП”</w:t>
      </w:r>
      <w:r>
        <w:rPr>
          <w:rFonts w:ascii="Times New Roman" w:eastAsia="Times New Roman" w:hAnsi="Times New Roman" w:cs="Times New Roman"/>
          <w:sz w:val="24"/>
          <w:szCs w:val="24"/>
        </w:rPr>
        <w:t xml:space="preserve"> по </w:t>
      </w:r>
      <w:r>
        <w:rPr>
          <w:rFonts w:ascii="Times New Roman" w:eastAsia="Calibri" w:hAnsi="Times New Roman" w:cs="Times New Roman"/>
          <w:bCs/>
          <w:sz w:val="24"/>
          <w:szCs w:val="24"/>
          <w:lang w:eastAsia="en-US"/>
        </w:rPr>
        <w:t xml:space="preserve">Приоритетна ос 2 „Предприемачество и капацитет за растеж наМСП“ на </w:t>
      </w:r>
      <w:r>
        <w:rPr>
          <w:rFonts w:ascii="Times New Roman" w:eastAsia="Calibri" w:hAnsi="Times New Roman" w:cs="Times New Roman"/>
          <w:b/>
          <w:bCs/>
          <w:sz w:val="24"/>
          <w:szCs w:val="24"/>
          <w:lang w:eastAsia="en-US"/>
        </w:rPr>
        <w:t>ОПИК.</w:t>
      </w:r>
    </w:p>
    <w:p w:rsidR="009329C9" w:rsidRDefault="00B5212B">
      <w:pPr>
        <w:pStyle w:val="2"/>
        <w:ind w:right="-1"/>
        <w:jc w:val="both"/>
        <w:rPr>
          <w:rFonts w:ascii="Times New Roman" w:hAnsi="Times New Roman" w:cs="Times New Roman"/>
          <w:sz w:val="24"/>
          <w:szCs w:val="24"/>
        </w:rPr>
      </w:pPr>
      <w:r>
        <w:rPr>
          <w:rFonts w:ascii="Times New Roman" w:hAnsi="Times New Roman" w:cs="Times New Roman"/>
          <w:b/>
          <w:color w:val="auto"/>
          <w:sz w:val="24"/>
          <w:szCs w:val="24"/>
        </w:rPr>
        <w:t xml:space="preserve">4.3. </w:t>
      </w:r>
      <w:bookmarkEnd w:id="26"/>
      <w:r>
        <w:rPr>
          <w:rFonts w:ascii="Times New Roman" w:hAnsi="Times New Roman" w:cs="Times New Roman"/>
          <w:b/>
          <w:color w:val="auto"/>
          <w:sz w:val="24"/>
          <w:szCs w:val="24"/>
        </w:rPr>
        <w:t>Връзка между стратегията за ВОМР с характеристиките на конкретната територия, разработени въз основа на местните потребности и потенциал, в съответствие с политиките на национално, регионално и местно ниво, включително и с политиките по десегрегация и деинституционализация.</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Настоящата Стратегияе съобразена с характеристиките на територията, местния потенциал и проблемите за решаване. На местно ниво в Стратегията са приведени основните приоритети на всички стратегически документи на национално и областно ниво.</w:t>
      </w:r>
    </w:p>
    <w:p w:rsidR="009329C9" w:rsidRDefault="00B5212B">
      <w:pPr>
        <w:tabs>
          <w:tab w:val="left" w:pos="284"/>
        </w:tabs>
        <w:spacing w:after="0"/>
        <w:ind w:right="-1"/>
        <w:jc w:val="both"/>
        <w:rPr>
          <w:rFonts w:ascii="Times New Roman" w:hAnsi="Times New Roman" w:cs="Times New Roman"/>
          <w:bCs/>
          <w:sz w:val="24"/>
          <w:szCs w:val="24"/>
        </w:rPr>
      </w:pPr>
      <w:r>
        <w:rPr>
          <w:rFonts w:ascii="Times New Roman" w:hAnsi="Times New Roman" w:cs="Times New Roman"/>
          <w:b/>
          <w:bCs/>
          <w:sz w:val="24"/>
          <w:szCs w:val="24"/>
          <w:u w:val="single"/>
        </w:rPr>
        <w:t>Потенциалът за развитие на територията</w:t>
      </w:r>
      <w:r>
        <w:rPr>
          <w:rFonts w:ascii="Times New Roman" w:hAnsi="Times New Roman" w:cs="Times New Roman"/>
          <w:bCs/>
          <w:sz w:val="24"/>
          <w:szCs w:val="24"/>
        </w:rPr>
        <w:t xml:space="preserve"> е в по-нататъшния растеж на земеделието чрез модернизиране на стопанствата, както като управление, така и като технологична обезпеченост и иновативност. Това ще подпомогне и създаването и развитието на преработваща промишленост с перспектива за реализация на продукция, както на местните, така и на външните пазари. Големи възможности за развитие има и пред неземеделските дейности в сферата на услугите и търговията. Осъществяването на този потенциал неминуемо ще доведе до разкриването на нови работни места, което ще реши голяма част от основните проблеми в областта на заетостта, доходите, демографията и др. Потенциал има и в културно-историческото наследство. Стратегията залага и на възможностите за повишаване на конкурентоспособността на МСП, както и на трайното опазване на природните ресурси, които са както условие за доброто качество на живот, така и потенциал за развитие на еко-туризма.</w:t>
      </w:r>
    </w:p>
    <w:p w:rsidR="009329C9" w:rsidRDefault="00B5212B">
      <w:pPr>
        <w:tabs>
          <w:tab w:val="left" w:pos="284"/>
        </w:tabs>
        <w:spacing w:after="0"/>
        <w:ind w:right="-1"/>
        <w:jc w:val="both"/>
        <w:rPr>
          <w:rFonts w:ascii="Times New Roman" w:eastAsia="Times New Roman" w:hAnsi="Times New Roman" w:cs="Times New Roman"/>
          <w:bCs/>
          <w:sz w:val="24"/>
          <w:szCs w:val="24"/>
          <w:lang w:eastAsia="en-US"/>
        </w:rPr>
      </w:pPr>
      <w:r>
        <w:rPr>
          <w:rFonts w:ascii="Times New Roman" w:eastAsia="Times New Roman" w:hAnsi="Times New Roman" w:cs="Times New Roman"/>
          <w:b/>
          <w:bCs/>
          <w:sz w:val="24"/>
          <w:szCs w:val="24"/>
          <w:u w:val="single"/>
          <w:lang w:eastAsia="en-US"/>
        </w:rPr>
        <w:t>Основните проблеми</w:t>
      </w:r>
      <w:r>
        <w:rPr>
          <w:rFonts w:ascii="Times New Roman" w:eastAsia="Times New Roman" w:hAnsi="Times New Roman" w:cs="Times New Roman"/>
          <w:bCs/>
          <w:sz w:val="24"/>
          <w:szCs w:val="24"/>
          <w:lang w:eastAsia="en-US"/>
        </w:rPr>
        <w:t xml:space="preserve">според извършените анализи са: безработицата и достъпа до социални услуги, особено в селата, както и  състоянието на малката инфраструктура (водна и пътна), отново най-вече в селата. Като проблемна област се възприемат и демографията (миграция на младите, застаряващо население), ниски доходи поради липса на квалификация и образование. В икономиката проблем са липсата на свежи инвестици и капитали, недостатъчно развитите финансови услуги, ниския капацитет и съответно ниската норма на печалба на МСП, които са основен двигател на стопанския живот в общината и др. С тези нужди са свързани и най-спешните за решаване задачи. </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eastAsia="Times New Roman" w:hAnsi="Times New Roman" w:cs="Times New Roman"/>
          <w:bCs/>
          <w:sz w:val="24"/>
          <w:szCs w:val="24"/>
          <w:lang w:eastAsia="en-US"/>
        </w:rPr>
        <w:t xml:space="preserve">Стратегията изхожда и от приоритетите на местните политики, заложени в Общинския план за развитие на Свиленград, както и в ОСР на област Хасково. Стратегията за ВОМР е изготвена в съответствие с приоритетите на Стратегическите насоки на Общността и на Националния стратегически план за развитие на селските райони на България 2014-2020, както и  </w:t>
      </w:r>
      <w:r>
        <w:rPr>
          <w:rFonts w:ascii="Times New Roman" w:hAnsi="Times New Roman" w:cs="Times New Roman"/>
          <w:sz w:val="24"/>
          <w:szCs w:val="24"/>
        </w:rPr>
        <w:t xml:space="preserve">е съобразена с всички приоритети на ПРСР 2014-2020.  Изборът на мерки за прилагане по </w:t>
      </w:r>
      <w:r>
        <w:rPr>
          <w:rFonts w:ascii="Times New Roman" w:hAnsi="Times New Roman" w:cs="Times New Roman"/>
          <w:sz w:val="24"/>
          <w:szCs w:val="24"/>
        </w:rPr>
        <w:lastRenderedPageBreak/>
        <w:t>СВОМР и разпределението на ресурсите между ключовите области на развитие на селските райони се базира на нуждите на земеделския сектор, бизнес сектора и населението на територията на МИГ.</w:t>
      </w:r>
    </w:p>
    <w:tbl>
      <w:tblPr>
        <w:tblStyle w:val="af3"/>
        <w:tblW w:w="10031" w:type="dxa"/>
        <w:tblLook w:val="04A0" w:firstRow="1" w:lastRow="0" w:firstColumn="1" w:lastColumn="0" w:noHBand="0" w:noVBand="1"/>
      </w:tblPr>
      <w:tblGrid>
        <w:gridCol w:w="2802"/>
        <w:gridCol w:w="3402"/>
        <w:gridCol w:w="141"/>
        <w:gridCol w:w="3686"/>
      </w:tblGrid>
      <w:tr w:rsidR="009329C9">
        <w:tc>
          <w:tcPr>
            <w:tcW w:w="2802" w:type="dxa"/>
          </w:tcPr>
          <w:p w:rsidR="009329C9" w:rsidRDefault="00B5212B">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 СВОМР</w:t>
            </w:r>
          </w:p>
        </w:tc>
        <w:tc>
          <w:tcPr>
            <w:tcW w:w="3402" w:type="dxa"/>
          </w:tcPr>
          <w:p w:rsidR="009329C9" w:rsidRDefault="00B5212B">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Характеристика на </w:t>
            </w:r>
          </w:p>
          <w:p w:rsidR="009329C9" w:rsidRDefault="00B5212B">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територията на МИГ</w:t>
            </w:r>
          </w:p>
        </w:tc>
        <w:tc>
          <w:tcPr>
            <w:tcW w:w="3827" w:type="dxa"/>
            <w:gridSpan w:val="2"/>
          </w:tcPr>
          <w:p w:rsidR="009329C9" w:rsidRDefault="00B5212B">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Съответствие с </w:t>
            </w:r>
          </w:p>
          <w:p w:rsidR="009329C9" w:rsidRDefault="00B5212B">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планов документ</w:t>
            </w:r>
          </w:p>
        </w:tc>
      </w:tr>
      <w:tr w:rsidR="009329C9">
        <w:tc>
          <w:tcPr>
            <w:tcW w:w="10031" w:type="dxa"/>
            <w:gridSpan w:val="4"/>
          </w:tcPr>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sz w:val="24"/>
                <w:szCs w:val="24"/>
                <w:u w:val="single"/>
                <w:lang w:eastAsia="en-US"/>
              </w:rPr>
              <w:t>Приоритет 1</w:t>
            </w:r>
            <w:r>
              <w:rPr>
                <w:rFonts w:ascii="Times New Roman" w:eastAsia="Calibri" w:hAnsi="Times New Roman"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подобряванеефективността на производството и реализация на продукцията им, въвеждане на иновации и разнообразяване в неземеделски дейности</w:t>
            </w:r>
          </w:p>
        </w:tc>
      </w:tr>
      <w:tr w:rsidR="009329C9">
        <w:tc>
          <w:tcPr>
            <w:tcW w:w="2802" w:type="dxa"/>
            <w:tcBorders>
              <w:top w:val="single" w:sz="4" w:space="0" w:color="auto"/>
              <w:left w:val="single" w:sz="4" w:space="0" w:color="auto"/>
              <w:bottom w:val="single" w:sz="4" w:space="0" w:color="auto"/>
              <w:right w:val="single" w:sz="4" w:space="0" w:color="auto"/>
            </w:tcBorders>
          </w:tcPr>
          <w:p w:rsidR="009329C9" w:rsidRDefault="00B5212B">
            <w:pPr>
              <w:spacing w:after="0" w:line="240" w:lineRule="auto"/>
              <w:rPr>
                <w:rFonts w:ascii="Times New Roman" w:eastAsia="Calibri" w:hAnsi="Times New Roman" w:cs="Times New Roman"/>
                <w:sz w:val="24"/>
                <w:lang w:eastAsia="en-US"/>
              </w:rPr>
            </w:pPr>
            <w:r>
              <w:rPr>
                <w:rFonts w:ascii="Times New Roman" w:eastAsia="Calibri" w:hAnsi="Times New Roman" w:cs="Times New Roman"/>
                <w:b/>
                <w:sz w:val="24"/>
                <w:szCs w:val="24"/>
                <w:lang w:eastAsia="en-US"/>
              </w:rPr>
              <w:t>Специфична цел 1</w:t>
            </w:r>
            <w:r>
              <w:rPr>
                <w:rFonts w:ascii="Times New Roman" w:eastAsia="Calibri" w:hAnsi="Times New Roman" w:cs="Times New Roman"/>
                <w:sz w:val="24"/>
                <w:szCs w:val="24"/>
                <w:lang w:eastAsia="en-US"/>
              </w:rPr>
              <w:t xml:space="preserve"> - </w:t>
            </w:r>
            <w:r>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tc>
        <w:tc>
          <w:tcPr>
            <w:tcW w:w="3402" w:type="dxa"/>
            <w:vMerge w:val="restart"/>
            <w:tcBorders>
              <w:left w:val="single" w:sz="4" w:space="0" w:color="auto"/>
            </w:tcBorders>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 </w:t>
            </w:r>
          </w:p>
          <w:p w:rsidR="009329C9" w:rsidRDefault="009329C9">
            <w:pPr>
              <w:autoSpaceDE w:val="0"/>
              <w:autoSpaceDN w:val="0"/>
              <w:adjustRightInd w:val="0"/>
              <w:spacing w:after="0" w:line="240" w:lineRule="auto"/>
              <w:rPr>
                <w:rFonts w:ascii="Times New Roman" w:hAnsi="Times New Roman" w:cs="Times New Roman"/>
                <w:color w:val="000000"/>
                <w:sz w:val="24"/>
                <w:szCs w:val="24"/>
              </w:rPr>
            </w:pP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Недостатъчно развита промишленост, особено в областта на преработване на селскостопанската продукция; </w:t>
            </w:r>
          </w:p>
          <w:p w:rsidR="009329C9" w:rsidRDefault="009329C9">
            <w:pPr>
              <w:autoSpaceDE w:val="0"/>
              <w:autoSpaceDN w:val="0"/>
              <w:adjustRightInd w:val="0"/>
              <w:spacing w:after="0" w:line="240" w:lineRule="auto"/>
              <w:rPr>
                <w:rFonts w:ascii="Times New Roman" w:hAnsi="Times New Roman" w:cs="Times New Roman"/>
                <w:color w:val="000000"/>
                <w:sz w:val="24"/>
                <w:szCs w:val="24"/>
              </w:rPr>
            </w:pP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Недостатъчна предприемаческа култура в местната общност; </w:t>
            </w:r>
          </w:p>
        </w:tc>
        <w:tc>
          <w:tcPr>
            <w:tcW w:w="3827" w:type="dxa"/>
            <w:gridSpan w:val="2"/>
            <w:vMerge w:val="restart"/>
          </w:tcPr>
          <w:p w:rsidR="009329C9" w:rsidRDefault="00B5212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Национална програма за развитие България 2020</w:t>
            </w:r>
            <w:r>
              <w:rPr>
                <w:rFonts w:ascii="Times New Roman" w:hAnsi="Times New Roman" w:cs="Times New Roman"/>
                <w:bCs/>
                <w:sz w:val="24"/>
                <w:szCs w:val="24"/>
              </w:rPr>
              <w:t>–</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Приоритет 4. 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ресурси </w:t>
            </w:r>
          </w:p>
          <w:p w:rsidR="009329C9" w:rsidRDefault="00B5212B">
            <w:pPr>
              <w:tabs>
                <w:tab w:val="left" w:pos="284"/>
              </w:tabs>
              <w:spacing w:after="0" w:line="240" w:lineRule="auto"/>
              <w:ind w:right="-1"/>
              <w:rPr>
                <w:rFonts w:ascii="Times New Roman" w:hAnsi="Times New Roman" w:cs="Times New Roman"/>
                <w:iCs/>
                <w:sz w:val="24"/>
                <w:szCs w:val="24"/>
              </w:rPr>
            </w:pPr>
            <w:r>
              <w:rPr>
                <w:rFonts w:ascii="Times New Roman" w:hAnsi="Times New Roman" w:cs="Times New Roman"/>
                <w:sz w:val="24"/>
                <w:szCs w:val="24"/>
              </w:rPr>
              <w:t xml:space="preserve">Подприоритет4.1 </w:t>
            </w:r>
            <w:r>
              <w:rPr>
                <w:rFonts w:ascii="Times New Roman" w:hAnsi="Times New Roman" w:cs="Times New Roman"/>
                <w:iCs/>
                <w:sz w:val="24"/>
                <w:szCs w:val="24"/>
              </w:rPr>
              <w:t>Балансирано секторно и структурно развитие на аграрния отрасъл</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Подприоритет 4.2 </w:t>
            </w:r>
            <w:r>
              <w:rPr>
                <w:rFonts w:ascii="Times New Roman" w:hAnsi="Times New Roman" w:cs="Times New Roman"/>
                <w:iCs/>
                <w:sz w:val="24"/>
                <w:szCs w:val="24"/>
              </w:rPr>
              <w:t>Модернизиране и технологично обновяване на стопанствата и инфраструктурата в отрасъла. Развитие и ускорено въвеждане на иновациите в земеделската практика</w:t>
            </w:r>
          </w:p>
          <w:p w:rsidR="009329C9" w:rsidRDefault="00B5212B">
            <w:pPr>
              <w:tabs>
                <w:tab w:val="left" w:pos="284"/>
              </w:tabs>
              <w:spacing w:after="0" w:line="240" w:lineRule="auto"/>
              <w:ind w:right="-1"/>
              <w:rPr>
                <w:rFonts w:ascii="Times New Roman" w:hAnsi="Times New Roman" w:cs="Times New Roman"/>
                <w:iCs/>
                <w:sz w:val="24"/>
                <w:szCs w:val="24"/>
              </w:rPr>
            </w:pPr>
            <w:r>
              <w:rPr>
                <w:rFonts w:ascii="Times New Roman" w:hAnsi="Times New Roman" w:cs="Times New Roman"/>
                <w:sz w:val="24"/>
                <w:szCs w:val="24"/>
              </w:rPr>
              <w:t xml:space="preserve">Подприоритет 4.4 </w:t>
            </w:r>
            <w:r>
              <w:rPr>
                <w:rFonts w:ascii="Times New Roman" w:hAnsi="Times New Roman" w:cs="Times New Roman"/>
                <w:iCs/>
                <w:sz w:val="24"/>
                <w:szCs w:val="24"/>
              </w:rPr>
              <w:t>Превръщане на земеделското производство в привлекателен бизнес, осигуряващ стабилни и справедливи доходи на заетите в него</w:t>
            </w:r>
          </w:p>
        </w:tc>
      </w:tr>
      <w:tr w:rsidR="009329C9">
        <w:tc>
          <w:tcPr>
            <w:tcW w:w="2802" w:type="dxa"/>
            <w:tcBorders>
              <w:top w:val="single" w:sz="4" w:space="0" w:color="auto"/>
              <w:left w:val="single" w:sz="4" w:space="0" w:color="auto"/>
              <w:bottom w:val="single" w:sz="4" w:space="0" w:color="auto"/>
              <w:right w:val="single" w:sz="4" w:space="0" w:color="auto"/>
            </w:tcBorders>
          </w:tcPr>
          <w:p w:rsidR="009329C9" w:rsidRDefault="00B5212B">
            <w:pPr>
              <w:spacing w:after="0" w:line="240" w:lineRule="auto"/>
              <w:ind w:right="-1"/>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2</w:t>
            </w:r>
            <w:r>
              <w:rPr>
                <w:rFonts w:ascii="Times New Roman" w:eastAsia="Times New Roman" w:hAnsi="Times New Roman" w:cs="Times New Roman"/>
                <w:sz w:val="24"/>
                <w:szCs w:val="24"/>
              </w:rPr>
              <w:t xml:space="preserve">  - Насърчаване на развитието и икономическата ефективност </w:t>
            </w:r>
            <w:r>
              <w:rPr>
                <w:rFonts w:ascii="Times New Roman" w:eastAsia="Calibri" w:hAnsi="Times New Roman" w:cs="Times New Roman"/>
                <w:sz w:val="24"/>
                <w:szCs w:val="24"/>
                <w:lang w:eastAsia="en-US"/>
              </w:rPr>
              <w:t>на предприятия от хранително-преработвателната промишленост.</w:t>
            </w:r>
          </w:p>
          <w:p w:rsidR="009329C9" w:rsidRDefault="009329C9">
            <w:pPr>
              <w:tabs>
                <w:tab w:val="left" w:pos="284"/>
              </w:tabs>
              <w:spacing w:after="0" w:line="240" w:lineRule="auto"/>
              <w:ind w:right="-1"/>
              <w:rPr>
                <w:rFonts w:ascii="Times New Roman" w:hAnsi="Times New Roman" w:cs="Times New Roman"/>
                <w:sz w:val="24"/>
                <w:szCs w:val="24"/>
              </w:rPr>
            </w:pPr>
          </w:p>
        </w:tc>
        <w:tc>
          <w:tcPr>
            <w:tcW w:w="3402" w:type="dxa"/>
            <w:vMerge/>
            <w:tcBorders>
              <w:left w:val="single" w:sz="4" w:space="0" w:color="auto"/>
            </w:tcBorders>
          </w:tcPr>
          <w:p w:rsidR="009329C9" w:rsidRDefault="009329C9">
            <w:pPr>
              <w:tabs>
                <w:tab w:val="left" w:pos="284"/>
              </w:tabs>
              <w:spacing w:after="0" w:line="240" w:lineRule="auto"/>
              <w:ind w:right="-1"/>
              <w:jc w:val="both"/>
              <w:rPr>
                <w:rFonts w:ascii="Times New Roman" w:hAnsi="Times New Roman" w:cs="Times New Roman"/>
                <w:sz w:val="24"/>
                <w:szCs w:val="24"/>
              </w:rPr>
            </w:pPr>
          </w:p>
        </w:tc>
        <w:tc>
          <w:tcPr>
            <w:tcW w:w="3827" w:type="dxa"/>
            <w:gridSpan w:val="2"/>
            <w:vMerge/>
          </w:tcPr>
          <w:p w:rsidR="009329C9" w:rsidRDefault="009329C9">
            <w:pPr>
              <w:tabs>
                <w:tab w:val="left" w:pos="284"/>
              </w:tabs>
              <w:spacing w:after="0" w:line="240" w:lineRule="auto"/>
              <w:ind w:right="-1"/>
              <w:jc w:val="both"/>
              <w:rPr>
                <w:rFonts w:ascii="Times New Roman" w:hAnsi="Times New Roman" w:cs="Times New Roman"/>
                <w:sz w:val="24"/>
                <w:szCs w:val="24"/>
              </w:rPr>
            </w:pPr>
          </w:p>
        </w:tc>
      </w:tr>
      <w:tr w:rsidR="009329C9">
        <w:trPr>
          <w:trHeight w:val="2420"/>
        </w:trPr>
        <w:tc>
          <w:tcPr>
            <w:tcW w:w="2802" w:type="dxa"/>
            <w:tcBorders>
              <w:top w:val="single" w:sz="4" w:space="0" w:color="auto"/>
              <w:left w:val="single" w:sz="4" w:space="0" w:color="auto"/>
              <w:bottom w:val="single" w:sz="4" w:space="0" w:color="auto"/>
              <w:right w:val="single" w:sz="4" w:space="0" w:color="auto"/>
            </w:tcBorders>
          </w:tcPr>
          <w:p w:rsidR="009329C9" w:rsidRDefault="00B5212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Специфична цел 3 - </w:t>
            </w:r>
            <w:r>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p>
        </w:tc>
        <w:tc>
          <w:tcPr>
            <w:tcW w:w="3402" w:type="dxa"/>
            <w:vMerge/>
            <w:tcBorders>
              <w:left w:val="single" w:sz="4" w:space="0" w:color="auto"/>
            </w:tcBorders>
          </w:tcPr>
          <w:p w:rsidR="009329C9" w:rsidRDefault="009329C9">
            <w:pPr>
              <w:tabs>
                <w:tab w:val="left" w:pos="284"/>
              </w:tabs>
              <w:spacing w:after="0" w:line="240" w:lineRule="auto"/>
              <w:ind w:right="-1"/>
              <w:jc w:val="both"/>
              <w:rPr>
                <w:rFonts w:ascii="Times New Roman" w:hAnsi="Times New Roman" w:cs="Times New Roman"/>
                <w:sz w:val="24"/>
                <w:szCs w:val="24"/>
              </w:rPr>
            </w:pPr>
          </w:p>
        </w:tc>
        <w:tc>
          <w:tcPr>
            <w:tcW w:w="3827" w:type="dxa"/>
            <w:gridSpan w:val="2"/>
            <w:vMerge/>
          </w:tcPr>
          <w:p w:rsidR="009329C9" w:rsidRDefault="009329C9">
            <w:pPr>
              <w:tabs>
                <w:tab w:val="left" w:pos="284"/>
              </w:tabs>
              <w:spacing w:after="0" w:line="240" w:lineRule="auto"/>
              <w:ind w:right="-1"/>
              <w:jc w:val="both"/>
              <w:rPr>
                <w:rFonts w:ascii="Times New Roman" w:hAnsi="Times New Roman" w:cs="Times New Roman"/>
                <w:sz w:val="24"/>
                <w:szCs w:val="24"/>
              </w:rPr>
            </w:pPr>
          </w:p>
        </w:tc>
      </w:tr>
      <w:tr w:rsidR="009329C9">
        <w:tc>
          <w:tcPr>
            <w:tcW w:w="10031" w:type="dxa"/>
            <w:gridSpan w:val="4"/>
          </w:tcPr>
          <w:p w:rsidR="009329C9" w:rsidRDefault="00B5212B">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Приоритет 2</w:t>
            </w:r>
            <w:r>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Pr>
                <w:rFonts w:ascii="Times New Roman" w:eastAsia="Calibri" w:hAnsi="Times New Roman" w:cs="Times New Roman"/>
                <w:sz w:val="24"/>
                <w:szCs w:val="24"/>
                <w:lang w:eastAsia="en-US"/>
              </w:rPr>
              <w:t>подобряване на основната и на социалната инфраструктура,</w:t>
            </w:r>
            <w:r>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tc>
      </w:tr>
      <w:tr w:rsidR="009329C9">
        <w:tc>
          <w:tcPr>
            <w:tcW w:w="2802" w:type="dxa"/>
          </w:tcPr>
          <w:p w:rsidR="009329C9" w:rsidRDefault="00B5212B">
            <w:pPr>
              <w:spacing w:after="0" w:line="240" w:lineRule="auto"/>
              <w:ind w:right="-1"/>
              <w:rPr>
                <w:rFonts w:ascii="Times New Roman" w:eastAsia="Times New Roman" w:hAnsi="Times New Roman" w:cs="Times New Roman"/>
                <w:sz w:val="24"/>
                <w:szCs w:val="24"/>
              </w:rPr>
            </w:pPr>
            <w:r>
              <w:rPr>
                <w:rFonts w:ascii="Times New Roman" w:eastAsia="Calibri" w:hAnsi="Times New Roman" w:cs="Times New Roman"/>
                <w:b/>
                <w:sz w:val="24"/>
                <w:szCs w:val="24"/>
                <w:lang w:eastAsia="en-US"/>
              </w:rPr>
              <w:t>Специфична цел 1</w:t>
            </w:r>
            <w:r>
              <w:rPr>
                <w:rFonts w:ascii="Times New Roman" w:eastAsia="Calibri" w:hAnsi="Times New Roman" w:cs="Times New Roman"/>
                <w:sz w:val="24"/>
                <w:szCs w:val="24"/>
                <w:lang w:eastAsia="en-US"/>
              </w:rPr>
              <w:t xml:space="preserve"> – </w:t>
            </w:r>
            <w:r>
              <w:rPr>
                <w:rFonts w:ascii="Times New Roman" w:eastAsia="Times New Roman" w:hAnsi="Times New Roman" w:cs="Times New Roman"/>
                <w:sz w:val="24"/>
                <w:szCs w:val="24"/>
              </w:rPr>
              <w:t>Подобряване на условията на живот в населените места чрез развитие на базисната инфраструктура</w:t>
            </w:r>
          </w:p>
        </w:tc>
        <w:tc>
          <w:tcPr>
            <w:tcW w:w="3402" w:type="dxa"/>
            <w:vMerge w:val="restart"/>
          </w:tcPr>
          <w:p w:rsidR="009329C9" w:rsidRDefault="00B5212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Липса на интегрирани туристически продукти; развитие само на определени области от туризма, без да се обхване целия потенциал на територията; Недостатъчно развита пътна и туристическа инфраструктура в малките населени места; Липса на туристически атракции; </w:t>
            </w:r>
          </w:p>
        </w:tc>
        <w:tc>
          <w:tcPr>
            <w:tcW w:w="3827" w:type="dxa"/>
            <w:gridSpan w:val="2"/>
            <w:vMerge w:val="restart"/>
          </w:tcPr>
          <w:p w:rsidR="009329C9" w:rsidRDefault="00B5212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Национална програма за развитие България 2020</w:t>
            </w:r>
            <w:r>
              <w:rPr>
                <w:rFonts w:ascii="Times New Roman" w:hAnsi="Times New Roman" w:cs="Times New Roman"/>
                <w:bCs/>
                <w:sz w:val="24"/>
                <w:szCs w:val="24"/>
              </w:rPr>
              <w:t>–</w:t>
            </w:r>
          </w:p>
          <w:p w:rsidR="009329C9" w:rsidRDefault="00B5212B">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Приоритет 3. Постигане на устойчиво интегрирано регионално развитие и използване на местния потенциал </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iCs/>
                <w:sz w:val="24"/>
                <w:szCs w:val="24"/>
              </w:rPr>
              <w:t>Подкрепа за развитието на изоставащите и подобряване на качеството на живот в селските региони</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З.4 </w:t>
            </w:r>
            <w:r>
              <w:rPr>
                <w:rFonts w:ascii="Times New Roman" w:hAnsi="Times New Roman" w:cs="Times New Roman"/>
                <w:iCs/>
                <w:sz w:val="24"/>
                <w:szCs w:val="24"/>
              </w:rPr>
              <w:t>Подкрепа за ефективно и устойчиво усвояване на туристическия потенциал на регионите и развитие на културните и креативни индустрии в регионите</w:t>
            </w:r>
          </w:p>
        </w:tc>
      </w:tr>
      <w:tr w:rsidR="009329C9">
        <w:tc>
          <w:tcPr>
            <w:tcW w:w="2802" w:type="dxa"/>
          </w:tcPr>
          <w:p w:rsidR="009329C9" w:rsidRDefault="00B5212B">
            <w:pPr>
              <w:spacing w:after="0" w:line="240" w:lineRule="auto"/>
              <w:rPr>
                <w:rFonts w:ascii="Times New Roman" w:eastAsia="Calibri" w:hAnsi="Times New Roman" w:cs="Times New Roman"/>
                <w:sz w:val="24"/>
                <w:szCs w:val="24"/>
                <w:lang w:val="en-US" w:eastAsia="en-US"/>
              </w:rPr>
            </w:pPr>
            <w:r>
              <w:rPr>
                <w:rFonts w:ascii="Times New Roman" w:eastAsia="Calibri" w:hAnsi="Times New Roman" w:cs="Times New Roman"/>
                <w:b/>
                <w:sz w:val="24"/>
                <w:szCs w:val="24"/>
                <w:lang w:eastAsia="en-US"/>
              </w:rPr>
              <w:t>Специфична цел 2</w:t>
            </w:r>
            <w:r>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туристическата инфраструктура.</w:t>
            </w:r>
          </w:p>
        </w:tc>
        <w:tc>
          <w:tcPr>
            <w:tcW w:w="3402" w:type="dxa"/>
            <w:vMerge/>
          </w:tcPr>
          <w:p w:rsidR="009329C9" w:rsidRDefault="009329C9">
            <w:pPr>
              <w:autoSpaceDE w:val="0"/>
              <w:autoSpaceDN w:val="0"/>
              <w:adjustRightInd w:val="0"/>
              <w:spacing w:after="0" w:line="240" w:lineRule="auto"/>
              <w:rPr>
                <w:rFonts w:ascii="Times New Roman" w:hAnsi="Times New Roman" w:cs="Times New Roman"/>
                <w:color w:val="000000"/>
                <w:sz w:val="24"/>
                <w:szCs w:val="24"/>
              </w:rPr>
            </w:pPr>
          </w:p>
        </w:tc>
        <w:tc>
          <w:tcPr>
            <w:tcW w:w="3827" w:type="dxa"/>
            <w:gridSpan w:val="2"/>
            <w:vMerge/>
          </w:tcPr>
          <w:p w:rsidR="009329C9" w:rsidRDefault="009329C9">
            <w:pPr>
              <w:tabs>
                <w:tab w:val="left" w:pos="284"/>
              </w:tabs>
              <w:spacing w:after="0" w:line="240" w:lineRule="auto"/>
              <w:ind w:right="-1"/>
              <w:jc w:val="both"/>
              <w:rPr>
                <w:rFonts w:ascii="Times New Roman" w:hAnsi="Times New Roman" w:cs="Times New Roman"/>
                <w:sz w:val="24"/>
                <w:szCs w:val="24"/>
              </w:rPr>
            </w:pPr>
          </w:p>
        </w:tc>
      </w:tr>
      <w:tr w:rsidR="009329C9">
        <w:tc>
          <w:tcPr>
            <w:tcW w:w="2802" w:type="dxa"/>
          </w:tcPr>
          <w:p w:rsidR="009329C9" w:rsidRDefault="00B5212B">
            <w:pPr>
              <w:spacing w:after="0" w:line="240" w:lineRule="auto"/>
              <w:ind w:right="-1"/>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3</w:t>
            </w:r>
            <w:r>
              <w:rPr>
                <w:rFonts w:ascii="Times New Roman" w:eastAsia="Times New Roman" w:hAnsi="Times New Roman" w:cs="Times New Roman"/>
                <w:sz w:val="24"/>
                <w:szCs w:val="24"/>
              </w:rPr>
              <w:t xml:space="preserve"> – Опазване на местната идентичност и популя</w:t>
            </w:r>
            <w:r>
              <w:rPr>
                <w:rFonts w:ascii="Times New Roman" w:eastAsia="Times New Roman" w:hAnsi="Times New Roman" w:cs="Times New Roman"/>
                <w:sz w:val="24"/>
                <w:szCs w:val="24"/>
              </w:rPr>
              <w:lastRenderedPageBreak/>
              <w:t>ризиране на културното и природно наследство</w:t>
            </w:r>
          </w:p>
        </w:tc>
        <w:tc>
          <w:tcPr>
            <w:tcW w:w="3402" w:type="dxa"/>
            <w:vMerge/>
          </w:tcPr>
          <w:p w:rsidR="009329C9" w:rsidRDefault="009329C9">
            <w:pPr>
              <w:tabs>
                <w:tab w:val="left" w:pos="284"/>
              </w:tabs>
              <w:spacing w:after="0" w:line="240" w:lineRule="auto"/>
              <w:ind w:right="-1"/>
              <w:jc w:val="both"/>
              <w:rPr>
                <w:rFonts w:ascii="Times New Roman" w:hAnsi="Times New Roman" w:cs="Times New Roman"/>
                <w:sz w:val="24"/>
                <w:szCs w:val="24"/>
              </w:rPr>
            </w:pPr>
          </w:p>
        </w:tc>
        <w:tc>
          <w:tcPr>
            <w:tcW w:w="3827" w:type="dxa"/>
            <w:gridSpan w:val="2"/>
            <w:vMerge/>
          </w:tcPr>
          <w:p w:rsidR="009329C9" w:rsidRDefault="009329C9">
            <w:pPr>
              <w:tabs>
                <w:tab w:val="left" w:pos="284"/>
              </w:tabs>
              <w:spacing w:after="0" w:line="240" w:lineRule="auto"/>
              <w:ind w:right="-1"/>
              <w:jc w:val="both"/>
              <w:rPr>
                <w:rFonts w:ascii="Times New Roman" w:hAnsi="Times New Roman" w:cs="Times New Roman"/>
                <w:sz w:val="24"/>
                <w:szCs w:val="24"/>
              </w:rPr>
            </w:pPr>
          </w:p>
        </w:tc>
      </w:tr>
      <w:tr w:rsidR="009329C9">
        <w:tc>
          <w:tcPr>
            <w:tcW w:w="2802" w:type="dxa"/>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Специфична цел 4 – </w:t>
            </w:r>
            <w:r>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9329C9" w:rsidRDefault="009329C9">
            <w:pPr>
              <w:tabs>
                <w:tab w:val="left" w:pos="284"/>
              </w:tabs>
              <w:spacing w:after="0" w:line="240" w:lineRule="auto"/>
              <w:ind w:right="-1"/>
              <w:rPr>
                <w:rFonts w:ascii="Times New Roman" w:hAnsi="Times New Roman" w:cs="Times New Roman"/>
                <w:sz w:val="24"/>
                <w:szCs w:val="24"/>
              </w:rPr>
            </w:pPr>
          </w:p>
        </w:tc>
        <w:tc>
          <w:tcPr>
            <w:tcW w:w="3402" w:type="dxa"/>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Недостатъчно използван потенциал на биологичното разнообразие, вкл. и за ва-лоризацията му като обект на туристически интерес; Редица ограничения в те-риториалното устройство и използването на природните и поземлени ресурси на общината, наложени от разпоредбите на ЗБР и ЗЗТ </w:t>
            </w:r>
          </w:p>
          <w:p w:rsidR="009329C9" w:rsidRDefault="009329C9">
            <w:pPr>
              <w:tabs>
                <w:tab w:val="left" w:pos="284"/>
              </w:tabs>
              <w:spacing w:after="0" w:line="240" w:lineRule="auto"/>
              <w:ind w:right="-1"/>
              <w:rPr>
                <w:rFonts w:ascii="Times New Roman" w:hAnsi="Times New Roman" w:cs="Times New Roman"/>
                <w:sz w:val="24"/>
                <w:szCs w:val="24"/>
              </w:rPr>
            </w:pPr>
          </w:p>
        </w:tc>
        <w:tc>
          <w:tcPr>
            <w:tcW w:w="3827" w:type="dxa"/>
            <w:gridSpan w:val="2"/>
          </w:tcPr>
          <w:p w:rsidR="009329C9" w:rsidRDefault="00B5212B">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
                <w:bCs/>
                <w:sz w:val="24"/>
                <w:szCs w:val="24"/>
              </w:rPr>
              <w:t>Национална програма за развитие България 2020</w:t>
            </w:r>
            <w:r>
              <w:rPr>
                <w:rFonts w:ascii="Times New Roman" w:hAnsi="Times New Roman" w:cs="Times New Roman"/>
                <w:bCs/>
                <w:sz w:val="24"/>
                <w:szCs w:val="24"/>
              </w:rPr>
              <w:t xml:space="preserve"> -</w:t>
            </w:r>
            <w:r>
              <w:rPr>
                <w:rFonts w:ascii="Times New Roman" w:hAnsi="Times New Roman" w:cs="Times New Roman"/>
                <w:bCs/>
                <w:color w:val="000000"/>
                <w:sz w:val="24"/>
                <w:szCs w:val="24"/>
              </w:rPr>
              <w:t xml:space="preserve">Приоритет 3. Постигане на устойчиво интегрирано регионално развитие и използване на местния потенциал </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Подприоритет З.5</w:t>
            </w:r>
            <w:r>
              <w:rPr>
                <w:rFonts w:ascii="Times New Roman" w:hAnsi="Times New Roman" w:cs="Times New Roman"/>
                <w:iCs/>
                <w:sz w:val="24"/>
                <w:szCs w:val="24"/>
              </w:rPr>
              <w:t>Създаване на условия за опазване и подобряване на околната среда в регионите, адаптиране към настъпващите климатични промени и постигане на устойчиво и ефективно използване на природните ресурси</w:t>
            </w:r>
          </w:p>
        </w:tc>
      </w:tr>
      <w:tr w:rsidR="009329C9">
        <w:tc>
          <w:tcPr>
            <w:tcW w:w="10031" w:type="dxa"/>
            <w:gridSpan w:val="4"/>
          </w:tcPr>
          <w:p w:rsidR="009329C9" w:rsidRDefault="00B5212B">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Приоритет 3</w:t>
            </w:r>
            <w:r>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w:t>
            </w:r>
          </w:p>
        </w:tc>
      </w:tr>
      <w:tr w:rsidR="009329C9">
        <w:tc>
          <w:tcPr>
            <w:tcW w:w="2802" w:type="dxa"/>
          </w:tcPr>
          <w:p w:rsidR="009329C9" w:rsidRDefault="00B5212B">
            <w:pPr>
              <w:spacing w:after="0" w:line="240" w:lineRule="auto"/>
              <w:ind w:right="283"/>
              <w:rPr>
                <w:rFonts w:ascii="Times New Roman" w:eastAsia="Calibri" w:hAnsi="Times New Roman" w:cs="Times New Roman"/>
                <w:sz w:val="24"/>
                <w:szCs w:val="24"/>
                <w:lang w:val="en-US" w:eastAsia="en-US"/>
              </w:rPr>
            </w:pPr>
            <w:r>
              <w:rPr>
                <w:rFonts w:ascii="Times New Roman" w:eastAsia="Calibri" w:hAnsi="Times New Roman" w:cs="Times New Roman"/>
                <w:b/>
                <w:sz w:val="24"/>
                <w:szCs w:val="24"/>
                <w:lang w:eastAsia="en-US"/>
              </w:rPr>
              <w:t xml:space="preserve">Специфична цел 1 - </w:t>
            </w:r>
            <w:r>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tc>
        <w:tc>
          <w:tcPr>
            <w:tcW w:w="3402" w:type="dxa"/>
            <w:vMerge w:val="restart"/>
          </w:tcPr>
          <w:p w:rsidR="009329C9" w:rsidRDefault="00B5212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Влошено демографско състояние на селата; Висок дял на населението с ниско образование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 </w:t>
            </w:r>
          </w:p>
          <w:p w:rsidR="009329C9" w:rsidRDefault="009329C9">
            <w:pPr>
              <w:tabs>
                <w:tab w:val="left" w:pos="284"/>
              </w:tabs>
              <w:spacing w:after="0" w:line="240" w:lineRule="auto"/>
              <w:ind w:right="-1"/>
              <w:rPr>
                <w:rFonts w:ascii="Times New Roman" w:hAnsi="Times New Roman" w:cs="Times New Roman"/>
                <w:sz w:val="24"/>
                <w:szCs w:val="24"/>
              </w:rPr>
            </w:pPr>
          </w:p>
        </w:tc>
        <w:tc>
          <w:tcPr>
            <w:tcW w:w="3827" w:type="dxa"/>
            <w:gridSpan w:val="2"/>
            <w:vMerge w:val="restart"/>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sz w:val="24"/>
                <w:szCs w:val="24"/>
              </w:rPr>
              <w:t>Национална програма за развитие България 2020</w:t>
            </w:r>
            <w:r>
              <w:rPr>
                <w:rFonts w:ascii="Times New Roman" w:hAnsi="Times New Roman" w:cs="Times New Roman"/>
                <w:bCs/>
                <w:sz w:val="24"/>
                <w:szCs w:val="24"/>
              </w:rPr>
              <w:t xml:space="preserve"> -</w:t>
            </w:r>
            <w:r>
              <w:rPr>
                <w:rFonts w:ascii="Times New Roman" w:hAnsi="Times New Roman" w:cs="Times New Roman"/>
                <w:bCs/>
                <w:color w:val="000000"/>
                <w:sz w:val="24"/>
                <w:szCs w:val="24"/>
              </w:rPr>
              <w:t xml:space="preserve">Приоритет 2. Намаляване на бедността и насърчаване на социалното включване </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Подприоритет 2.1 </w:t>
            </w:r>
            <w:r>
              <w:rPr>
                <w:rFonts w:ascii="Times New Roman" w:hAnsi="Times New Roman" w:cs="Times New Roman"/>
                <w:iCs/>
                <w:sz w:val="24"/>
                <w:szCs w:val="24"/>
              </w:rPr>
              <w:t>Осигуряване на възможности за заетост и за повишаване на доходите от труд</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Подприоритет 2.2 </w:t>
            </w:r>
            <w:r>
              <w:rPr>
                <w:rFonts w:ascii="Times New Roman" w:hAnsi="Times New Roman" w:cs="Times New Roman"/>
                <w:iCs/>
                <w:sz w:val="24"/>
                <w:szCs w:val="24"/>
              </w:rPr>
              <w:t>Осигуряване на устойчиви, качествени и достъпни междусекторни услуги с цел превенция на социалното изключване</w:t>
            </w:r>
          </w:p>
        </w:tc>
      </w:tr>
      <w:tr w:rsidR="009329C9">
        <w:tc>
          <w:tcPr>
            <w:tcW w:w="2802" w:type="dxa"/>
          </w:tcPr>
          <w:p w:rsidR="009329C9" w:rsidRDefault="00B5212B">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Специфична цел 2 </w:t>
            </w:r>
            <w:r>
              <w:rPr>
                <w:rFonts w:ascii="Times New Roman" w:eastAsia="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w:t>
            </w:r>
          </w:p>
        </w:tc>
        <w:tc>
          <w:tcPr>
            <w:tcW w:w="3402" w:type="dxa"/>
            <w:vMerge/>
          </w:tcPr>
          <w:p w:rsidR="009329C9" w:rsidRDefault="009329C9">
            <w:pPr>
              <w:tabs>
                <w:tab w:val="left" w:pos="284"/>
              </w:tabs>
              <w:spacing w:after="0" w:line="240" w:lineRule="auto"/>
              <w:ind w:right="-1"/>
              <w:jc w:val="both"/>
              <w:rPr>
                <w:rFonts w:ascii="Times New Roman" w:hAnsi="Times New Roman" w:cs="Times New Roman"/>
                <w:sz w:val="24"/>
                <w:szCs w:val="24"/>
              </w:rPr>
            </w:pPr>
          </w:p>
        </w:tc>
        <w:tc>
          <w:tcPr>
            <w:tcW w:w="3827" w:type="dxa"/>
            <w:gridSpan w:val="2"/>
            <w:vMerge/>
          </w:tcPr>
          <w:p w:rsidR="009329C9" w:rsidRDefault="009329C9">
            <w:pPr>
              <w:tabs>
                <w:tab w:val="left" w:pos="284"/>
              </w:tabs>
              <w:spacing w:after="0" w:line="240" w:lineRule="auto"/>
              <w:ind w:right="-1"/>
              <w:jc w:val="both"/>
              <w:rPr>
                <w:rFonts w:ascii="Times New Roman" w:hAnsi="Times New Roman" w:cs="Times New Roman"/>
                <w:sz w:val="24"/>
                <w:szCs w:val="24"/>
              </w:rPr>
            </w:pPr>
          </w:p>
        </w:tc>
      </w:tr>
      <w:tr w:rsidR="009329C9">
        <w:tc>
          <w:tcPr>
            <w:tcW w:w="2802" w:type="dxa"/>
          </w:tcPr>
          <w:p w:rsidR="009329C9" w:rsidRDefault="00B521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Специфична цел 3 – </w:t>
            </w:r>
            <w:r>
              <w:rPr>
                <w:rFonts w:ascii="Times New Roman" w:eastAsia="Times New Roman" w:hAnsi="Times New Roman" w:cs="Times New Roman"/>
                <w:sz w:val="24"/>
                <w:szCs w:val="24"/>
              </w:rPr>
              <w:t xml:space="preserve">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 </w:t>
            </w:r>
          </w:p>
        </w:tc>
        <w:tc>
          <w:tcPr>
            <w:tcW w:w="3402" w:type="dxa"/>
          </w:tcPr>
          <w:p w:rsidR="009329C9" w:rsidRDefault="009329C9">
            <w:pPr>
              <w:tabs>
                <w:tab w:val="left" w:pos="284"/>
              </w:tabs>
              <w:spacing w:after="0"/>
              <w:ind w:right="-1"/>
              <w:rPr>
                <w:rFonts w:ascii="Times New Roman" w:hAnsi="Times New Roman" w:cs="Times New Roman"/>
                <w:sz w:val="24"/>
                <w:szCs w:val="24"/>
              </w:rPr>
            </w:pPr>
          </w:p>
        </w:tc>
        <w:tc>
          <w:tcPr>
            <w:tcW w:w="3827" w:type="dxa"/>
            <w:gridSpan w:val="2"/>
          </w:tcPr>
          <w:p w:rsidR="009329C9" w:rsidRDefault="00B5212B">
            <w:pPr>
              <w:tabs>
                <w:tab w:val="left" w:pos="284"/>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Национална програма за развитие България 2020 –</w:t>
            </w:r>
          </w:p>
          <w:p w:rsidR="009329C9" w:rsidRDefault="00B5212B">
            <w:pPr>
              <w:tabs>
                <w:tab w:val="left" w:pos="284"/>
              </w:tabs>
              <w:spacing w:after="0" w:line="240" w:lineRule="auto"/>
              <w:rPr>
                <w:rFonts w:ascii="Times New Roman" w:hAnsi="Times New Roman" w:cs="Times New Roman"/>
                <w:sz w:val="24"/>
                <w:szCs w:val="24"/>
              </w:rPr>
            </w:pPr>
            <w:r>
              <w:rPr>
                <w:rFonts w:ascii="Times New Roman" w:hAnsi="Times New Roman" w:cs="Times New Roman"/>
                <w:bCs/>
                <w:sz w:val="24"/>
                <w:szCs w:val="24"/>
              </w:rPr>
              <w:t>Приоритет 1. Подобряване на достъпа и повишаване на качеството на образованието и обучението и качествените характеристики на работната сила</w:t>
            </w:r>
          </w:p>
        </w:tc>
      </w:tr>
      <w:tr w:rsidR="009329C9">
        <w:tc>
          <w:tcPr>
            <w:tcW w:w="10031" w:type="dxa"/>
            <w:gridSpan w:val="4"/>
          </w:tcPr>
          <w:p w:rsidR="009329C9" w:rsidRDefault="00B5212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u w:val="single"/>
              </w:rPr>
              <w:t>Приоритет 4</w:t>
            </w:r>
            <w:r>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w:t>
            </w:r>
          </w:p>
        </w:tc>
      </w:tr>
      <w:tr w:rsidR="009329C9">
        <w:tc>
          <w:tcPr>
            <w:tcW w:w="2802" w:type="dxa"/>
          </w:tcPr>
          <w:p w:rsidR="009329C9" w:rsidRDefault="00B521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1</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lastRenderedPageBreak/>
              <w:t>Повишаване на производителността на МСП на територията на МИГ Свиленград Ареал</w:t>
            </w:r>
          </w:p>
          <w:p w:rsidR="009329C9" w:rsidRDefault="009329C9">
            <w:pPr>
              <w:tabs>
                <w:tab w:val="left" w:pos="284"/>
              </w:tabs>
              <w:spacing w:after="0" w:line="240" w:lineRule="auto"/>
              <w:ind w:right="-1"/>
              <w:rPr>
                <w:rFonts w:ascii="Times New Roman" w:hAnsi="Times New Roman" w:cs="Times New Roman"/>
                <w:sz w:val="24"/>
                <w:szCs w:val="24"/>
              </w:rPr>
            </w:pPr>
          </w:p>
        </w:tc>
        <w:tc>
          <w:tcPr>
            <w:tcW w:w="3543" w:type="dxa"/>
            <w:gridSpan w:val="2"/>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МСП са със затруднен достъп </w:t>
            </w:r>
            <w:r>
              <w:rPr>
                <w:rFonts w:ascii="Times New Roman" w:hAnsi="Times New Roman" w:cs="Times New Roman"/>
                <w:color w:val="000000"/>
                <w:sz w:val="24"/>
                <w:szCs w:val="24"/>
              </w:rPr>
              <w:lastRenderedPageBreak/>
              <w:t xml:space="preserve">до финансиране, имат ниска норма на печалба и не създават достатъчен брой работни места; Недостатъчна предприемаческа култура в местната общност; Ниско ниво на външните и чуждите инвестиции, особено в последните години; </w:t>
            </w:r>
          </w:p>
        </w:tc>
        <w:tc>
          <w:tcPr>
            <w:tcW w:w="3686" w:type="dxa"/>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sz w:val="24"/>
                <w:szCs w:val="24"/>
              </w:rPr>
              <w:lastRenderedPageBreak/>
              <w:t>Национална програма за раз</w:t>
            </w:r>
            <w:r>
              <w:rPr>
                <w:rFonts w:ascii="Times New Roman" w:hAnsi="Times New Roman" w:cs="Times New Roman"/>
                <w:b/>
                <w:bCs/>
                <w:sz w:val="24"/>
                <w:szCs w:val="24"/>
              </w:rPr>
              <w:lastRenderedPageBreak/>
              <w:t>витие България 2020</w:t>
            </w:r>
            <w:r>
              <w:rPr>
                <w:rFonts w:ascii="Times New Roman" w:hAnsi="Times New Roman" w:cs="Times New Roman"/>
                <w:bCs/>
                <w:sz w:val="24"/>
                <w:szCs w:val="24"/>
              </w:rPr>
              <w:t xml:space="preserve"> -</w:t>
            </w:r>
            <w:r>
              <w:rPr>
                <w:rFonts w:ascii="Times New Roman" w:hAnsi="Times New Roman" w:cs="Times New Roman"/>
                <w:bCs/>
                <w:color w:val="000000"/>
                <w:sz w:val="24"/>
                <w:szCs w:val="24"/>
              </w:rPr>
              <w:t xml:space="preserve">Приоритет 5. Подкрепа на иновационните и инвестиционни дейности за повишаване на конкурентоспособността на икономиката </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Подприоритет5.5 </w:t>
            </w:r>
            <w:r>
              <w:rPr>
                <w:rFonts w:ascii="Times New Roman" w:hAnsi="Times New Roman" w:cs="Times New Roman"/>
                <w:iCs/>
                <w:sz w:val="24"/>
                <w:szCs w:val="24"/>
              </w:rPr>
              <w:t>Повишаване на конкурентоспособността и жизнеспособността основно на МСП</w:t>
            </w:r>
          </w:p>
        </w:tc>
      </w:tr>
    </w:tbl>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lastRenderedPageBreak/>
        <w:t>Десегрегация и деинституционализация</w:t>
      </w:r>
    </w:p>
    <w:p w:rsidR="009329C9" w:rsidRDefault="00B5212B">
      <w:pPr>
        <w:tabs>
          <w:tab w:val="left" w:pos="284"/>
        </w:tabs>
        <w:spacing w:after="0"/>
        <w:ind w:right="-1"/>
        <w:jc w:val="both"/>
        <w:rPr>
          <w:rFonts w:ascii="Times New Roman" w:hAnsi="Times New Roman" w:cs="Times New Roman"/>
          <w:sz w:val="24"/>
          <w:szCs w:val="24"/>
        </w:rPr>
      </w:pPr>
      <w:bookmarkStart w:id="27" w:name="_Toc448392287"/>
      <w:r>
        <w:rPr>
          <w:rFonts w:ascii="Times New Roman" w:hAnsi="Times New Roman" w:cs="Times New Roman"/>
          <w:sz w:val="24"/>
          <w:szCs w:val="24"/>
        </w:rPr>
        <w:t xml:space="preserve">С цел избягване и превенция на дискриминацията, МИГ „Свиленград Ареал“създава възможности за участие на всички групи в риск в дейностите по консултиране, информиране, изработване и представяне на СВОМР. За изолираните групи като ромските общности, ще се положат специални усилия в посока на тяхната </w:t>
      </w:r>
      <w:r>
        <w:rPr>
          <w:rFonts w:ascii="Times New Roman" w:hAnsi="Times New Roman" w:cs="Times New Roman"/>
          <w:b/>
          <w:sz w:val="24"/>
          <w:szCs w:val="24"/>
        </w:rPr>
        <w:t>десегрегация</w:t>
      </w:r>
      <w:r>
        <w:rPr>
          <w:rFonts w:ascii="Times New Roman" w:hAnsi="Times New Roman" w:cs="Times New Roman"/>
          <w:sz w:val="24"/>
          <w:szCs w:val="24"/>
        </w:rPr>
        <w:t>, ще бъдат създадени възможности за максимално ограничаване на социалното изключване чрез инструментите на ОП РЧР и ОПНОИР. Във всички дейности по проекта (Популяризиране процеса на разработка на стратегията,Обучение на местни лидери и по подготовката на стратегията) взеха участие уязвими групи и малцинства. В критериите за оценка на проекти по мерки:7.5., 7.11 и 7.2 от ПРСР и по всички мерки от ОПРЧР и ОПНОИР са включени политики за недискримиинация и десегрегация. Екипът на МИГ по прилагане на Стратегията ще работи усилено за информиране, мотивиране и подпомагане на потенциални бенефициенти от изброените в предишната точка слаби социални групи. Наблюдението и оценката на изпълнението на СВОМР също се стреми да гарантира и спазва принципа на недискриминацията.</w:t>
      </w:r>
      <w:bookmarkStart w:id="28" w:name="_Toc449349432"/>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В подкрепа на политиките за </w:t>
      </w:r>
      <w:r>
        <w:rPr>
          <w:rFonts w:ascii="Times New Roman" w:hAnsi="Times New Roman" w:cs="Times New Roman"/>
          <w:b/>
          <w:sz w:val="24"/>
          <w:szCs w:val="24"/>
        </w:rPr>
        <w:t xml:space="preserve">деинституционализация </w:t>
      </w:r>
      <w:r>
        <w:rPr>
          <w:rFonts w:ascii="Times New Roman" w:hAnsi="Times New Roman" w:cs="Times New Roman"/>
          <w:sz w:val="24"/>
          <w:szCs w:val="24"/>
        </w:rPr>
        <w:t>в община Свиленград  повечето социални услуги за изнесени в общността и извън специализираните институции. На територията действа „Общинска стратегия за развитие на социалните услуги“. Стратегията има за основни приоритети  ограничаването на бедността и социалното изключване, активното участие в пазара на труда, равни възможности за най-уязвимите групи. Залага се на превенцията, подкрепа на децата и семействата чрез мерки  за подобряване материалното им състояние, извеждане на групите в риск извън институциите и включването им в общността, създаване на връзка със системите на образование и здравеопазване като компоненти на концепцията за борба с бедността и социалното изключване сред децата. В подкрепа на децата в риск е приета и „Общинска Програма за закрила на детето“.Дейностите и мерките по процесите на деинституционализация спазват основните принципи за: социални услуги, които отговарят на реалните нужди на рисковите групи; индивидуализиране на оценката и на грижата за потребителя; насърчаване на услугите в общността и ограничаване на услугите в институции; гарантиране на равен достъп до услуги на всички жители на общината и осигуряване достъп до услуги в изолирани населени места чрез мобилност на услугите; интегриран подход към решаването на проблемите на целевите рискови групи заедно със системите на здравеопазването и образованието.Избраните направления за съдържанието на социалните услуги включват:1. Превенция за деца и семейства в риск и деинституционализация на грижите за деца;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 Развитие на социални услуги в общността за социално включване на уязвими</w:t>
      </w:r>
    </w:p>
    <w:p w:rsidR="009329C9" w:rsidRDefault="00B5212B">
      <w:pPr>
        <w:spacing w:after="0"/>
        <w:rPr>
          <w:rFonts w:ascii="Times New Roman" w:eastAsia="Calibri" w:hAnsi="Times New Roman" w:cs="Times New Roman"/>
          <w:sz w:val="23"/>
          <w:szCs w:val="23"/>
          <w:lang w:eastAsia="en-US"/>
        </w:rPr>
      </w:pPr>
      <w:r>
        <w:rPr>
          <w:rFonts w:ascii="Times New Roman" w:hAnsi="Times New Roman" w:cs="Times New Roman"/>
          <w:sz w:val="24"/>
          <w:szCs w:val="24"/>
        </w:rPr>
        <w:t xml:space="preserve">групи и лица в неравностойно положение; 3. Грижа за старите хора за по-добър и достоен живот; 4. Развитиена човешките ресурси в областта на социалните услуги; </w:t>
      </w:r>
      <w:r>
        <w:rPr>
          <w:rFonts w:ascii="Times New Roman" w:eastAsia="Calibri" w:hAnsi="Times New Roman" w:cs="Times New Roman"/>
          <w:sz w:val="23"/>
          <w:szCs w:val="23"/>
          <w:lang w:eastAsia="en-US"/>
        </w:rPr>
        <w:t xml:space="preserve">5. Изграждане на междуобщинско партньорство и междусекторно сътрудничество. </w:t>
      </w:r>
    </w:p>
    <w:p w:rsidR="009329C9" w:rsidRDefault="00B5212B">
      <w:pPr>
        <w:spacing w:after="0"/>
        <w:rPr>
          <w:rFonts w:ascii="Times New Roman" w:eastAsia="Calibri" w:hAnsi="Times New Roman" w:cs="Times New Roman"/>
          <w:sz w:val="23"/>
          <w:szCs w:val="23"/>
          <w:lang w:eastAsia="en-US"/>
        </w:rPr>
      </w:pPr>
      <w:r>
        <w:rPr>
          <w:rFonts w:ascii="Times New Roman" w:hAnsi="Times New Roman" w:cs="Times New Roman"/>
          <w:sz w:val="24"/>
          <w:szCs w:val="24"/>
        </w:rPr>
        <w:lastRenderedPageBreak/>
        <w:t>Предвидените в Стратегията за ВОМР цели и мерки по различните Програми допълват дейностите и усилията на общинската администрация и НПО сектора да се осигурят за нуждаещите се качествени грижи в домашна среда, възможност за независим начин на живот, борба с бедността и социалното изключване.</w:t>
      </w:r>
    </w:p>
    <w:p w:rsidR="009329C9" w:rsidRDefault="00B5212B">
      <w:pPr>
        <w:pStyle w:val="af4"/>
        <w:numPr>
          <w:ilvl w:val="1"/>
          <w:numId w:val="3"/>
        </w:numPr>
        <w:spacing w:after="0"/>
        <w:ind w:right="-1"/>
        <w:jc w:val="both"/>
        <w:rPr>
          <w:rFonts w:ascii="Times New Roman" w:hAnsi="Times New Roman" w:cs="Times New Roman"/>
          <w:b/>
          <w:sz w:val="24"/>
          <w:szCs w:val="24"/>
        </w:rPr>
      </w:pPr>
      <w:r>
        <w:rPr>
          <w:rFonts w:ascii="Times New Roman" w:hAnsi="Times New Roman" w:cs="Times New Roman"/>
          <w:b/>
          <w:sz w:val="24"/>
          <w:szCs w:val="24"/>
        </w:rPr>
        <w:t>Описание на иновативните характеристики на стратегията</w:t>
      </w:r>
      <w:bookmarkEnd w:id="27"/>
      <w:r>
        <w:rPr>
          <w:rFonts w:ascii="Times New Roman" w:hAnsi="Times New Roman" w:cs="Times New Roman"/>
          <w:b/>
          <w:sz w:val="24"/>
          <w:szCs w:val="24"/>
        </w:rPr>
        <w:t>.</w:t>
      </w:r>
      <w:bookmarkEnd w:id="28"/>
    </w:p>
    <w:p w:rsidR="009329C9" w:rsidRDefault="00B5212B">
      <w:pPr>
        <w:spacing w:after="0"/>
        <w:jc w:val="both"/>
        <w:rPr>
          <w:rFonts w:ascii="Times New Roman" w:hAnsi="Times New Roman" w:cs="Times New Roman"/>
          <w:sz w:val="24"/>
          <w:szCs w:val="24"/>
        </w:rPr>
      </w:pPr>
      <w:r>
        <w:rPr>
          <w:rFonts w:ascii="Times New Roman" w:hAnsi="Times New Roman" w:cs="Times New Roman"/>
          <w:sz w:val="24"/>
          <w:szCs w:val="24"/>
        </w:rPr>
        <w:t xml:space="preserve">Иновативността на стратегията за ВОМР може да се открие във включените в нея нови подходи, методи и средства за реализирането й, които не са прилагани на теририторията на местната общност досега. Те ще бъдат реализирани чрез: </w:t>
      </w:r>
    </w:p>
    <w:p w:rsidR="009329C9" w:rsidRDefault="00B5212B">
      <w:pPr>
        <w:pStyle w:val="af4"/>
        <w:numPr>
          <w:ilvl w:val="0"/>
          <w:numId w:val="4"/>
        </w:numPr>
        <w:tabs>
          <w:tab w:val="left" w:pos="0"/>
        </w:tabs>
        <w:ind w:left="0" w:right="-1" w:firstLine="360"/>
        <w:jc w:val="both"/>
        <w:rPr>
          <w:rFonts w:ascii="Times New Roman" w:hAnsi="Times New Roman" w:cs="Times New Roman"/>
          <w:sz w:val="24"/>
          <w:szCs w:val="24"/>
        </w:rPr>
      </w:pPr>
      <w:r>
        <w:rPr>
          <w:rFonts w:ascii="Times New Roman" w:hAnsi="Times New Roman" w:cs="Times New Roman"/>
          <w:sz w:val="24"/>
          <w:szCs w:val="24"/>
        </w:rPr>
        <w:t xml:space="preserve">Подходът ВОМР се прилага за първи път на територията на МИГ „Свиленград Ареал“ и в този смисъл е </w:t>
      </w:r>
      <w:r>
        <w:rPr>
          <w:rFonts w:ascii="Times New Roman" w:hAnsi="Times New Roman" w:cs="Times New Roman"/>
          <w:b/>
          <w:sz w:val="24"/>
          <w:szCs w:val="24"/>
        </w:rPr>
        <w:t>иновативен подход</w:t>
      </w:r>
      <w:r>
        <w:rPr>
          <w:rFonts w:ascii="Times New Roman" w:hAnsi="Times New Roman" w:cs="Times New Roman"/>
          <w:sz w:val="24"/>
          <w:szCs w:val="24"/>
        </w:rPr>
        <w:t xml:space="preserve"> за местно развитие,основан на широкото участие на различните групи заинтересовани страни и цялата местна общност чрез включване на комплексни мерки за оползотворяване на потенциала и решаване на проблемите на цялата територия.</w:t>
      </w:r>
    </w:p>
    <w:p w:rsidR="009329C9" w:rsidRDefault="00B5212B">
      <w:pPr>
        <w:pStyle w:val="af4"/>
        <w:numPr>
          <w:ilvl w:val="0"/>
          <w:numId w:val="4"/>
        </w:numPr>
        <w:tabs>
          <w:tab w:val="left" w:pos="0"/>
        </w:tabs>
        <w:ind w:left="0" w:right="-1" w:firstLine="360"/>
        <w:jc w:val="both"/>
        <w:rPr>
          <w:rFonts w:ascii="Times New Roman" w:hAnsi="Times New Roman" w:cs="Times New Roman"/>
          <w:sz w:val="24"/>
          <w:szCs w:val="24"/>
        </w:rPr>
      </w:pPr>
      <w:r>
        <w:rPr>
          <w:rFonts w:ascii="Times New Roman" w:hAnsi="Times New Roman" w:cs="Times New Roman"/>
          <w:sz w:val="24"/>
          <w:szCs w:val="24"/>
        </w:rPr>
        <w:t xml:space="preserve">Използването на механизмите и мерките на различните ОП, които се допълват и дават възможност за комплексен подход при решаване на проблемите или развиване на потенциала на територията също представлява </w:t>
      </w:r>
      <w:r>
        <w:rPr>
          <w:rFonts w:ascii="Times New Roman" w:hAnsi="Times New Roman" w:cs="Times New Roman"/>
          <w:b/>
          <w:sz w:val="24"/>
          <w:szCs w:val="24"/>
        </w:rPr>
        <w:t>иновативен метод за развитие</w:t>
      </w:r>
      <w:r>
        <w:rPr>
          <w:rFonts w:ascii="Times New Roman" w:hAnsi="Times New Roman" w:cs="Times New Roman"/>
          <w:sz w:val="24"/>
          <w:szCs w:val="24"/>
        </w:rPr>
        <w:t>. Стратегията е многофондова и включва възможност за финансиране от ПРСР; ОПИК; ОПРЧР; ОПНОИР и  ОПОС.Подкрепата за развитие на земеделските стопанства,  диверсификацията в неземеделски дейности, развитието на туризма и опазването на околната среда, заедно с повишаване конкурентоспособността на местните МСП и общото насърчаване на икономическото развитие ще доведат до решаване и на редица проблеми като безработица, бедност и социално изключване. Специалният фокус върху маргинализираните и рискови групи, включването им в трудовия пазар, образователната и здравна системи пък ще окаже положителен ефект върху икономиката в района като цяло.</w:t>
      </w:r>
    </w:p>
    <w:p w:rsidR="009329C9" w:rsidRDefault="00B5212B">
      <w:pPr>
        <w:pStyle w:val="af4"/>
        <w:numPr>
          <w:ilvl w:val="0"/>
          <w:numId w:val="4"/>
        </w:numPr>
        <w:tabs>
          <w:tab w:val="left" w:pos="0"/>
        </w:tabs>
        <w:ind w:left="0" w:right="-1" w:firstLine="360"/>
        <w:jc w:val="both"/>
        <w:rPr>
          <w:rFonts w:ascii="Times New Roman" w:hAnsi="Times New Roman" w:cs="Times New Roman"/>
          <w:sz w:val="24"/>
          <w:szCs w:val="24"/>
        </w:rPr>
      </w:pPr>
      <w:r>
        <w:rPr>
          <w:rFonts w:ascii="Times New Roman" w:hAnsi="Times New Roman" w:cs="Times New Roman"/>
          <w:sz w:val="24"/>
          <w:szCs w:val="24"/>
        </w:rPr>
        <w:t xml:space="preserve">Създадена е допълнителна </w:t>
      </w:r>
      <w:r>
        <w:rPr>
          <w:rFonts w:ascii="Times New Roman" w:hAnsi="Times New Roman" w:cs="Times New Roman"/>
          <w:b/>
          <w:sz w:val="24"/>
          <w:szCs w:val="24"/>
        </w:rPr>
        <w:t>иновативна мярка</w:t>
      </w:r>
      <w:r>
        <w:rPr>
          <w:rFonts w:ascii="Times New Roman" w:hAnsi="Times New Roman" w:cs="Times New Roman"/>
          <w:sz w:val="24"/>
          <w:szCs w:val="24"/>
        </w:rPr>
        <w:t xml:space="preserve">по ПРСР - 7.11 </w:t>
      </w:r>
      <w:r>
        <w:rPr>
          <w:rFonts w:ascii="Times New Roman" w:eastAsia="Times New Roman" w:hAnsi="Times New Roman" w:cs="Times New Roman"/>
          <w:bCs/>
          <w:sz w:val="24"/>
          <w:szCs w:val="24"/>
        </w:rPr>
        <w:t>„Повишаване на атрактивността на територията на МИГ и стимулиране на сътрудничеството, чрез популяризиране на културно-историческото и природно наследство.”</w:t>
      </w:r>
      <w:r>
        <w:rPr>
          <w:rFonts w:ascii="Times New Roman" w:hAnsi="Times New Roman" w:cs="Times New Roman"/>
          <w:sz w:val="24"/>
          <w:szCs w:val="24"/>
        </w:rPr>
        <w:t>, която предоставя възможност за новиза територията на МИГ комбинирани форми за използване на културните и природните ресурси, както и валоризирането им в нови форми на туризъм.</w:t>
      </w:r>
    </w:p>
    <w:p w:rsidR="009329C9" w:rsidRDefault="00B5212B">
      <w:pPr>
        <w:pStyle w:val="af4"/>
        <w:numPr>
          <w:ilvl w:val="0"/>
          <w:numId w:val="4"/>
        </w:numPr>
        <w:tabs>
          <w:tab w:val="left" w:pos="0"/>
        </w:tabs>
        <w:ind w:left="0" w:right="-1" w:firstLine="360"/>
        <w:jc w:val="both"/>
        <w:rPr>
          <w:rFonts w:ascii="Times New Roman" w:hAnsi="Times New Roman" w:cs="Times New Roman"/>
          <w:sz w:val="24"/>
          <w:szCs w:val="24"/>
        </w:rPr>
      </w:pPr>
      <w:r>
        <w:rPr>
          <w:rFonts w:ascii="Times New Roman" w:hAnsi="Times New Roman" w:cs="Times New Roman"/>
          <w:sz w:val="24"/>
          <w:szCs w:val="24"/>
        </w:rPr>
        <w:t xml:space="preserve">Критерии за оценка на проекти  по мерки 6.4; 7.11 и 7.2 дават предимство на тези, въвеждащи </w:t>
      </w:r>
      <w:r>
        <w:rPr>
          <w:rFonts w:ascii="Times New Roman" w:hAnsi="Times New Roman" w:cs="Times New Roman"/>
          <w:b/>
          <w:sz w:val="24"/>
          <w:szCs w:val="24"/>
        </w:rPr>
        <w:t>иновативни практики и подходи</w:t>
      </w:r>
      <w:bookmarkStart w:id="29" w:name="_Toc448392288"/>
      <w:bookmarkStart w:id="30" w:name="_Toc449349433"/>
    </w:p>
    <w:p w:rsidR="009329C9" w:rsidRDefault="009329C9">
      <w:pPr>
        <w:ind w:right="-1"/>
        <w:jc w:val="both"/>
        <w:rPr>
          <w:rFonts w:ascii="Times New Roman" w:hAnsi="Times New Roman" w:cs="Times New Roman"/>
          <w:b/>
          <w:sz w:val="24"/>
          <w:szCs w:val="24"/>
        </w:rPr>
      </w:pPr>
    </w:p>
    <w:p w:rsidR="009329C9" w:rsidRDefault="00B5212B">
      <w:pPr>
        <w:rPr>
          <w:rFonts w:ascii="Times New Roman" w:hAnsi="Times New Roman" w:cs="Times New Roman"/>
          <w:b/>
          <w:sz w:val="24"/>
          <w:szCs w:val="24"/>
        </w:rPr>
      </w:pPr>
      <w:r>
        <w:rPr>
          <w:rFonts w:ascii="Times New Roman" w:hAnsi="Times New Roman" w:cs="Times New Roman"/>
          <w:b/>
          <w:sz w:val="24"/>
          <w:szCs w:val="24"/>
        </w:rPr>
        <w:br w:type="page"/>
      </w:r>
    </w:p>
    <w:p w:rsidR="009329C9" w:rsidRDefault="00B5212B">
      <w:pPr>
        <w:ind w:right="-1"/>
        <w:jc w:val="both"/>
        <w:rPr>
          <w:rFonts w:ascii="Times New Roman" w:hAnsi="Times New Roman" w:cs="Times New Roman"/>
          <w:sz w:val="24"/>
          <w:szCs w:val="24"/>
        </w:rPr>
      </w:pPr>
      <w:r>
        <w:rPr>
          <w:rFonts w:ascii="Times New Roman" w:hAnsi="Times New Roman" w:cs="Times New Roman"/>
          <w:b/>
          <w:sz w:val="24"/>
          <w:szCs w:val="24"/>
        </w:rPr>
        <w:lastRenderedPageBreak/>
        <w:t>4.5. Йерархията на целите – включително цели за крайните продукти или резултатите:</w:t>
      </w:r>
      <w:bookmarkEnd w:id="29"/>
      <w:bookmarkEnd w:id="30"/>
    </w:p>
    <w:p w:rsidR="009329C9" w:rsidRDefault="00B5212B">
      <w:pPr>
        <w:ind w:right="-1"/>
        <w:jc w:val="both"/>
        <w:rPr>
          <w:rFonts w:ascii="Times New Roman" w:eastAsiaTheme="majorEastAsia" w:hAnsi="Times New Roman" w:cs="Times New Roman"/>
          <w:b/>
          <w:bCs/>
          <w:color w:val="FF0000"/>
          <w:sz w:val="24"/>
          <w:szCs w:val="24"/>
        </w:rPr>
      </w:pPr>
      <w:bookmarkStart w:id="31" w:name="_Toc448392289"/>
      <w:bookmarkStart w:id="32" w:name="_Toc449349434"/>
      <w:r>
        <w:rPr>
          <w:rFonts w:ascii="Times New Roman" w:eastAsia="Calibri" w:hAnsi="Times New Roman" w:cs="Times New Roman"/>
          <w:noProof/>
        </w:rPr>
        <w:drawing>
          <wp:inline distT="0" distB="0" distL="0" distR="0">
            <wp:extent cx="6494145" cy="701611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6653" cy="7018359"/>
                    </a:xfrm>
                    <a:prstGeom prst="rect">
                      <a:avLst/>
                    </a:prstGeom>
                  </pic:spPr>
                </pic:pic>
              </a:graphicData>
            </a:graphic>
          </wp:inline>
        </w:drawing>
      </w:r>
    </w:p>
    <w:p w:rsidR="009329C9" w:rsidRDefault="00B5212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9329C9" w:rsidRDefault="00B5212B">
      <w:pPr>
        <w:pStyle w:val="1"/>
        <w:numPr>
          <w:ilvl w:val="0"/>
          <w:numId w:val="5"/>
        </w:numPr>
        <w:pBdr>
          <w:top w:val="single" w:sz="4" w:space="1" w:color="auto"/>
          <w:left w:val="single" w:sz="4" w:space="28" w:color="auto"/>
          <w:bottom w:val="single" w:sz="4" w:space="1" w:color="auto"/>
          <w:right w:val="single" w:sz="4" w:space="4" w:color="auto"/>
        </w:pBdr>
        <w:rPr>
          <w:rFonts w:ascii="Times New Roman" w:hAnsi="Times New Roman" w:cs="Times New Roman"/>
          <w:color w:val="auto"/>
          <w:sz w:val="24"/>
          <w:szCs w:val="24"/>
        </w:rPr>
      </w:pPr>
      <w:r>
        <w:rPr>
          <w:rFonts w:ascii="Times New Roman" w:hAnsi="Times New Roman" w:cs="Times New Roman"/>
          <w:color w:val="auto"/>
          <w:sz w:val="24"/>
          <w:szCs w:val="24"/>
        </w:rPr>
        <w:lastRenderedPageBreak/>
        <w:t>Описание на мерките:</w:t>
      </w:r>
      <w:bookmarkEnd w:id="31"/>
      <w:bookmarkEnd w:id="32"/>
    </w:p>
    <w:p w:rsidR="009329C9" w:rsidRDefault="00B5212B">
      <w:pPr>
        <w:rPr>
          <w:rFonts w:ascii="Times New Roman" w:hAnsi="Times New Roman" w:cs="Times New Roman"/>
          <w:sz w:val="24"/>
          <w:szCs w:val="24"/>
        </w:rPr>
      </w:pPr>
      <w:r>
        <w:rPr>
          <w:rFonts w:ascii="Times New Roman" w:hAnsi="Times New Roman" w:cs="Times New Roman"/>
          <w:sz w:val="24"/>
          <w:szCs w:val="24"/>
        </w:rPr>
        <w:t>Мерки и дейности за всеки един от фондовете поотделно:</w:t>
      </w:r>
    </w:p>
    <w:p w:rsidR="009329C9" w:rsidRDefault="00B5212B">
      <w:pPr>
        <w:pStyle w:val="2"/>
        <w:rPr>
          <w:rFonts w:ascii="Times New Roman" w:hAnsi="Times New Roman" w:cs="Times New Roman"/>
          <w:b/>
          <w:i/>
          <w:color w:val="auto"/>
          <w:sz w:val="24"/>
          <w:szCs w:val="24"/>
        </w:rPr>
      </w:pPr>
      <w:r>
        <w:rPr>
          <w:rFonts w:ascii="Times New Roman" w:hAnsi="Times New Roman" w:cs="Times New Roman"/>
          <w:b/>
          <w:i/>
          <w:color w:val="auto"/>
          <w:sz w:val="24"/>
          <w:szCs w:val="24"/>
        </w:rPr>
        <w:t>ПРСР (ЕЗФРСР)</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788"/>
      </w:tblGrid>
      <w:tr w:rsidR="009329C9">
        <w:tc>
          <w:tcPr>
            <w:tcW w:w="10490" w:type="dxa"/>
            <w:gridSpan w:val="2"/>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МЯРКА 4 ИНВЕСТИЦИИ В МАТЕРИАЛИ АКТИВИ</w:t>
            </w:r>
          </w:p>
        </w:tc>
      </w:tr>
      <w:tr w:rsidR="009329C9">
        <w:tc>
          <w:tcPr>
            <w:tcW w:w="10490"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sz w:val="24"/>
                <w:szCs w:val="24"/>
              </w:rPr>
            </w:pPr>
            <w:r>
              <w:rPr>
                <w:rFonts w:ascii="Times New Roman" w:eastAsia="Calibri" w:hAnsi="Times New Roman" w:cs="Times New Roman"/>
                <w:color w:val="auto"/>
                <w:sz w:val="24"/>
                <w:szCs w:val="24"/>
              </w:rPr>
              <w:t>Мярка 4.1 ИНВЕСТИЦИИ В ЗЕМЕДЕЛСКИ СТОПАНСТВА</w:t>
            </w:r>
          </w:p>
        </w:tc>
      </w:tr>
      <w:tr w:rsidR="009329C9">
        <w:tc>
          <w:tcPr>
            <w:tcW w:w="1702" w:type="dxa"/>
            <w:shd w:val="clear" w:color="auto" w:fill="D9D9D9" w:themeFill="background1" w:themeFillShade="D9"/>
          </w:tcPr>
          <w:p w:rsidR="009329C9" w:rsidRDefault="00B5212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Описание на целите</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Да се повиши конкурентоспособността на земеделието на територията на МИГ „Свиленград Ареал“ чрез:</w:t>
            </w:r>
          </w:p>
          <w:p w:rsidR="009329C9" w:rsidRDefault="00B5212B">
            <w:pPr>
              <w:numPr>
                <w:ilvl w:val="0"/>
                <w:numId w:val="6"/>
              </w:numPr>
              <w:tabs>
                <w:tab w:val="left" w:pos="175"/>
              </w:tabs>
              <w:spacing w:after="0"/>
              <w:ind w:left="317"/>
              <w:rPr>
                <w:rFonts w:ascii="Times New Roman" w:eastAsia="Calibri" w:hAnsi="Times New Roman" w:cs="Times New Roman"/>
                <w:sz w:val="24"/>
                <w:szCs w:val="24"/>
              </w:rPr>
            </w:pPr>
            <w:r>
              <w:rPr>
                <w:rFonts w:ascii="Times New Roman" w:eastAsia="Calibri" w:hAnsi="Times New Roman" w:cs="Times New Roman"/>
                <w:sz w:val="24"/>
                <w:szCs w:val="24"/>
              </w:rPr>
              <w:t>Преструктуриране и развитие на наличните материали мощности в стопанствата;</w:t>
            </w:r>
          </w:p>
          <w:p w:rsidR="009329C9" w:rsidRDefault="00B5212B">
            <w:pPr>
              <w:numPr>
                <w:ilvl w:val="0"/>
                <w:numId w:val="6"/>
              </w:numPr>
              <w:tabs>
                <w:tab w:val="left" w:pos="175"/>
              </w:tabs>
              <w:spacing w:after="0"/>
              <w:ind w:left="317"/>
              <w:rPr>
                <w:rFonts w:ascii="Times New Roman" w:eastAsia="Calibri" w:hAnsi="Times New Roman" w:cs="Times New Roman"/>
                <w:sz w:val="24"/>
                <w:szCs w:val="24"/>
              </w:rPr>
            </w:pPr>
            <w:r>
              <w:rPr>
                <w:rFonts w:ascii="Times New Roman" w:eastAsia="Calibri" w:hAnsi="Times New Roman" w:cs="Times New Roman"/>
                <w:sz w:val="24"/>
                <w:szCs w:val="24"/>
              </w:rPr>
              <w:t>Насърчаване въвеждането на нови технологии в производството и модернизация на физическия капитал;</w:t>
            </w:r>
          </w:p>
          <w:p w:rsidR="009329C9" w:rsidRDefault="00B5212B">
            <w:pPr>
              <w:numPr>
                <w:ilvl w:val="0"/>
                <w:numId w:val="6"/>
              </w:numPr>
              <w:tabs>
                <w:tab w:val="left" w:pos="175"/>
              </w:tabs>
              <w:spacing w:after="0"/>
              <w:ind w:left="317"/>
              <w:rPr>
                <w:rFonts w:ascii="Times New Roman" w:eastAsia="Calibri" w:hAnsi="Times New Roman" w:cs="Times New Roman"/>
                <w:sz w:val="24"/>
                <w:szCs w:val="24"/>
              </w:rPr>
            </w:pPr>
            <w:r>
              <w:rPr>
                <w:rFonts w:ascii="Times New Roman" w:eastAsia="Calibri" w:hAnsi="Times New Roman" w:cs="Times New Roman"/>
                <w:sz w:val="24"/>
                <w:szCs w:val="24"/>
              </w:rPr>
              <w:t>Опазване на компонентите на околната среда;</w:t>
            </w:r>
          </w:p>
          <w:p w:rsidR="009329C9" w:rsidRDefault="00B5212B">
            <w:pPr>
              <w:numPr>
                <w:ilvl w:val="0"/>
                <w:numId w:val="6"/>
              </w:numPr>
              <w:tabs>
                <w:tab w:val="left" w:pos="175"/>
              </w:tabs>
              <w:spacing w:after="0"/>
              <w:ind w:left="317"/>
              <w:rPr>
                <w:rFonts w:ascii="Times New Roman" w:eastAsia="Calibri" w:hAnsi="Times New Roman" w:cs="Times New Roman"/>
                <w:sz w:val="24"/>
                <w:szCs w:val="24"/>
              </w:rPr>
            </w:pPr>
            <w:r>
              <w:rPr>
                <w:rFonts w:ascii="Times New Roman" w:eastAsia="Calibri" w:hAnsi="Times New Roman" w:cs="Times New Roman"/>
                <w:sz w:val="24"/>
                <w:szCs w:val="24"/>
              </w:rPr>
              <w:t>Спазване стандартите на Европейския съюз /ЕС/ и подобряване на условията в земеделските стопанства;</w:t>
            </w:r>
          </w:p>
          <w:p w:rsidR="009329C9" w:rsidRDefault="00B5212B">
            <w:pPr>
              <w:numPr>
                <w:ilvl w:val="0"/>
                <w:numId w:val="6"/>
              </w:numPr>
              <w:tabs>
                <w:tab w:val="left" w:pos="175"/>
              </w:tabs>
              <w:spacing w:after="0"/>
              <w:ind w:left="317"/>
              <w:rPr>
                <w:rFonts w:ascii="Times New Roman" w:eastAsia="Calibri" w:hAnsi="Times New Roman" w:cs="Times New Roman"/>
                <w:sz w:val="24"/>
                <w:szCs w:val="24"/>
              </w:rPr>
            </w:pPr>
            <w:r>
              <w:rPr>
                <w:rFonts w:ascii="Times New Roman" w:eastAsia="Calibri" w:hAnsi="Times New Roman" w:cs="Times New Roman"/>
                <w:sz w:val="24"/>
                <w:szCs w:val="24"/>
              </w:rPr>
              <w:t>Насърчаване на сътрудничеството между земеделските стопани.</w:t>
            </w:r>
          </w:p>
        </w:tc>
      </w:tr>
      <w:tr w:rsidR="009329C9">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Обхват на мярката</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Финансова помощ се предоставя за извършване на инвестиции на:</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1.земеделски стопани за инвестиции в техните стопанства, пряко свързани с една или няколко от дейностите по първично селскостопанско производство и съхранение само на собствени земеделски продукти, както и подготовка на продукцията за продажба;</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2. признати групи или организации на производители за инвестиции, които са от полза на цялата група или организация на производители и са свързани с основната земеделска дейност по производство и/или съхранение на земеделски продукти, произведени от техните членове, както и с подготовка на продукцията за продажба.</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Продуктите от допустимите за финансова помощ сектори, които се произвеждат от първично селскостопанско производство и/или съхранение само на собствени земеделски продукти, трябва да са описани в приложение №1 по чл. 38 от Договора за функционирането на Европейския съюз и памук, с изключение на тютюн, риба и аквакултури.</w:t>
            </w:r>
          </w:p>
        </w:tc>
      </w:tr>
      <w:tr w:rsidR="009329C9">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Допустими кандидати</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За подпомагане могат да кандидатстват лица, които към датата на подаване на заявлението за подпомагане са:</w:t>
            </w:r>
          </w:p>
          <w:p w:rsidR="009329C9" w:rsidRDefault="00B5212B">
            <w:pPr>
              <w:spacing w:after="0"/>
              <w:rPr>
                <w:rFonts w:ascii="Times New Roman" w:hAnsi="Times New Roman" w:cs="Times New Roman"/>
                <w:sz w:val="24"/>
                <w:szCs w:val="24"/>
              </w:rPr>
            </w:pPr>
            <w:r>
              <w:rPr>
                <w:rFonts w:ascii="Times New Roman" w:hAnsi="Times New Roman" w:cs="Times New Roman"/>
                <w:b/>
                <w:bCs/>
                <w:sz w:val="24"/>
                <w:szCs w:val="24"/>
              </w:rPr>
              <w:t>Земеделски производители /Физически и Юридически лица/:</w:t>
            </w:r>
          </w:p>
          <w:p w:rsidR="009329C9" w:rsidRDefault="00B5212B">
            <w:pPr>
              <w:numPr>
                <w:ilvl w:val="0"/>
                <w:numId w:val="7"/>
              </w:numPr>
              <w:tabs>
                <w:tab w:val="left" w:pos="391"/>
              </w:tabs>
              <w:spacing w:after="0" w:line="240" w:lineRule="auto"/>
              <w:ind w:left="107" w:firstLine="0"/>
              <w:jc w:val="both"/>
              <w:rPr>
                <w:rFonts w:ascii="Times New Roman" w:hAnsi="Times New Roman" w:cs="Times New Roman"/>
                <w:sz w:val="24"/>
                <w:szCs w:val="24"/>
              </w:rPr>
            </w:pPr>
            <w:r>
              <w:rPr>
                <w:rFonts w:ascii="Times New Roman" w:hAnsi="Times New Roman" w:cs="Times New Roman"/>
                <w:sz w:val="24"/>
                <w:szCs w:val="24"/>
              </w:rPr>
              <w:t xml:space="preserve">Земеделски стопани </w:t>
            </w:r>
          </w:p>
          <w:p w:rsidR="009329C9" w:rsidRDefault="00B5212B">
            <w:pPr>
              <w:numPr>
                <w:ilvl w:val="0"/>
                <w:numId w:val="7"/>
              </w:numPr>
              <w:tabs>
                <w:tab w:val="left" w:pos="391"/>
              </w:tabs>
              <w:spacing w:after="0"/>
              <w:ind w:left="107" w:firstLine="0"/>
              <w:jc w:val="both"/>
              <w:rPr>
                <w:rFonts w:ascii="Times New Roman" w:hAnsi="Times New Roman" w:cs="Times New Roman"/>
                <w:sz w:val="24"/>
                <w:szCs w:val="24"/>
              </w:rPr>
            </w:pPr>
            <w:r>
              <w:rPr>
                <w:rFonts w:ascii="Times New Roman" w:hAnsi="Times New Roman" w:cs="Times New Roman"/>
                <w:sz w:val="24"/>
                <w:szCs w:val="24"/>
              </w:rPr>
              <w:t>Признати групи производители или признати организации на производители на земеделски продукти или такива, одобрени за финансова помощ по мярка 9 „Учредяване на групи и организации на производители“ от ПРСР 2014 -2020 г.;</w:t>
            </w:r>
          </w:p>
          <w:p w:rsidR="009329C9" w:rsidRDefault="00B5212B">
            <w:pPr>
              <w:tabs>
                <w:tab w:val="left" w:pos="391"/>
              </w:tabs>
              <w:spacing w:after="0"/>
              <w:jc w:val="both"/>
              <w:rPr>
                <w:rFonts w:ascii="Times New Roman" w:hAnsi="Times New Roman" w:cs="Times New Roman"/>
                <w:sz w:val="24"/>
                <w:szCs w:val="24"/>
              </w:rPr>
            </w:pPr>
            <w:r>
              <w:rPr>
                <w:rFonts w:ascii="Times New Roman" w:hAnsi="Times New Roman" w:cs="Times New Roman"/>
                <w:sz w:val="24"/>
                <w:szCs w:val="24"/>
              </w:rPr>
              <w:t>За подпомагане само за проекти за колективни инвестиции могат да кандидатстват и юридически лица, регистрирани по Търговския закон и/или Закона за кооперациите, които включват най-малко 6 лица и са извън посочените в ал. 1.</w:t>
            </w:r>
          </w:p>
          <w:p w:rsidR="009329C9" w:rsidRDefault="00B5212B">
            <w:pPr>
              <w:tabs>
                <w:tab w:val="left" w:pos="391"/>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Допустими дейности</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Подпомагат се проекти, които се изпълняват на територията на МИГ „Свиленград Ареал” и водят до подобряване на цялостната дейност на земеделското стопанство чрез:</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 внедряване на нови продукти, процеси и технологии и обновяване на наличните производствени материални и/или нематериални активи; </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2. насърчаване на сътрудничеството с производителите и преработвателите на земеделски продукти; </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3. опазване на компонентите на околната среда, включително с намаляване на вредните емисии и отпадъци; </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4. повишаване на енергийната ефективност в земеделските стопанства;</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5. подобряване условията на труд, подобряване на хигиенните, ветеринарните, фитосанитарните, екологичните и други условия на производство; </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6. подобряване качеството на произвежданите земеделски продукти; </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7. осигуряване на възможностите за производство на биологични земеделски продукти.</w:t>
            </w:r>
          </w:p>
        </w:tc>
      </w:tr>
      <w:tr w:rsidR="009329C9">
        <w:tc>
          <w:tcPr>
            <w:tcW w:w="1702" w:type="dxa"/>
            <w:shd w:val="clear" w:color="auto" w:fill="D9D9D9" w:themeFill="background1" w:themeFillShade="D9"/>
          </w:tcPr>
          <w:p w:rsidR="009329C9" w:rsidRDefault="00B5212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Допустими разходи</w:t>
            </w:r>
          </w:p>
        </w:tc>
        <w:tc>
          <w:tcPr>
            <w:tcW w:w="8788" w:type="dxa"/>
            <w:shd w:val="clear" w:color="auto" w:fill="auto"/>
          </w:tcPr>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Допустими за финансова помощ са разходите за:</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1. строителство или обновяване на сгради и на друга недвижима собственост, използвана за земеделското производство, включително такава, използвана за опазване компонентите на околната среда;</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2. закупуване, включително чрез финансов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земеделските дейности на стопанството и подобряване на енергийната ефективност, съхранение и подготовка за продажба на земеделска продукция;</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3. създаване и/или презасаждане на трайни насаждения, включително трайни насаждения от десертни лозя, медоносни дървесни видове за производство на мед, други бързорастящи храсти и дървесни видове, използвани за производство на биоенергия;</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4. разходи за достигане съответствие с нововъведените стандарти на ЕС включително чрез финансов лизинг;</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5. закупуване на: съоръжения, прикачен инвентар за пчеларство и съответно оборудване, необходимо за производството на мед и други пчелни продукти, както и за развъждането на пчели-майки, включително чрез финансов лизинг;</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6. разходи за достигане на съответствие със съществуващи стандарти на ЕС – за млади земеделски стопани, получаващи финансова помощ по подмярка 6;</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7.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земеделските производствени дейности и/или за създаване и/или презасаждане на трайни насаждения;</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8. закупуване на сгради, помещения и друга недвижима собственост, необходими за изпълнение на проекта, предназначени за земеделските производствени дейности на територията на МИГ Свиленград ареал;</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9. 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средства за транспортиране на продукция, превозни средства за транспортиране на живи животни и птици;</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 xml:space="preserve">10. разходи за достигане на съответствие с международно признати стандарти, </w:t>
            </w:r>
            <w:r>
              <w:rPr>
                <w:rFonts w:ascii="Times New Roman" w:hAnsi="Times New Roman" w:cs="Times New Roman"/>
                <w:sz w:val="24"/>
                <w:szCs w:val="24"/>
              </w:rPr>
              <w:lastRenderedPageBreak/>
              <w:t>свързани с въвеждане на системи за управление на качеството в земеделските стопанства, въвеждане на добри производствени практики, подготовка за сертификация;</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11. закупуване на софтуер, включително чрез финансов лизинг;</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12. за ноу-хау, придобиване на патенти права и лицензи, за регистрация на търговски марки и процеси, необходими за изготвяне и изпълнение на проекта;</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13. разходи, свързани с проекта, в т.ч. разходи за предпроектни проучвания, такси, хонорари за архитекти, инженери и консултанти, консултации за екологична и икономическа устойчивост на проекти, проучвания за техническа осъществимост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проект, включени в т. 1 – 12.</w:t>
            </w:r>
          </w:p>
        </w:tc>
      </w:tr>
      <w:tr w:rsidR="009329C9">
        <w:trPr>
          <w:trHeight w:val="661"/>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Недопустими разходи</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Недопустими са всички разходи съгласно т. 14 от Насоките за определяне условията за кандидатстване и условията за изпълнение на одобрените стратегии за ВОМР/ 23.06.2017г. на УО на ПРСР.</w:t>
            </w:r>
          </w:p>
        </w:tc>
      </w:tr>
      <w:tr w:rsidR="009329C9">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Финансови параметри на </w:t>
            </w:r>
          </w:p>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проектите</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Минималният размер на общите допустими разходи за проект е левовата равностойност на </w:t>
            </w:r>
            <w:r>
              <w:rPr>
                <w:rFonts w:ascii="Times New Roman" w:eastAsia="Calibri" w:hAnsi="Times New Roman" w:cs="Times New Roman"/>
                <w:sz w:val="24"/>
                <w:szCs w:val="24"/>
                <w:lang w:val="en-US"/>
              </w:rPr>
              <w:t>10</w:t>
            </w:r>
            <w:r>
              <w:rPr>
                <w:rFonts w:ascii="Times New Roman" w:eastAsia="Calibri" w:hAnsi="Times New Roman" w:cs="Times New Roman"/>
                <w:sz w:val="24"/>
                <w:szCs w:val="24"/>
              </w:rPr>
              <w:t> 000 евро (19 558,00 лв.)</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Максималният размер на общите допустими разходи за проект е левовата равностойност на 50</w:t>
            </w:r>
            <w:r>
              <w:rPr>
                <w:rFonts w:ascii="Times New Roman" w:eastAsia="Calibri" w:hAnsi="Times New Roman" w:cs="Times New Roman"/>
                <w:sz w:val="24"/>
                <w:szCs w:val="24"/>
                <w:lang w:val="en-US"/>
              </w:rPr>
              <w:t xml:space="preserve"> 000</w:t>
            </w:r>
            <w:r>
              <w:rPr>
                <w:rFonts w:ascii="Times New Roman" w:eastAsia="Calibri" w:hAnsi="Times New Roman" w:cs="Times New Roman"/>
                <w:sz w:val="24"/>
                <w:szCs w:val="24"/>
              </w:rPr>
              <w:t xml:space="preserve"> евро. (97 790,00 лв.)</w:t>
            </w:r>
          </w:p>
          <w:p w:rsidR="009329C9" w:rsidRDefault="00B5212B">
            <w:pPr>
              <w:spacing w:after="0"/>
              <w:rPr>
                <w:rFonts w:ascii="Times New Roman" w:eastAsia="Calibri" w:hAnsi="Times New Roman" w:cs="Times New Roman"/>
                <w:b/>
                <w:sz w:val="24"/>
                <w:szCs w:val="24"/>
              </w:rPr>
            </w:pPr>
            <w:r>
              <w:rPr>
                <w:rFonts w:ascii="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rsidR="009329C9">
        <w:trPr>
          <w:trHeight w:val="1262"/>
        </w:trPr>
        <w:tc>
          <w:tcPr>
            <w:tcW w:w="1702" w:type="dxa"/>
            <w:shd w:val="clear" w:color="auto" w:fill="D9D9D9" w:themeFill="background1" w:themeFillShade="D9"/>
          </w:tcPr>
          <w:p w:rsidR="009329C9" w:rsidRDefault="00B5212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Интензитет и размер на финансовата помощ /в % </w:t>
            </w:r>
          </w:p>
        </w:tc>
        <w:tc>
          <w:tcPr>
            <w:tcW w:w="8788" w:type="dxa"/>
            <w:shd w:val="clear" w:color="auto" w:fill="auto"/>
          </w:tcPr>
          <w:p w:rsidR="009329C9" w:rsidRDefault="00B5212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Финансовата помощ за одобрени проекти е в размер </w:t>
            </w:r>
            <w:r>
              <w:rPr>
                <w:rFonts w:ascii="Times New Roman" w:eastAsia="Calibri" w:hAnsi="Times New Roman" w:cs="Times New Roman"/>
                <w:sz w:val="24"/>
                <w:szCs w:val="24"/>
                <w:lang w:val="ru-RU"/>
              </w:rPr>
              <w:t xml:space="preserve">50 </w:t>
            </w:r>
            <w:r>
              <w:rPr>
                <w:rFonts w:ascii="Times New Roman" w:eastAsia="Calibri" w:hAnsi="Times New Roman" w:cs="Times New Roman"/>
                <w:sz w:val="24"/>
                <w:szCs w:val="24"/>
              </w:rPr>
              <w:t>на сто от общия размер на допустимите за финансово подпомагане разходи и може да бъде увеличен .</w:t>
            </w:r>
          </w:p>
          <w:p w:rsidR="009329C9" w:rsidRDefault="00B5212B">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с 10 на сто за:</w:t>
            </w:r>
          </w:p>
          <w:p w:rsidR="009329C9" w:rsidRDefault="00B5212B">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а</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проекти, представени от млади земеделски стопани;</w:t>
            </w:r>
          </w:p>
          <w:p w:rsidR="009329C9" w:rsidRDefault="00B5212B">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б) </w:t>
            </w:r>
            <w:r>
              <w:rPr>
                <w:rFonts w:ascii="Times New Roman" w:hAnsi="Times New Roman" w:cs="Times New Roman"/>
                <w:sz w:val="24"/>
                <w:szCs w:val="24"/>
                <w:lang w:val="en-US"/>
              </w:rPr>
              <w:t>интегрирани проекти, включително и такива, свързани със сливания на организации на производителите;</w:t>
            </w:r>
          </w:p>
          <w:p w:rsidR="009329C9" w:rsidRDefault="00B5212B">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в</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проекти, които се изпълняват в обхвата на необлагодетелствани райони;</w:t>
            </w:r>
          </w:p>
          <w:p w:rsidR="009329C9" w:rsidRDefault="00B521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w:t>
            </w:r>
            <w:r>
              <w:rPr>
                <w:rFonts w:ascii="Times New Roman" w:hAnsi="Times New Roman" w:cs="Times New Roman"/>
                <w:sz w:val="24"/>
                <w:szCs w:val="24"/>
                <w:lang w:val="en-US"/>
              </w:rPr>
              <w:t>)проекти за колективни инвестиции, представени от юридически лица, включващи от 6 до 10 земеделски</w:t>
            </w:r>
            <w:r>
              <w:rPr>
                <w:rFonts w:ascii="Times New Roman" w:hAnsi="Times New Roman" w:cs="Times New Roman"/>
                <w:sz w:val="24"/>
                <w:szCs w:val="24"/>
              </w:rPr>
              <w:t xml:space="preserve"> </w:t>
            </w:r>
            <w:r>
              <w:rPr>
                <w:rFonts w:ascii="Times New Roman" w:hAnsi="Times New Roman" w:cs="Times New Roman"/>
                <w:sz w:val="24"/>
                <w:szCs w:val="24"/>
                <w:lang w:val="en-US"/>
              </w:rPr>
              <w:t>стопани.</w:t>
            </w:r>
          </w:p>
          <w:p w:rsidR="009329C9" w:rsidRDefault="00B5212B">
            <w:pPr>
              <w:autoSpaceDE w:val="0"/>
              <w:autoSpaceDN w:val="0"/>
              <w:adjustRightInd w:val="0"/>
              <w:spacing w:after="0"/>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Финансовата помощ се увеличава с 10 на сто</w:t>
            </w:r>
            <w:r>
              <w:rPr>
                <w:rFonts w:ascii="Times New Roman" w:hAnsi="Times New Roman" w:cs="Times New Roman"/>
                <w:sz w:val="24"/>
                <w:szCs w:val="24"/>
              </w:rPr>
              <w:t xml:space="preserve"> </w:t>
            </w:r>
            <w:r>
              <w:rPr>
                <w:rFonts w:ascii="Times New Roman" w:hAnsi="Times New Roman" w:cs="Times New Roman"/>
                <w:sz w:val="24"/>
                <w:szCs w:val="24"/>
                <w:lang w:val="en-US"/>
              </w:rPr>
              <w:t>за инвестиции, изцяло свързани с изпълнявани от кандидата ангажименти по мярка 11 "Биологично</w:t>
            </w:r>
            <w:r>
              <w:rPr>
                <w:rFonts w:ascii="Times New Roman" w:hAnsi="Times New Roman" w:cs="Times New Roman"/>
                <w:sz w:val="24"/>
                <w:szCs w:val="24"/>
              </w:rPr>
              <w:t xml:space="preserve"> </w:t>
            </w:r>
            <w:r>
              <w:rPr>
                <w:rFonts w:ascii="Times New Roman" w:hAnsi="Times New Roman" w:cs="Times New Roman"/>
                <w:sz w:val="24"/>
                <w:szCs w:val="24"/>
                <w:lang w:val="en-US"/>
              </w:rPr>
              <w:t>земеделие" от ПРСР 2014 – 2020 г. или сходни ангажименти по мярка 214 "Агроекологични плащания",</w:t>
            </w:r>
            <w:r>
              <w:rPr>
                <w:rFonts w:ascii="Times New Roman" w:hAnsi="Times New Roman" w:cs="Times New Roman"/>
                <w:sz w:val="24"/>
                <w:szCs w:val="24"/>
              </w:rPr>
              <w:t xml:space="preserve"> </w:t>
            </w:r>
            <w:r>
              <w:rPr>
                <w:rFonts w:ascii="Times New Roman" w:hAnsi="Times New Roman" w:cs="Times New Roman"/>
                <w:sz w:val="24"/>
                <w:szCs w:val="24"/>
                <w:lang w:val="en-US"/>
              </w:rPr>
              <w:t>направление "Биологично земеделие" от ПРСР 2007 – 2013 г.</w:t>
            </w:r>
          </w:p>
          <w:p w:rsidR="009329C9" w:rsidRDefault="00B5212B">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rPr>
              <w:t>3. Финансовата помощ се у</w:t>
            </w:r>
            <w:r>
              <w:rPr>
                <w:rFonts w:ascii="Times New Roman" w:hAnsi="Times New Roman" w:cs="Times New Roman"/>
                <w:sz w:val="24"/>
                <w:szCs w:val="24"/>
                <w:lang w:val="en-US"/>
              </w:rPr>
              <w:t>величава с 10 на сто</w:t>
            </w:r>
            <w:r>
              <w:rPr>
                <w:rFonts w:ascii="Times New Roman" w:hAnsi="Times New Roman" w:cs="Times New Roman"/>
                <w:sz w:val="24"/>
                <w:szCs w:val="24"/>
              </w:rPr>
              <w:t xml:space="preserve"> </w:t>
            </w:r>
            <w:r>
              <w:rPr>
                <w:rFonts w:ascii="Times New Roman" w:hAnsi="Times New Roman" w:cs="Times New Roman"/>
                <w:sz w:val="24"/>
                <w:szCs w:val="24"/>
                <w:lang w:val="en-US"/>
              </w:rPr>
              <w:t>за проекти за колективни инвестиции, представени от юридически лица, включващи над 10 земеделски</w:t>
            </w:r>
            <w:r>
              <w:rPr>
                <w:rFonts w:ascii="Times New Roman" w:hAnsi="Times New Roman" w:cs="Times New Roman"/>
                <w:sz w:val="24"/>
                <w:szCs w:val="24"/>
              </w:rPr>
              <w:t xml:space="preserve"> </w:t>
            </w:r>
            <w:r>
              <w:rPr>
                <w:rFonts w:ascii="Times New Roman" w:hAnsi="Times New Roman" w:cs="Times New Roman"/>
                <w:sz w:val="24"/>
                <w:szCs w:val="24"/>
                <w:lang w:val="en-US"/>
              </w:rPr>
              <w:t>стопани и/или групи/организации на производители.</w:t>
            </w:r>
          </w:p>
          <w:p w:rsidR="009329C9" w:rsidRDefault="00B5212B">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rPr>
              <w:t xml:space="preserve">4. </w:t>
            </w:r>
            <w:r>
              <w:rPr>
                <w:rFonts w:ascii="Times New Roman" w:hAnsi="Times New Roman" w:cs="Times New Roman"/>
                <w:sz w:val="24"/>
                <w:szCs w:val="24"/>
                <w:lang w:val="en-US"/>
              </w:rPr>
              <w:t xml:space="preserve">За проектите по </w:t>
            </w:r>
            <w:r>
              <w:rPr>
                <w:rFonts w:ascii="Times New Roman" w:hAnsi="Times New Roman" w:cs="Times New Roman"/>
                <w:sz w:val="24"/>
                <w:szCs w:val="24"/>
              </w:rPr>
              <w:t xml:space="preserve">т. 2 и </w:t>
            </w:r>
            <w:r>
              <w:rPr>
                <w:rFonts w:ascii="Times New Roman" w:hAnsi="Times New Roman" w:cs="Times New Roman"/>
                <w:sz w:val="24"/>
                <w:szCs w:val="24"/>
                <w:lang w:val="en-US"/>
              </w:rPr>
              <w:t>т. 3 трябва да са изпълнени едновременно следните условия:</w:t>
            </w:r>
          </w:p>
          <w:p w:rsidR="009329C9" w:rsidRDefault="00B5212B">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а</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дейностите, включени в заявлението за подпомагане, за които се кандидатства, се изпълняват на</w:t>
            </w:r>
            <w:r>
              <w:rPr>
                <w:rFonts w:ascii="Times New Roman" w:hAnsi="Times New Roman" w:cs="Times New Roman"/>
                <w:sz w:val="24"/>
                <w:szCs w:val="24"/>
              </w:rPr>
              <w:t xml:space="preserve"> </w:t>
            </w:r>
            <w:r>
              <w:rPr>
                <w:rFonts w:ascii="Times New Roman" w:hAnsi="Times New Roman" w:cs="Times New Roman"/>
                <w:sz w:val="24"/>
                <w:szCs w:val="24"/>
                <w:lang w:val="en-US"/>
              </w:rPr>
              <w:t>територията на населено място, чието землище попада в</w:t>
            </w:r>
            <w:r>
              <w:rPr>
                <w:rFonts w:ascii="Times New Roman" w:hAnsi="Times New Roman" w:cs="Times New Roman"/>
                <w:sz w:val="24"/>
                <w:szCs w:val="24"/>
              </w:rPr>
              <w:t xml:space="preserve"> </w:t>
            </w:r>
            <w:r>
              <w:rPr>
                <w:rFonts w:ascii="Times New Roman" w:hAnsi="Times New Roman" w:cs="Times New Roman"/>
                <w:sz w:val="24"/>
                <w:szCs w:val="24"/>
                <w:lang w:val="en-US"/>
              </w:rPr>
              <w:t>необлагодетелстван район съгласно Наредбата за</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определяне на критериите за </w:t>
            </w:r>
            <w:r>
              <w:rPr>
                <w:rFonts w:ascii="Times New Roman" w:hAnsi="Times New Roman" w:cs="Times New Roman"/>
                <w:sz w:val="24"/>
                <w:szCs w:val="24"/>
                <w:lang w:val="en-US"/>
              </w:rPr>
              <w:lastRenderedPageBreak/>
              <w:t>необлагодетелстваните райони и териториалния им обхват, приета с ПМС № 30</w:t>
            </w:r>
            <w:r>
              <w:rPr>
                <w:rFonts w:ascii="Times New Roman" w:hAnsi="Times New Roman" w:cs="Times New Roman"/>
                <w:sz w:val="24"/>
                <w:szCs w:val="24"/>
              </w:rPr>
              <w:t xml:space="preserve"> </w:t>
            </w:r>
            <w:r>
              <w:rPr>
                <w:rFonts w:ascii="Times New Roman" w:hAnsi="Times New Roman" w:cs="Times New Roman"/>
                <w:sz w:val="24"/>
                <w:szCs w:val="24"/>
                <w:lang w:val="en-US"/>
              </w:rPr>
              <w:t>от 2008 г.;</w:t>
            </w:r>
          </w:p>
          <w:p w:rsidR="009329C9" w:rsidRDefault="00B5212B">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б) </w:t>
            </w:r>
            <w:r>
              <w:rPr>
                <w:rFonts w:ascii="Times New Roman" w:hAnsi="Times New Roman" w:cs="Times New Roman"/>
                <w:sz w:val="24"/>
                <w:szCs w:val="24"/>
                <w:lang w:val="en-US"/>
              </w:rPr>
              <w:t>най-малко 75 на сто от посочената в бизнес плана земя или площ се намира в необлагодетелстван район.</w:t>
            </w:r>
          </w:p>
          <w:p w:rsidR="009329C9" w:rsidRDefault="00B5212B">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 xml:space="preserve">5. </w:t>
            </w:r>
            <w:r>
              <w:rPr>
                <w:rFonts w:ascii="Times New Roman" w:hAnsi="Times New Roman" w:cs="Times New Roman"/>
                <w:sz w:val="24"/>
                <w:szCs w:val="24"/>
                <w:lang w:val="en-US"/>
              </w:rPr>
              <w:t>За кандидати с проекти за инвестиционни разходи, изцяло насочени в сектор "Животновъдство", както и</w:t>
            </w:r>
            <w:r>
              <w:rPr>
                <w:rFonts w:ascii="Times New Roman" w:hAnsi="Times New Roman" w:cs="Times New Roman"/>
                <w:sz w:val="24"/>
                <w:szCs w:val="24"/>
              </w:rPr>
              <w:t xml:space="preserve"> </w:t>
            </w:r>
            <w:r>
              <w:rPr>
                <w:rFonts w:ascii="Times New Roman" w:hAnsi="Times New Roman" w:cs="Times New Roman"/>
                <w:sz w:val="24"/>
                <w:szCs w:val="24"/>
                <w:lang w:val="en-US"/>
              </w:rPr>
              <w:t>инвестиции, свързани с трайни насаждения, оранжерии и гъбарници, е достатъчно изпълнението на едно от</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посочените условия по </w:t>
            </w:r>
            <w:r>
              <w:rPr>
                <w:rFonts w:ascii="Times New Roman" w:hAnsi="Times New Roman" w:cs="Times New Roman"/>
                <w:sz w:val="24"/>
                <w:szCs w:val="24"/>
              </w:rPr>
              <w:t>т. 4</w:t>
            </w:r>
            <w:r>
              <w:rPr>
                <w:rFonts w:ascii="Times New Roman" w:hAnsi="Times New Roman" w:cs="Times New Roman"/>
                <w:sz w:val="24"/>
                <w:szCs w:val="24"/>
                <w:lang w:val="en-US"/>
              </w:rPr>
              <w:t>.</w:t>
            </w:r>
          </w:p>
          <w:p w:rsidR="009329C9" w:rsidRDefault="00B5212B">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 xml:space="preserve"> Максималният размер на финансовата помощ за проект, отговарящ на повече от едно от условията по </w:t>
            </w:r>
            <w:r>
              <w:rPr>
                <w:rFonts w:ascii="Times New Roman" w:hAnsi="Times New Roman" w:cs="Times New Roman"/>
                <w:sz w:val="24"/>
                <w:szCs w:val="24"/>
              </w:rPr>
              <w:t>т</w:t>
            </w:r>
            <w:r>
              <w:rPr>
                <w:rFonts w:ascii="Times New Roman" w:hAnsi="Times New Roman" w:cs="Times New Roman"/>
                <w:sz w:val="24"/>
                <w:szCs w:val="24"/>
                <w:lang w:val="en-US"/>
              </w:rPr>
              <w:t xml:space="preserve">. 2 и/или </w:t>
            </w:r>
            <w:r>
              <w:rPr>
                <w:rFonts w:ascii="Times New Roman" w:hAnsi="Times New Roman" w:cs="Times New Roman"/>
                <w:sz w:val="24"/>
                <w:szCs w:val="24"/>
              </w:rPr>
              <w:t>т</w:t>
            </w:r>
            <w:r>
              <w:rPr>
                <w:rFonts w:ascii="Times New Roman" w:hAnsi="Times New Roman" w:cs="Times New Roman"/>
                <w:sz w:val="24"/>
                <w:szCs w:val="24"/>
                <w:lang w:val="en-US"/>
              </w:rPr>
              <w:t>. 3, е не повече от 60 на сто от общия размер</w:t>
            </w:r>
            <w:r>
              <w:rPr>
                <w:rFonts w:ascii="Times New Roman" w:hAnsi="Times New Roman" w:cs="Times New Roman"/>
                <w:sz w:val="24"/>
                <w:szCs w:val="24"/>
              </w:rPr>
              <w:t xml:space="preserve"> </w:t>
            </w:r>
            <w:r>
              <w:rPr>
                <w:rFonts w:ascii="Times New Roman" w:hAnsi="Times New Roman" w:cs="Times New Roman"/>
                <w:sz w:val="24"/>
                <w:szCs w:val="24"/>
                <w:lang w:val="en-US"/>
              </w:rPr>
              <w:t>на допустимите за финансово подпомагане разходи.</w:t>
            </w:r>
          </w:p>
          <w:p w:rsidR="009329C9" w:rsidRDefault="00B5212B">
            <w:pPr>
              <w:rPr>
                <w:rFonts w:ascii="Times New Roman" w:eastAsia="Calibri"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lang w:val="en-US"/>
              </w:rPr>
              <w:t>Максималният размер на финансовата помощ за</w:t>
            </w:r>
            <w:r>
              <w:rPr>
                <w:rFonts w:ascii="Times New Roman" w:hAnsi="Times New Roman" w:cs="Times New Roman"/>
                <w:sz w:val="24"/>
                <w:szCs w:val="24"/>
              </w:rPr>
              <w:t xml:space="preserve"> </w:t>
            </w:r>
            <w:r>
              <w:rPr>
                <w:rFonts w:ascii="Times New Roman" w:hAnsi="Times New Roman" w:cs="Times New Roman"/>
                <w:sz w:val="24"/>
                <w:szCs w:val="24"/>
                <w:lang w:val="en-US"/>
              </w:rPr>
              <w:t>проект за колективни инвестиции, представен от един кандидат/ползвател на финансова помощ, отговарящ на</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повече от едно от условията по </w:t>
            </w:r>
            <w:r>
              <w:rPr>
                <w:rFonts w:ascii="Times New Roman" w:hAnsi="Times New Roman" w:cs="Times New Roman"/>
                <w:sz w:val="24"/>
                <w:szCs w:val="24"/>
              </w:rPr>
              <w:t>т</w:t>
            </w:r>
            <w:r>
              <w:rPr>
                <w:rFonts w:ascii="Times New Roman" w:hAnsi="Times New Roman" w:cs="Times New Roman"/>
                <w:sz w:val="24"/>
                <w:szCs w:val="24"/>
                <w:lang w:val="en-US"/>
              </w:rPr>
              <w:t>. 2, 3 и 4, е не повече от 70 на сто от общия размер на допустимите за</w:t>
            </w:r>
            <w:r>
              <w:rPr>
                <w:rFonts w:ascii="Times New Roman" w:hAnsi="Times New Roman" w:cs="Times New Roman"/>
                <w:sz w:val="24"/>
                <w:szCs w:val="24"/>
              </w:rPr>
              <w:t xml:space="preserve"> </w:t>
            </w:r>
            <w:r>
              <w:rPr>
                <w:rFonts w:ascii="Times New Roman" w:hAnsi="Times New Roman" w:cs="Times New Roman"/>
                <w:sz w:val="24"/>
                <w:szCs w:val="24"/>
                <w:lang w:val="en-US"/>
              </w:rPr>
              <w:t>финансово подпомагане разходи.</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Общ бюджет на мярката – 630 838,91 лв.</w:t>
            </w:r>
          </w:p>
        </w:tc>
      </w:tr>
      <w:tr w:rsidR="009329C9">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Критерии за избор на </w:t>
            </w:r>
          </w:p>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проекти</w:t>
            </w:r>
          </w:p>
        </w:tc>
        <w:tc>
          <w:tcPr>
            <w:tcW w:w="8788" w:type="dxa"/>
            <w:shd w:val="clear" w:color="auto" w:fill="auto"/>
          </w:tcPr>
          <w:p w:rsidR="009329C9" w:rsidRDefault="009329C9">
            <w:pPr>
              <w:spacing w:after="0"/>
              <w:rPr>
                <w:rFonts w:ascii="Times New Roman" w:eastAsia="Calibri" w:hAnsi="Times New Roman" w:cs="Times New Roman"/>
                <w:sz w:val="24"/>
                <w:szCs w:val="24"/>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342"/>
              <w:gridCol w:w="1182"/>
            </w:tblGrid>
            <w:tr w:rsidR="009329C9">
              <w:tc>
                <w:tcPr>
                  <w:tcW w:w="7342" w:type="dxa"/>
                  <w:tcBorders>
                    <w:top w:val="outset" w:sz="6" w:space="0" w:color="auto"/>
                    <w:left w:val="outset" w:sz="6" w:space="0" w:color="auto"/>
                    <w:bottom w:val="outset" w:sz="6" w:space="0" w:color="auto"/>
                    <w:right w:val="outset" w:sz="6" w:space="0" w:color="auto"/>
                  </w:tcBorders>
                </w:tcPr>
                <w:p w:rsidR="009329C9" w:rsidRDefault="00B5212B">
                  <w:pPr>
                    <w:spacing w:before="225" w:after="225"/>
                    <w:jc w:val="center"/>
                    <w:rPr>
                      <w:rFonts w:ascii="Times New Roman" w:hAnsi="Times New Roman" w:cs="Times New Roman"/>
                      <w:b/>
                      <w:sz w:val="24"/>
                      <w:szCs w:val="24"/>
                    </w:rPr>
                  </w:pPr>
                  <w:r>
                    <w:rPr>
                      <w:rFonts w:ascii="Times New Roman" w:hAnsi="Times New Roman" w:cs="Times New Roman"/>
                      <w:b/>
                      <w:sz w:val="24"/>
                      <w:szCs w:val="24"/>
                    </w:rPr>
                    <w:t>ТЕХНИЧЕСКА ОЦЕНКА И КЛАСИРАНЕ</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b/>
                      <w:sz w:val="24"/>
                      <w:szCs w:val="24"/>
                    </w:rPr>
                  </w:pPr>
                  <w:r>
                    <w:rPr>
                      <w:rFonts w:ascii="Times New Roman" w:hAnsi="Times New Roman" w:cs="Times New Roman"/>
                      <w:b/>
                      <w:sz w:val="24"/>
                      <w:szCs w:val="24"/>
                    </w:rPr>
                    <w:t>ТОЧКИ</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8"/>
                    </w:numPr>
                    <w:spacing w:after="0"/>
                    <w:rPr>
                      <w:rFonts w:ascii="Times New Roman" w:hAnsi="Times New Roman" w:cs="Times New Roman"/>
                      <w:sz w:val="24"/>
                      <w:szCs w:val="24"/>
                    </w:rPr>
                  </w:pPr>
                  <w:r>
                    <w:rPr>
                      <w:rFonts w:ascii="Times New Roman" w:hAnsi="Times New Roman" w:cs="Times New Roman"/>
                      <w:sz w:val="24"/>
                      <w:szCs w:val="24"/>
                    </w:rPr>
                    <w:t>Проектът предвижда инвестиции и дейности от стопанства за производство на биологични продукти</w:t>
                  </w:r>
                </w:p>
                <w:p w:rsidR="009329C9" w:rsidRDefault="00B5212B">
                  <w:pPr>
                    <w:pStyle w:val="af4"/>
                    <w:numPr>
                      <w:ilvl w:val="0"/>
                      <w:numId w:val="9"/>
                    </w:numPr>
                    <w:spacing w:after="0"/>
                    <w:rPr>
                      <w:rFonts w:ascii="Times New Roman" w:eastAsia="Calibri" w:hAnsi="Times New Roman" w:cs="Times New Roman"/>
                      <w:sz w:val="24"/>
                      <w:szCs w:val="24"/>
                    </w:rPr>
                  </w:pPr>
                  <w:r>
                    <w:rPr>
                      <w:rFonts w:ascii="Times New Roman" w:eastAsia="Calibri" w:hAnsi="Times New Roman" w:cs="Times New Roman"/>
                      <w:sz w:val="24"/>
                      <w:szCs w:val="24"/>
                    </w:rPr>
                    <w:t>От 30% до 50% от допустимите инвестиционни разходи по проекта са свързани с производство на биологични продукти – 11 точки</w:t>
                  </w:r>
                </w:p>
                <w:p w:rsidR="009329C9" w:rsidRDefault="00B5212B">
                  <w:pPr>
                    <w:pStyle w:val="af4"/>
                    <w:numPr>
                      <w:ilvl w:val="0"/>
                      <w:numId w:val="9"/>
                    </w:numPr>
                    <w:spacing w:after="0"/>
                    <w:rPr>
                      <w:rFonts w:ascii="Times New Roman" w:eastAsia="Calibri" w:hAnsi="Times New Roman" w:cs="Times New Roman"/>
                      <w:sz w:val="24"/>
                      <w:szCs w:val="24"/>
                    </w:rPr>
                  </w:pPr>
                  <w:r>
                    <w:rPr>
                      <w:rFonts w:ascii="Times New Roman" w:eastAsia="Calibri" w:hAnsi="Times New Roman" w:cs="Times New Roman"/>
                      <w:sz w:val="24"/>
                      <w:szCs w:val="24"/>
                    </w:rPr>
                    <w:t>Над 50% от допустимите инвестиционни разходи по проекта са свързани с производство на биологични продукти – 20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rPr>
                  </w:pPr>
                  <w:r>
                    <w:rPr>
                      <w:rFonts w:ascii="Times New Roman" w:hAnsi="Times New Roman" w:cs="Times New Roman"/>
                      <w:sz w:val="24"/>
                      <w:szCs w:val="24"/>
                    </w:rPr>
                    <w:t>20</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10"/>
                    </w:numPr>
                    <w:spacing w:after="0"/>
                    <w:rPr>
                      <w:rFonts w:ascii="Times New Roman" w:eastAsia="Calibri" w:hAnsi="Times New Roman" w:cs="Times New Roman"/>
                      <w:sz w:val="24"/>
                      <w:szCs w:val="24"/>
                      <w:lang w:val="en-US"/>
                    </w:rPr>
                  </w:pPr>
                  <w:r>
                    <w:rPr>
                      <w:rFonts w:ascii="Times New Roman" w:hAnsi="Times New Roman" w:cs="Times New Roman"/>
                      <w:sz w:val="24"/>
                      <w:szCs w:val="24"/>
                    </w:rPr>
                    <w:t>Дейностите по проекта са в областта на трайните насаждения и/или животновъдството.</w:t>
                  </w:r>
                </w:p>
                <w:p w:rsidR="009329C9" w:rsidRDefault="00B5212B">
                  <w:pPr>
                    <w:pStyle w:val="af4"/>
                    <w:numPr>
                      <w:ilvl w:val="0"/>
                      <w:numId w:val="9"/>
                    </w:numPr>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rPr>
                    <w:t>Дейностите по проекта са в областта на трайните насаждения и са извън сектор биопроизводство – 15 точки</w:t>
                  </w:r>
                </w:p>
                <w:p w:rsidR="009329C9" w:rsidRDefault="00B5212B">
                  <w:pPr>
                    <w:pStyle w:val="af4"/>
                    <w:numPr>
                      <w:ilvl w:val="0"/>
                      <w:numId w:val="9"/>
                    </w:numPr>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rPr>
                    <w:t>Дейностите по проекта са в сектор животновъдство – 20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rPr>
                  </w:pPr>
                  <w:r>
                    <w:rPr>
                      <w:rFonts w:ascii="Times New Roman" w:hAnsi="Times New Roman" w:cs="Times New Roman"/>
                      <w:sz w:val="24"/>
                      <w:szCs w:val="24"/>
                    </w:rPr>
                    <w:t>20</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Проектът предвижда въвеждане на иновация в стопанството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rPr>
                  </w:pPr>
                  <w:r>
                    <w:rPr>
                      <w:rFonts w:ascii="Times New Roman" w:hAnsi="Times New Roman" w:cs="Times New Roman"/>
                      <w:sz w:val="24"/>
                      <w:szCs w:val="24"/>
                    </w:rPr>
                    <w:t>15</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Проектът създава нови работни места: </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От 1 до 3 работни места – 5 точки</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Над 3 работни места – 10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10</w:t>
                  </w:r>
                </w:p>
              </w:tc>
            </w:tr>
            <w:tr w:rsidR="009329C9">
              <w:tc>
                <w:tcPr>
                  <w:tcW w:w="7342" w:type="dxa"/>
                  <w:tcBorders>
                    <w:top w:val="outset" w:sz="6" w:space="0" w:color="auto"/>
                    <w:left w:val="outset" w:sz="6" w:space="0" w:color="auto"/>
                    <w:bottom w:val="outset" w:sz="6" w:space="0" w:color="auto"/>
                    <w:right w:val="outset" w:sz="6" w:space="0" w:color="auto"/>
                  </w:tcBorders>
                </w:tcPr>
                <w:p w:rsidR="009329C9" w:rsidRDefault="00B5212B">
                  <w:pPr>
                    <w:pStyle w:val="af4"/>
                    <w:numPr>
                      <w:ilvl w:val="0"/>
                      <w:numId w:val="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Кандидатът е земеделски стопанин, който е едноличен търговец или физическо лице на възраст от 18 до 40 ненавършени години, към датата на кандидатстване</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rPr>
                  </w:pPr>
                  <w:r>
                    <w:rPr>
                      <w:rFonts w:ascii="Times New Roman" w:hAnsi="Times New Roman" w:cs="Times New Roman"/>
                      <w:sz w:val="24"/>
                      <w:szCs w:val="24"/>
                    </w:rPr>
                    <w:t>9</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7"/>
                    </w:numPr>
                    <w:tabs>
                      <w:tab w:val="left" w:pos="309"/>
                    </w:tabs>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Кандидатът не е получавал подкрепа от общността.</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7"/>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lastRenderedPageBreak/>
                    <w:t xml:space="preserve">Проекти, подадени от кандидати, притежаващи опит в сектора за който кандидатстват: </w:t>
                  </w:r>
                </w:p>
                <w:p w:rsidR="009329C9" w:rsidRDefault="00B5212B">
                  <w:pPr>
                    <w:pStyle w:val="af4"/>
                    <w:numPr>
                      <w:ilvl w:val="0"/>
                      <w:numId w:val="9"/>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Кандидатът е осъществявал минимум три години дейност в сектора, за който кандидатства – 7 точки</w:t>
                  </w:r>
                </w:p>
                <w:p w:rsidR="009329C9" w:rsidRDefault="00B5212B">
                  <w:pPr>
                    <w:pStyle w:val="af4"/>
                    <w:numPr>
                      <w:ilvl w:val="0"/>
                      <w:numId w:val="9"/>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 xml:space="preserve">Кандидатът има подходящо образование или квалификация, курс за добри земеделски практики, курс по агроекология или др. – 3 точки </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7"/>
                    </w:numPr>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rPr>
                    <w:t>Проекти, които се изпълняват в обхвата на необлагодетелствани райони;</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rPr>
                      <w:rFonts w:ascii="Times New Roman" w:hAnsi="Times New Roman" w:cs="Times New Roman"/>
                      <w:b/>
                      <w:sz w:val="24"/>
                      <w:szCs w:val="24"/>
                    </w:rPr>
                  </w:pPr>
                  <w:r>
                    <w:rPr>
                      <w:rFonts w:ascii="Times New Roman" w:hAnsi="Times New Roman" w:cs="Times New Roman"/>
                      <w:b/>
                      <w:sz w:val="24"/>
                      <w:szCs w:val="24"/>
                    </w:rPr>
                    <w:t>ОБЩО</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jc w:val="center"/>
                    <w:rPr>
                      <w:rFonts w:ascii="Times New Roman" w:hAnsi="Times New Roman" w:cs="Times New Roman"/>
                      <w:b/>
                      <w:sz w:val="24"/>
                      <w:szCs w:val="24"/>
                    </w:rPr>
                  </w:pPr>
                  <w:r>
                    <w:rPr>
                      <w:rFonts w:ascii="Times New Roman" w:hAnsi="Times New Roman" w:cs="Times New Roman"/>
                      <w:b/>
                      <w:sz w:val="24"/>
                      <w:szCs w:val="24"/>
                    </w:rPr>
                    <w:t>100</w:t>
                  </w:r>
                </w:p>
              </w:tc>
            </w:tr>
          </w:tbl>
          <w:p w:rsidR="009329C9" w:rsidRDefault="009329C9">
            <w:pPr>
              <w:spacing w:after="0"/>
              <w:rPr>
                <w:rFonts w:ascii="Times New Roman" w:eastAsia="Calibri" w:hAnsi="Times New Roman" w:cs="Times New Roman"/>
                <w:color w:val="000000"/>
                <w:sz w:val="24"/>
                <w:szCs w:val="24"/>
              </w:rPr>
            </w:pPr>
          </w:p>
        </w:tc>
      </w:tr>
      <w:tr w:rsidR="009329C9">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Държавни помощи</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За мярка от Стратегия за ВОМР, включена в ПРСР 2014-2020 г., се прилагат ус-ловията за държавна помощ за съответната мярка в ПРСР 2014-2020 г.</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9329C9" w:rsidRDefault="00B5212B">
      <w:pPr>
        <w:rPr>
          <w:rFonts w:ascii="Times New Roman" w:hAnsi="Times New Roman" w:cs="Times New Roman"/>
        </w:rPr>
      </w:pPr>
      <w:r>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9329C9">
        <w:tc>
          <w:tcPr>
            <w:tcW w:w="10490" w:type="dxa"/>
            <w:gridSpan w:val="2"/>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МЯРКА 4 ИНВЕСТИЦИИ В МАТЕРИАЛИ АКТИВИ</w:t>
            </w:r>
          </w:p>
        </w:tc>
      </w:tr>
      <w:tr w:rsidR="009329C9">
        <w:tc>
          <w:tcPr>
            <w:tcW w:w="10490"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color w:val="auto"/>
                <w:sz w:val="24"/>
                <w:szCs w:val="24"/>
                <w:lang w:val="en-US" w:eastAsia="en-US"/>
              </w:rPr>
            </w:pPr>
            <w:r>
              <w:rPr>
                <w:rFonts w:ascii="Times New Roman" w:eastAsia="Calibri" w:hAnsi="Times New Roman" w:cs="Times New Roman"/>
                <w:color w:val="auto"/>
                <w:sz w:val="24"/>
                <w:szCs w:val="24"/>
                <w:lang w:eastAsia="en-US"/>
              </w:rPr>
              <w:t>Мярка 4.2 ИНВЕСТИЦИИ В ПРЕРАБОТКА/МАРКЕТИНГ НА СЕЛСКОСТОПАНСКИ</w:t>
            </w:r>
          </w:p>
          <w:p w:rsidR="009329C9" w:rsidRDefault="00B5212B">
            <w:pPr>
              <w:pStyle w:val="3"/>
              <w:spacing w:before="0"/>
              <w:jc w:val="center"/>
              <w:rPr>
                <w:rFonts w:ascii="Times New Roman" w:eastAsia="Calibri" w:hAnsi="Times New Roman" w:cs="Times New Roman"/>
                <w:b w:val="0"/>
                <w:sz w:val="24"/>
                <w:szCs w:val="24"/>
                <w:lang w:eastAsia="en-US"/>
              </w:rPr>
            </w:pPr>
            <w:r>
              <w:rPr>
                <w:rFonts w:ascii="Times New Roman" w:eastAsia="Calibri" w:hAnsi="Times New Roman" w:cs="Times New Roman"/>
                <w:color w:val="auto"/>
                <w:sz w:val="24"/>
                <w:szCs w:val="24"/>
                <w:lang w:eastAsia="en-US"/>
              </w:rPr>
              <w:t>ПРОДУКТИ</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Описание на целите</w:t>
            </w:r>
          </w:p>
        </w:tc>
        <w:tc>
          <w:tcPr>
            <w:tcW w:w="8930" w:type="dxa"/>
            <w:shd w:val="clear" w:color="auto" w:fill="auto"/>
          </w:tcPr>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Мярката  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w:t>
            </w:r>
          </w:p>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по-добро използване на факторите за производство; </w:t>
            </w:r>
          </w:p>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въвеждане на нови продукти, процеси и технологии, включително къси вериги на доставка; </w:t>
            </w:r>
          </w:p>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 подобряване на качеството и безопасността на храните и тяхната проследяемост; </w:t>
            </w:r>
          </w:p>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 постигане на съответствие със стандартите на Европейския съюз (ЕС); </w:t>
            </w:r>
          </w:p>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подобряване опазването на околната среда.</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Обхват на мярката</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Финансова помощ се предоставя за извършване на инвестиции в производствените сектори свързани с преработката/маркетинга на селскостопански продукти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Продуктите от допустимите за финансова помощ сектори, за чиято преработка и/или маркетинг се кандидатства, трябва да са описани в приложение №1 по чл. 38 от Договора за функционирането на Европейския съюз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Съответствието на проектите със секторите се определя въз основа на селскостопанските продукти, за чиято преработка и/или маркетинг се кандидатства, технологията на производство и получените крайни продукти.</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подпомагане могат да кандидатстват лица, които към датата на подаване на заявлението за подпомагане са: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земеделски стопани;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признати групи или организации на производители или такива, одобрени за финансова помощ по мярка 9. "Учредяване на групи и организации на производители" от ПРСР 2014 - 2020 г.;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еднолични търговци и юридически лица, различни от кандидатите по т. 1 и 2.</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Кандидатите по т.1 трябва да са регистрирани по Търговския закон или Закона за кооперациите.</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4.Земеделските стопани по т.1 към датата на подаване на проектното предложение трябва да отговарят на следните условия:</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 да са регистрирани като земеделски стопани съгласно Наредба № 3 от 1999 г. за създаване и поддържане на регистър на земеделските стопани (ДВ, бр. 10 от 1999 г.);</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 минималният стандартен производствен обем на земеделското им стопанство е не по-малко от левовата равностойност на 8000 евро.</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 Минималният стандартен производствен обем на земеделското стопанство по т. 4, б. „б“ се доказва с декларация по образец за изчисление на минималния стандартен производствен обем на стопанството през текущата стопанска година към момента на кандидатстване и:</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 регистрация на обработваната от кандидата земя и отглежданите животни в Интегрираната система за администриране и контрол (ИСАК); или</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 документ за собственост или ползване на земята или заповеди по чл. 37в, ал. 4, 10 и 12 от Закона за собствеността и ползването на земеделските земи, която участва при изчисляването му; или</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анкетните формуляри от анкетна карта/анкетни карти на земеделския стопанин, издадени по реда на Наредба № 3 от 1999 г. за създаване и поддържане на регистър </w:t>
            </w:r>
            <w:r>
              <w:rPr>
                <w:rFonts w:ascii="Times New Roman" w:hAnsi="Times New Roman" w:cs="Times New Roman"/>
                <w:sz w:val="24"/>
                <w:szCs w:val="24"/>
              </w:rPr>
              <w:lastRenderedPageBreak/>
              <w:t>на земеделските стопани.</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 По отношение на обработваната от кандидата земя, която участва при изчисление на минималния стандартен производствен обем на земеделското стопанство, не трябва да са нарушени изискванията на разпоредбата на чл. 33б от Закона за подпомагане на земеделските производители.</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 За едноличните търговци, които не са регистрирани като земеделски стопани по реда на Наредба № 3 от 1999 г., се признават обстоятелствата по т. 4, б. „а“, т. 5 и т. 6 като физически лица.</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 За едноличните дружества с ограничена отговорност, които не са регистрирани или са регистрирани през текущата или годината, предхождаща годината на кандидатстване, като земеделски стопани по реда на Наредба № 3 от 1999 г., се признават и обстоятелствата по т. 4, б. „а“, т. 5 и т. 6 на физическото лице, което е едноличен собственик на капитала.</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Допустими дейности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са само проекти, които се осъществяват на територията на МИГ Свиленград Ареал и водят до подобряване на цялостната дейност на предприятието чрез:</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внедряване на нови и/или модернизиране на наличните мощности и подобряване на използването им,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внедряване на нови продукти, процеси и технологии,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намаляване на себестойността на произвежданата продукция,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постигане на съответствие с нововъведени стандарти на ЕС,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подобряване на сътрудничеството с производителите на суровини,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опазване на околната среда, включително намаляване на вредните емисии и отпадъци,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подобряване на енергийната ефективност в предприятията,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подобряване на безопасността и хигиенните условия на производство и труд,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подобряване на качеството и безопасността на храните и тяхната проследяемост,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подобряване на възможностите за производство на биологични храни чрез преработка на първични земеделски биологични продукти.</w:t>
            </w:r>
          </w:p>
        </w:tc>
      </w:tr>
      <w:tr w:rsidR="009329C9">
        <w:trPr>
          <w:trHeight w:val="700"/>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разходи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за финансова помощ са: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1.изграждане, придобиване и модернизиране на сгради и други недвижими активи, свързани с производството и/или маркетинга, включително такива, използвани за опазване компонентите на околната среда;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закупуване, включително чрез финансов лизинг, и/или инсталиране на нови машини, съоръжения и оборудване, необходими за подобряване на производствения процес по преработка и маркетинга, в т.ч. за: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а) преработка, пакетиране, включително охлаждане, замразяване, сушене, съхраняване и др. на суровините или продукцията;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б) производство на нови продукти, въвеждане на нови технологии и процеси;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 опазване компонентите на околната среда;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г) производство на енергия от възобновяеми енергийни източници за собствените нужди на предприятието, включително чрез преработка на растителна и животинска </w:t>
            </w:r>
            <w:r>
              <w:rPr>
                <w:rFonts w:ascii="Times New Roman" w:eastAsia="Calibri" w:hAnsi="Times New Roman" w:cs="Times New Roman"/>
                <w:sz w:val="24"/>
                <w:szCs w:val="24"/>
                <w:lang w:eastAsia="en-US"/>
              </w:rPr>
              <w:lastRenderedPageBreak/>
              <w:t xml:space="preserve">първична и вторична биомаса;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 подобряване на енергийната ефективност и за подобряване и контрол на качеството и безопасността на суровините и храните;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производствени дейности;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 закупуване на сгради, помещения и други недвижими имоти, необходими за изпълнение на проекта, предназначени за производствени дейности на територията на МИГ Свиленград ареал;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5. закупуване, включително чрез финансов лизинг, на специализирани транспортни средства, включително хладилни такива, за превоз на суровините или готовата продукция, използвани и произвеждани от предприятието;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6. изграждане/модернизиране, включително оборудване на лаборатории, които са собственост на кандидата, разположени са на територията на предприятието и са пряко свързани с нуждите на производствения процес, включително чрез финансов лизинг;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7. материални инвестиции за постигане на съответствие с новоприети стандарти на Съюза включително чрез финансов лизинг;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8. разходи за достигане на съответствие с международно признати стандарти за системи за управление, разходи за въвеждане на добри производствени практики, системи за управление на качеството и подготовка за сертификация в предприятията само когато тези разходи са част от общ проект на кандидата;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9. закупуване на софтуер, включително чрез финансов лизинг;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10. за ноу-хау, придобиване на патентни права и лицензи, за регистрация на търговски марки и процеси, необходими за изготвяне и изпълнение на проекта;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 разходи, свързани с проекта, в т.ч. разходи за предпроектни проучвания, такси, хонорари за архитекти, инженери и консултанти, консултации за икономическа устойчивост на проекти,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проект, включени в т. 1 - 10.</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Недопустими разходи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Недопустими са всички разходи съгласно т. 14 от Насоките за определяне условията за кандидатстване и условията за изпълнение на одобрените стратегии за ВОМР/ 23.06.2017г. на УО на ПРСР .</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Финансови параметри на проектите</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Минималният размер на общите допустими разходи за проект е левовата равностойност на </w:t>
            </w:r>
            <w:r>
              <w:rPr>
                <w:rFonts w:ascii="Times New Roman" w:eastAsia="Calibri" w:hAnsi="Times New Roman" w:cs="Times New Roman"/>
                <w:sz w:val="24"/>
                <w:szCs w:val="24"/>
                <w:lang w:val="en-US" w:eastAsia="en-US"/>
              </w:rPr>
              <w:t>10</w:t>
            </w:r>
            <w:r>
              <w:rPr>
                <w:rFonts w:ascii="Times New Roman" w:eastAsia="Calibri" w:hAnsi="Times New Roman" w:cs="Times New Roman"/>
                <w:sz w:val="24"/>
                <w:szCs w:val="24"/>
                <w:lang w:eastAsia="en-US"/>
              </w:rPr>
              <w:t> 000 евро.</w:t>
            </w:r>
            <w:r>
              <w:rPr>
                <w:rFonts w:ascii="Times New Roman" w:eastAsia="Calibri" w:hAnsi="Times New Roman" w:cs="Times New Roman"/>
                <w:sz w:val="24"/>
                <w:szCs w:val="24"/>
              </w:rPr>
              <w:t xml:space="preserve"> Или 19 558,00 лв.</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100</w:t>
            </w:r>
            <w:r>
              <w:rPr>
                <w:rFonts w:ascii="Times New Roman" w:eastAsia="Calibri" w:hAnsi="Times New Roman" w:cs="Times New Roman"/>
                <w:sz w:val="24"/>
                <w:szCs w:val="24"/>
                <w:lang w:val="en-US" w:eastAsia="en-US"/>
              </w:rPr>
              <w:t xml:space="preserve"> 000</w:t>
            </w:r>
            <w:r>
              <w:rPr>
                <w:rFonts w:ascii="Times New Roman" w:eastAsia="Calibri" w:hAnsi="Times New Roman" w:cs="Times New Roman"/>
                <w:sz w:val="24"/>
                <w:szCs w:val="24"/>
                <w:lang w:eastAsia="en-US"/>
              </w:rPr>
              <w:t xml:space="preserve"> евро. </w:t>
            </w:r>
            <w:r>
              <w:rPr>
                <w:rFonts w:ascii="Times New Roman" w:eastAsia="Calibri" w:hAnsi="Times New Roman" w:cs="Times New Roman"/>
                <w:sz w:val="24"/>
                <w:szCs w:val="24"/>
              </w:rPr>
              <w:t>Или 195 580,00 лв.</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Интензитет и размер на финансовата помощ /в </w:t>
            </w:r>
            <w:r>
              <w:rPr>
                <w:rFonts w:ascii="Times New Roman" w:eastAsia="Calibri" w:hAnsi="Times New Roman" w:cs="Times New Roman"/>
                <w:b/>
                <w:sz w:val="24"/>
                <w:szCs w:val="24"/>
                <w:lang w:eastAsia="en-US"/>
              </w:rPr>
              <w:lastRenderedPageBreak/>
              <w:t xml:space="preserve">% </w:t>
            </w:r>
          </w:p>
        </w:tc>
        <w:tc>
          <w:tcPr>
            <w:tcW w:w="8930" w:type="dxa"/>
            <w:shd w:val="clear" w:color="auto" w:fill="auto"/>
          </w:tcPr>
          <w:p w:rsidR="009329C9" w:rsidRDefault="00B5212B">
            <w:pPr>
              <w:numPr>
                <w:ilvl w:val="0"/>
                <w:numId w:val="11"/>
              </w:numPr>
              <w:spacing w:before="120" w:after="0"/>
              <w:ind w:left="504" w:hanging="357"/>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lastRenderedPageBreak/>
              <w:t xml:space="preserve">50 </w:t>
            </w:r>
            <w:r>
              <w:rPr>
                <w:rFonts w:ascii="Times New Roman" w:eastAsia="Calibri" w:hAnsi="Times New Roman" w:cs="Times New Roman"/>
                <w:sz w:val="24"/>
                <w:szCs w:val="24"/>
                <w:lang w:eastAsia="en-US"/>
              </w:rPr>
              <w:t>на сто от общия размер на допустимите за финансово подпомагане разходи за проекти, представени от микро-, малки и средни предприятия;</w:t>
            </w:r>
          </w:p>
          <w:p w:rsidR="009329C9" w:rsidRDefault="00B5212B">
            <w:pPr>
              <w:numPr>
                <w:ilvl w:val="0"/>
                <w:numId w:val="11"/>
              </w:numPr>
              <w:spacing w:before="120" w:after="0"/>
              <w:ind w:left="504" w:hanging="357"/>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 xml:space="preserve">40 на сто от общия размер на допустимите за финансово подпомагане разходи </w:t>
            </w:r>
            <w:r>
              <w:rPr>
                <w:rFonts w:ascii="Times New Roman" w:eastAsia="Calibri" w:hAnsi="Times New Roman" w:cs="Times New Roman"/>
                <w:sz w:val="24"/>
                <w:szCs w:val="24"/>
                <w:lang w:eastAsia="en-US"/>
              </w:rPr>
              <w:lastRenderedPageBreak/>
              <w:t>за проекти, представени от големи предприятия.</w:t>
            </w:r>
          </w:p>
          <w:p w:rsidR="009329C9" w:rsidRDefault="00B5212B">
            <w:pPr>
              <w:spacing w:before="120"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Финансова помощ за преработка на продукти от приложение № І от Договора в продукти извън приложение № І от Договора се предоставя в съответствие с изискванията на Регламент (ЕС) № 702/2014 от 25 юни 2014 г. относно деклариране на някои категории помощи в секторите на селското и горското стопанство и в селските райони за съвместими с вътрешния пазар в приложение на членове 107 и 108 от Договора за функционирането на Европейския съюз и за отмяна на Регламент (ЕС) № 1857/2006 на Комисията (ОВ, L 193 от 1 юли 2014 г.). Кандидатите за финансова помощ, чиито инвестиции попадат в обхвата на ал. 1, представят декларация за размера на получените държавни помощи по образец съгласно приложение № 10</w:t>
            </w:r>
          </w:p>
          <w:p w:rsidR="009329C9" w:rsidRDefault="00B5212B">
            <w:pPr>
              <w:spacing w:after="0"/>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Общ бюджет на мярката – 122 143,50 лв.</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9329C9" w:rsidRDefault="009329C9">
            <w:pPr>
              <w:spacing w:after="0"/>
              <w:jc w:val="both"/>
              <w:rPr>
                <w:rFonts w:ascii="Times New Roman" w:eastAsia="Calibri" w:hAnsi="Times New Roman" w:cs="Times New Roman"/>
                <w:sz w:val="24"/>
                <w:szCs w:val="24"/>
                <w:lang w:eastAsia="en-US"/>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302"/>
              <w:gridCol w:w="1080"/>
            </w:tblGrid>
            <w:tr w:rsidR="009329C9">
              <w:tc>
                <w:tcPr>
                  <w:tcW w:w="7302" w:type="dxa"/>
                  <w:tcBorders>
                    <w:top w:val="outset" w:sz="6" w:space="0" w:color="auto"/>
                    <w:left w:val="outset" w:sz="6" w:space="0" w:color="auto"/>
                    <w:bottom w:val="outset" w:sz="6" w:space="0" w:color="auto"/>
                    <w:right w:val="outset" w:sz="6" w:space="0" w:color="auto"/>
                  </w:tcBorders>
                </w:tcPr>
                <w:p w:rsidR="009329C9" w:rsidRDefault="00B5212B">
                  <w:pPr>
                    <w:spacing w:before="225"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ТЕХНИЧЕСКА ОЦЕНКА И КЛАСИРАНЕ</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ТОЧКИ</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Проектът създава нови работни места : </w:t>
                  </w:r>
                </w:p>
                <w:p w:rsidR="009329C9" w:rsidRDefault="00B5212B">
                  <w:pPr>
                    <w:spacing w:after="0"/>
                    <w:ind w:left="72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1 до 3 работни места – 1</w:t>
                  </w:r>
                  <w:r>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eastAsia="en-US"/>
                    </w:rPr>
                    <w:t xml:space="preserve"> точки</w:t>
                  </w:r>
                </w:p>
                <w:p w:rsidR="009329C9" w:rsidRDefault="00B5212B">
                  <w:pPr>
                    <w:spacing w:after="0"/>
                    <w:ind w:left="72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Над 3 работни места – 15 точки</w:t>
                  </w:r>
                  <w:r>
                    <w:rPr>
                      <w:rFonts w:ascii="Times New Roman" w:eastAsia="Calibri" w:hAnsi="Times New Roman" w:cs="Times New Roman"/>
                      <w:sz w:val="24"/>
                      <w:szCs w:val="24"/>
                      <w:lang w:eastAsia="en-US"/>
                    </w:rPr>
                    <w:tab/>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2.Проектът предвижда инвестиции свързани с подобряване на енергийната ефективност</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3.Предприятието има сключени предварителни договори за пласмент на продукцията или има сключени договори да преработва суровина от земеделски производители от територията.</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contextualSpacing/>
                    <w:jc w:val="both"/>
                    <w:rPr>
                      <w:rFonts w:ascii="Times New Roman" w:eastAsia="Calibri" w:hAnsi="Times New Roman" w:cs="Times New Roman"/>
                      <w:sz w:val="24"/>
                      <w:szCs w:val="24"/>
                      <w:shd w:val="clear" w:color="auto" w:fill="FEFEFE"/>
                      <w:lang w:eastAsia="en-US"/>
                    </w:rPr>
                  </w:pPr>
                  <w:r>
                    <w:rPr>
                      <w:rFonts w:ascii="Times New Roman" w:eastAsia="Calibri" w:hAnsi="Times New Roman" w:cs="Times New Roman"/>
                      <w:sz w:val="24"/>
                      <w:szCs w:val="24"/>
                      <w:shd w:val="clear" w:color="auto" w:fill="FEFEFE"/>
                      <w:lang w:eastAsia="en-US"/>
                    </w:rPr>
                    <w:t>4.Кандидатът не е получавал подкрепа от Общността за подобна инвестиция.</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contextualSpacing/>
                    <w:jc w:val="both"/>
                    <w:rPr>
                      <w:rFonts w:ascii="Times New Roman" w:eastAsia="Calibri" w:hAnsi="Times New Roman" w:cs="Times New Roman"/>
                      <w:sz w:val="24"/>
                      <w:szCs w:val="24"/>
                      <w:lang w:val="en-US" w:eastAsia="en-US"/>
                    </w:rPr>
                  </w:pPr>
                  <w:r>
                    <w:rPr>
                      <w:rFonts w:ascii="Times New Roman" w:eastAsia="Times New Roman" w:hAnsi="Times New Roman" w:cs="Times New Roman"/>
                      <w:sz w:val="24"/>
                      <w:szCs w:val="24"/>
                      <w:lang w:eastAsia="en-US"/>
                    </w:rPr>
                    <w:t xml:space="preserve">5.Инвестициите са свързани с преработка на млечни продукти </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10</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contextualSpacing/>
                    <w:jc w:val="both"/>
                    <w:rPr>
                      <w:rFonts w:ascii="Times New Roman" w:eastAsia="Calibri" w:hAnsi="Times New Roman" w:cs="Times New Roman"/>
                      <w:sz w:val="24"/>
                      <w:szCs w:val="24"/>
                      <w:shd w:val="clear" w:color="auto" w:fill="FEFEFE"/>
                      <w:lang w:val="en-US" w:eastAsia="en-US"/>
                    </w:rPr>
                  </w:pPr>
                  <w:r>
                    <w:rPr>
                      <w:rFonts w:ascii="Times New Roman" w:eastAsia="Calibri" w:hAnsi="Times New Roman" w:cs="Times New Roman"/>
                      <w:sz w:val="24"/>
                      <w:szCs w:val="24"/>
                      <w:shd w:val="clear" w:color="auto" w:fill="FEFEFE"/>
                      <w:lang w:eastAsia="en-US"/>
                    </w:rPr>
                    <w:t>6.И</w:t>
                  </w:r>
                  <w:r>
                    <w:rPr>
                      <w:rFonts w:ascii="Times New Roman" w:eastAsia="Calibri" w:hAnsi="Times New Roman" w:cs="Times New Roman"/>
                      <w:sz w:val="24"/>
                      <w:szCs w:val="24"/>
                      <w:shd w:val="clear" w:color="auto" w:fill="FEFEFE"/>
                      <w:lang w:val="en-US" w:eastAsia="en-US"/>
                    </w:rPr>
                    <w:t>новации в предприятието</w:t>
                  </w:r>
                  <w:r>
                    <w:rPr>
                      <w:rFonts w:ascii="Times New Roman" w:eastAsia="Calibri" w:hAnsi="Times New Roman" w:cs="Times New Roman"/>
                      <w:sz w:val="24"/>
                      <w:szCs w:val="24"/>
                      <w:shd w:val="clear" w:color="auto" w:fill="FEFEFE"/>
                      <w:lang w:eastAsia="en-US"/>
                    </w:rPr>
                    <w:t xml:space="preserve"> – въвеждане на нови за територията практики и</w:t>
                  </w:r>
                  <w:r>
                    <w:rPr>
                      <w:rFonts w:ascii="Times New Roman" w:eastAsia="Times New Roman" w:hAnsi="Times New Roman" w:cs="Times New Roman"/>
                      <w:sz w:val="24"/>
                      <w:szCs w:val="24"/>
                      <w:lang w:eastAsia="en-US"/>
                    </w:rPr>
                    <w:t>/или услуги и/или продукт в предприятието  - над 10% от инвестицията е свързана с иновации в предприятието.</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lang w:eastAsia="en-US"/>
                    </w:rPr>
                    <w:t>7.Дейностите по проекта се изпълняват на територията на селата на които има развити сходни производства или суровини за съответните производства</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ОБЩО:</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rsidR="009329C9" w:rsidRDefault="009329C9">
            <w:pPr>
              <w:spacing w:after="0"/>
              <w:jc w:val="both"/>
              <w:rPr>
                <w:rFonts w:ascii="Times New Roman" w:eastAsia="Calibri" w:hAnsi="Times New Roman" w:cs="Times New Roman"/>
                <w:color w:val="000000"/>
                <w:sz w:val="24"/>
                <w:szCs w:val="24"/>
                <w:lang w:eastAsia="en-US"/>
              </w:rPr>
            </w:pP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Държавни помощи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w:t>
            </w:r>
            <w:r>
              <w:rPr>
                <w:rFonts w:ascii="Times New Roman" w:eastAsia="Calibri" w:hAnsi="Times New Roman" w:cs="Times New Roman"/>
                <w:sz w:val="24"/>
                <w:szCs w:val="24"/>
                <w:lang w:eastAsia="en-US"/>
              </w:rPr>
              <w:lastRenderedPageBreak/>
              <w:t xml:space="preserve">носно прилагането на членове 107 и 108 от Договора за функционирането на Европейския съюз към помощта </w:t>
            </w:r>
            <w:r>
              <w:rPr>
                <w:rFonts w:ascii="Times New Roman" w:eastAsia="Calibri" w:hAnsi="Times New Roman" w:cs="Times New Roman"/>
                <w:sz w:val="24"/>
                <w:szCs w:val="24"/>
                <w:lang w:val="en-US" w:eastAsia="en-US"/>
              </w:rPr>
              <w:t>de minimis</w:t>
            </w: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val="en-US" w:eastAsia="en-US"/>
              </w:rPr>
              <w:t>OB</w:t>
            </w: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val="en-US" w:eastAsia="en-US"/>
              </w:rPr>
              <w:t xml:space="preserve"> L</w:t>
            </w:r>
            <w:r>
              <w:rPr>
                <w:rFonts w:ascii="Times New Roman" w:eastAsia="Calibri" w:hAnsi="Times New Roman" w:cs="Times New Roman"/>
                <w:sz w:val="24"/>
                <w:szCs w:val="24"/>
                <w:lang w:eastAsia="en-US"/>
              </w:rPr>
              <w:t xml:space="preserve"> 352/1 от 24 декември 2013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9329C9" w:rsidRDefault="009329C9">
      <w:pPr>
        <w:rPr>
          <w:rFonts w:ascii="Times New Roman" w:hAnsi="Times New Roman" w:cs="Times New Roman"/>
        </w:rPr>
      </w:pPr>
    </w:p>
    <w:p w:rsidR="009329C9" w:rsidRDefault="00B5212B">
      <w:pPr>
        <w:rPr>
          <w:rFonts w:ascii="Times New Roman" w:hAnsi="Times New Roman" w:cs="Times New Roman"/>
        </w:rPr>
      </w:pPr>
      <w:r>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9329C9">
        <w:tc>
          <w:tcPr>
            <w:tcW w:w="10490" w:type="dxa"/>
            <w:gridSpan w:val="2"/>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МЯРКА 6 РАЗВИТИЕ НА СТОПАНСТВА И ПРЕДПРИЯТИЯ</w:t>
            </w:r>
          </w:p>
        </w:tc>
      </w:tr>
      <w:tr w:rsidR="009329C9">
        <w:tc>
          <w:tcPr>
            <w:tcW w:w="10490"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sz w:val="24"/>
                <w:szCs w:val="24"/>
                <w:lang w:val="ru-RU" w:eastAsia="en-US"/>
              </w:rPr>
            </w:pPr>
            <w:r>
              <w:rPr>
                <w:rFonts w:ascii="Times New Roman" w:eastAsia="Calibri" w:hAnsi="Times New Roman" w:cs="Times New Roman"/>
                <w:color w:val="auto"/>
                <w:sz w:val="24"/>
                <w:szCs w:val="24"/>
                <w:lang w:eastAsia="en-US"/>
              </w:rPr>
              <w:t>Мярка 6.4 ИНВЕСТИЦИИ В ПОДКРЕПА НА НЕЗЕМЕДЕЛСКИ ДЕЙНОСТИ</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Описание на целите</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Мярката има следните специфични цели: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разнообразяване към неземеделски дейности;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насърчаване на предприемачеството на територията;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насърчаване развитието на туризма на територията;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развитие на „зелена икономика“ и иновации;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създаване на възможности за заетост и повишаване на качеството на живот.</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Обхват на мярката</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 мярката се подпомагат проекти за инвестиции за създаване или развитие на неземеделски дейности. Изпълнява се на територията на МИГ „Свиленград Ареал“. </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Подпомагането на инвестициите в неземеделски дейности е от съществено значение за развитието на конкурентоспособността на селските райони.</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Насърчаването на инвестиционните дейности ще подпомогне създаването на заетост и ще ускори диверсификацията на неземеделските дейности.</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Подмярката ще подпомогне развитието на технологиите в областта на „зелената икономика“, включително на енергия от ВЕИ за собствено потребление</w:t>
            </w:r>
            <w:r>
              <w:rPr>
                <w:rFonts w:ascii="Times New Roman" w:eastAsia="Times New Roman" w:hAnsi="Times New Roman" w:cs="Times New Roman"/>
                <w:i/>
                <w:iCs/>
                <w:sz w:val="24"/>
                <w:szCs w:val="24"/>
              </w:rPr>
              <w:t>.</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Чрез финансовата подкрепа ще се подпомогне усвояването на потенциала за развитие на туризъм, съчетаващ природни и културни ценности.</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Подмярката ще допринася към приоритетни области 6А и 5В.</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Земеделски стопани или микропредприятия, регистрирани като еднолични търговци или юридически лица по Търговския закон, Закона за кооперациите или Закона за вероизповеданията, както и физически лица, регистрирани по Закона за занаятите.</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определянето на едно предприятие за микропредприятие се следва дефиницията на Препоръка 2003/361/ЕО на Комисията.</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8930" w:type="dxa"/>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Предоставя се подпомагане за инвестиции в неземеделски дейности, които са насочени към:</w:t>
            </w:r>
          </w:p>
          <w:p w:rsidR="009329C9" w:rsidRDefault="00B5212B">
            <w:pPr>
              <w:pStyle w:val="af4"/>
              <w:numPr>
                <w:ilvl w:val="0"/>
                <w:numId w:val="12"/>
              </w:numPr>
              <w:spacing w:after="0"/>
              <w:ind w:lef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 туризъм (изграждане и обновяване на туристически обекти и развитие на туристически услуги);</w:t>
            </w:r>
          </w:p>
          <w:p w:rsidR="009329C9" w:rsidRDefault="00B5212B">
            <w:pPr>
              <w:pStyle w:val="af4"/>
              <w:numPr>
                <w:ilvl w:val="0"/>
                <w:numId w:val="12"/>
              </w:numPr>
              <w:spacing w:after="0"/>
              <w:ind w:lef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rsidR="009329C9" w:rsidRDefault="00B5212B">
            <w:pPr>
              <w:pStyle w:val="af4"/>
              <w:numPr>
                <w:ilvl w:val="0"/>
                <w:numId w:val="12"/>
              </w:numPr>
              <w:spacing w:after="0"/>
              <w:ind w:lef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 услуги във всички сектори (например: грижи за деца, възрастни хора, хора с увреждания, здравни услуги, счетоводство и одиторски услуги, ветеринарни дейности и услуги базирани на ИТ и др.;</w:t>
            </w:r>
          </w:p>
          <w:p w:rsidR="009329C9" w:rsidRDefault="00B5212B">
            <w:pPr>
              <w:pStyle w:val="af4"/>
              <w:numPr>
                <w:ilvl w:val="0"/>
                <w:numId w:val="12"/>
              </w:numPr>
              <w:spacing w:after="0"/>
              <w:ind w:lef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Производство на енергия от възобновяеми енергийни източници за собствено потребление;</w:t>
            </w:r>
          </w:p>
          <w:p w:rsidR="009329C9" w:rsidRDefault="00B5212B">
            <w:pPr>
              <w:pStyle w:val="af4"/>
              <w:numPr>
                <w:ilvl w:val="0"/>
                <w:numId w:val="12"/>
              </w:numPr>
              <w:spacing w:after="0"/>
              <w:ind w:lef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В рамките на подмярката не се финансират дейности, които водят до осъществяване на селскостопанска дейност или резултата от дейността е продукт, включен в Приложение I на Договора за функциониране на Европейския съюз.</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Допустими </w:t>
            </w:r>
            <w:r>
              <w:rPr>
                <w:rFonts w:ascii="Times New Roman" w:eastAsia="Calibri" w:hAnsi="Times New Roman" w:cs="Times New Roman"/>
                <w:b/>
                <w:sz w:val="24"/>
                <w:szCs w:val="24"/>
                <w:lang w:eastAsia="en-US"/>
              </w:rPr>
              <w:lastRenderedPageBreak/>
              <w:t>разходи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Допустими за финансова помощ са разходите за: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Финансова помощ за материали и нематериали инвестиции, за създаване и развитие на неземеделски дейности в селските райони, включващи:</w:t>
            </w:r>
          </w:p>
          <w:p w:rsidR="009329C9" w:rsidRDefault="00B5212B">
            <w:pPr>
              <w:spacing w:after="0"/>
              <w:ind w:left="364"/>
              <w:jc w:val="both"/>
              <w:textAlignment w:val="center"/>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а) Изграждане, придобиване или подобренията на недвижимо имущество;</w:t>
            </w:r>
          </w:p>
          <w:p w:rsidR="009329C9" w:rsidRDefault="00B5212B">
            <w:pPr>
              <w:spacing w:after="0"/>
              <w:ind w:left="283"/>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 xml:space="preserve"> б) Закупуване, включително чрез лизинг на нови машини и оборудване до пазарната стойност на активите;</w:t>
            </w:r>
          </w:p>
          <w:p w:rsidR="009329C9" w:rsidRDefault="00B5212B">
            <w:pPr>
              <w:spacing w:after="0"/>
              <w:ind w:left="364"/>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в) Общи разходи, свързани с разходите по букви а и б, например хонорари за архитекти, инженери и консултанти, хонорари, свързани с консултации относно екологичната и икономическа устойчивост, включително проучвания за техническа осъществимост;</w:t>
            </w:r>
          </w:p>
          <w:p w:rsidR="009329C9" w:rsidRDefault="00B5212B">
            <w:pPr>
              <w:spacing w:after="0"/>
              <w:ind w:left="364"/>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г) Нематериали инвестиции: придобиване и създаване на компютърен софтуер и придобиване на патенти, лицензи, авторски права и марки.</w:t>
            </w:r>
          </w:p>
          <w:p w:rsidR="009329C9" w:rsidRDefault="00B5212B">
            <w:pPr>
              <w:spacing w:after="0"/>
              <w:ind w:left="4"/>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Разходите по т.“в“ не могат да надхвърлят 12 % от сумата на разходите по т. „а“, „б“ и „г“. Не са допустими за подпомагане текущи разходи.</w:t>
            </w:r>
          </w:p>
          <w:p w:rsidR="009329C9" w:rsidRDefault="00B5212B">
            <w:pPr>
              <w:spacing w:after="0"/>
              <w:ind w:left="4"/>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Подпомагат се проекти за обновяване или изграждане на места за настаняване с до 20 помещения за настаняванеи стойност на финансовата помощ до 50 000 лева с ДДС. Проекти, с включени инвестиции за производство енергия от ВЕИ се подпомагат, ако не надхвърлят необходимото количество енергия за покриване на потребностите на предприятието. Проекти за производство на  биогорива и течните горива от биомаса се подпомагат при условие, че отговарят на критериите за устойчивост, определени в чл. 37-40 от Закона за енергията от възобновяеми източници.</w:t>
            </w:r>
          </w:p>
          <w:p w:rsidR="009329C9" w:rsidRDefault="00B5212B">
            <w:pPr>
              <w:spacing w:after="0"/>
              <w:ind w:left="4"/>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Разходите са допустими само ако са извършени след подаване на заявлението за подпомагане, с изключение на общите разходи.</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 xml:space="preserve">Недопустими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разходи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Недопустими са всички разходи съгласнот. 14 от Насоките за определяне условията за кандидатстване и условията за изпълнение на одобрените стратегии за ВОМР/ 23.06.2017г. на УО на ПРСР .чл. 21 от Наредба №22/14.12.2015 г. на МЗХГ.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 се предоставя финансова помощ за хазарт, финансови услуги, голф, сектори и дейности, определени за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deminimis, производство на енергия от възобновяеми енергийни източници за продажба.</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Финансови параметри на проектите</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Минималният размер на общите допустими разходи за проект и левовата равностойност на 10 000 евро.</w:t>
            </w:r>
            <w:r>
              <w:rPr>
                <w:rFonts w:ascii="Times New Roman" w:eastAsia="Calibri" w:hAnsi="Times New Roman" w:cs="Times New Roman"/>
                <w:sz w:val="24"/>
                <w:szCs w:val="24"/>
              </w:rPr>
              <w:t xml:space="preserve"> Или 19 558,00 лв.</w:t>
            </w:r>
          </w:p>
          <w:p w:rsidR="009329C9" w:rsidRDefault="00B5212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lang w:eastAsia="en-US"/>
              </w:rPr>
              <w:t xml:space="preserve">Максималният размер на общите допустими разходи за проект е левовата равностойност на 150 000 евро. </w:t>
            </w:r>
            <w:r>
              <w:rPr>
                <w:rFonts w:ascii="Times New Roman" w:eastAsia="Calibri" w:hAnsi="Times New Roman" w:cs="Times New Roman"/>
                <w:sz w:val="24"/>
                <w:szCs w:val="24"/>
              </w:rPr>
              <w:t>Или 293 370,00 лв.</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Интензитет и размер на финансовата помощ /в %</w:t>
            </w:r>
          </w:p>
        </w:tc>
        <w:tc>
          <w:tcPr>
            <w:tcW w:w="8930" w:type="dxa"/>
            <w:shd w:val="clear" w:color="auto" w:fill="auto"/>
          </w:tcPr>
          <w:p w:rsidR="009329C9" w:rsidRDefault="00B5212B">
            <w:pPr>
              <w:numPr>
                <w:ilvl w:val="0"/>
                <w:numId w:val="11"/>
              </w:numPr>
              <w:spacing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 xml:space="preserve">75 на сто от общия размер на допустимите за финансово подпомагане разходи за проекти. </w:t>
            </w:r>
          </w:p>
          <w:p w:rsidR="009329C9" w:rsidRDefault="00B5212B">
            <w:pPr>
              <w:numPr>
                <w:ilvl w:val="0"/>
                <w:numId w:val="11"/>
              </w:numPr>
              <w:spacing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 xml:space="preserve">Интензитетът на подпомагане на проект за развитие на туризма </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изграждане и обновяване на туристически обекти и развитие на туристически услуги</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 xml:space="preserve"> не може да надвишава 5 на сто от общите допустими разходи. </w:t>
            </w:r>
          </w:p>
          <w:p w:rsidR="009329C9" w:rsidRDefault="00B5212B">
            <w:pPr>
              <w:spacing w:after="0"/>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Финансовата помощ не може да надвишава 75% от общите допустими разходи и при спазване на правилата за „минимална помощ“ при спазване на условията на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 minimis.</w:t>
            </w:r>
          </w:p>
          <w:p w:rsidR="009329C9" w:rsidRDefault="00B5212B">
            <w:pPr>
              <w:spacing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Общ бюджет на мярката – 1 462 625,44 лв.</w:t>
            </w:r>
          </w:p>
        </w:tc>
      </w:tr>
      <w:tr w:rsidR="009329C9">
        <w:trPr>
          <w:trHeight w:val="7224"/>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9329C9" w:rsidRDefault="009329C9">
            <w:pPr>
              <w:spacing w:after="0"/>
              <w:jc w:val="both"/>
              <w:rPr>
                <w:rFonts w:ascii="Times New Roman" w:eastAsia="Calibri" w:hAnsi="Times New Roman" w:cs="Times New Roman"/>
                <w:sz w:val="24"/>
                <w:szCs w:val="24"/>
                <w:lang w:eastAsia="en-US"/>
              </w:rPr>
            </w:pPr>
          </w:p>
          <w:tbl>
            <w:tblPr>
              <w:tblStyle w:val="TableGrid1"/>
              <w:tblW w:w="0" w:type="auto"/>
              <w:tblLayout w:type="fixed"/>
              <w:tblLook w:val="04A0" w:firstRow="1" w:lastRow="0" w:firstColumn="1" w:lastColumn="0" w:noHBand="0" w:noVBand="1"/>
            </w:tblPr>
            <w:tblGrid>
              <w:gridCol w:w="7403"/>
              <w:gridCol w:w="1153"/>
            </w:tblGrid>
            <w:tr w:rsidR="009329C9">
              <w:tc>
                <w:tcPr>
                  <w:tcW w:w="7403" w:type="dxa"/>
                </w:tcPr>
                <w:p w:rsidR="009329C9" w:rsidRDefault="00B5212B">
                  <w:pPr>
                    <w:spacing w:before="225" w:after="225"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ТЕХНИЧЕСКА ОЦЕНКА И КЛАСИРАНЕ</w:t>
                  </w:r>
                </w:p>
              </w:tc>
              <w:tc>
                <w:tcPr>
                  <w:tcW w:w="1153" w:type="dxa"/>
                </w:tcPr>
                <w:p w:rsidR="009329C9" w:rsidRDefault="00B5212B">
                  <w:pPr>
                    <w:spacing w:before="225" w:after="225"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ТОЧКИ</w:t>
                  </w:r>
                </w:p>
              </w:tc>
            </w:tr>
            <w:tr w:rsidR="009329C9">
              <w:trPr>
                <w:trHeight w:val="680"/>
              </w:trPr>
              <w:tc>
                <w:tcPr>
                  <w:tcW w:w="7403" w:type="dxa"/>
                </w:tcPr>
                <w:p w:rsidR="009329C9" w:rsidRDefault="00B5212B">
                  <w:pPr>
                    <w:numPr>
                      <w:ilvl w:val="0"/>
                      <w:numId w:val="13"/>
                    </w:numPr>
                    <w:tabs>
                      <w:tab w:val="left" w:pos="293"/>
                    </w:tabs>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Проектът допринася за въвеждане на иновативност в предприятието</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rPr>
                <w:trHeight w:val="680"/>
              </w:trPr>
              <w:tc>
                <w:tcPr>
                  <w:tcW w:w="7403" w:type="dxa"/>
                </w:tcPr>
                <w:p w:rsidR="009329C9" w:rsidRDefault="00B5212B">
                  <w:pPr>
                    <w:numPr>
                      <w:ilvl w:val="0"/>
                      <w:numId w:val="13"/>
                    </w:numPr>
                    <w:tabs>
                      <w:tab w:val="left" w:pos="293"/>
                    </w:tabs>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Проектът предвижда използване на местни доставчици на стоки и/или услуги</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rPr>
                <w:trHeight w:val="680"/>
              </w:trPr>
              <w:tc>
                <w:tcPr>
                  <w:tcW w:w="7403" w:type="dxa"/>
                </w:tcPr>
                <w:p w:rsidR="009329C9" w:rsidRDefault="00B5212B">
                  <w:pPr>
                    <w:numPr>
                      <w:ilvl w:val="0"/>
                      <w:numId w:val="13"/>
                    </w:numPr>
                    <w:tabs>
                      <w:tab w:val="left" w:pos="293"/>
                    </w:tabs>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 Проектът е в сферата на битовите и/или техническите услуги и/или социалните услуги </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rPr>
                <w:trHeight w:val="680"/>
              </w:trPr>
              <w:tc>
                <w:tcPr>
                  <w:tcW w:w="7403" w:type="dxa"/>
                </w:tcPr>
                <w:p w:rsidR="009329C9" w:rsidRDefault="00B5212B">
                  <w:pPr>
                    <w:numPr>
                      <w:ilvl w:val="0"/>
                      <w:numId w:val="13"/>
                    </w:numPr>
                    <w:tabs>
                      <w:tab w:val="left" w:pos="293"/>
                    </w:tabs>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Проектът допринася за развитие на интегриран продукт за селски туризъм или развитие на еко, културен и др. алтернативни форми на туризъм;</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rPr>
                <w:trHeight w:val="680"/>
              </w:trPr>
              <w:tc>
                <w:tcPr>
                  <w:tcW w:w="7403" w:type="dxa"/>
                </w:tcPr>
                <w:p w:rsidR="009329C9" w:rsidRDefault="00B5212B">
                  <w:pPr>
                    <w:numPr>
                      <w:ilvl w:val="0"/>
                      <w:numId w:val="13"/>
                    </w:numPr>
                    <w:tabs>
                      <w:tab w:val="left" w:pos="293"/>
                    </w:tabs>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Проектът създава нови работни места</w:t>
                  </w:r>
                </w:p>
                <w:p w:rsidR="009329C9" w:rsidRDefault="00B5212B">
                  <w:pPr>
                    <w:numPr>
                      <w:ilvl w:val="0"/>
                      <w:numId w:val="14"/>
                    </w:numPr>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От 1 до 3 работни места – 5 точки</w:t>
                  </w:r>
                </w:p>
                <w:p w:rsidR="009329C9" w:rsidRDefault="00B5212B">
                  <w:pPr>
                    <w:numPr>
                      <w:ilvl w:val="0"/>
                      <w:numId w:val="14"/>
                    </w:numPr>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Над 3 работни места – 10 точки</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rPr>
                <w:trHeight w:val="680"/>
              </w:trPr>
              <w:tc>
                <w:tcPr>
                  <w:tcW w:w="7403" w:type="dxa"/>
                </w:tcPr>
                <w:p w:rsidR="009329C9" w:rsidRDefault="00B5212B">
                  <w:pPr>
                    <w:numPr>
                      <w:ilvl w:val="0"/>
                      <w:numId w:val="14"/>
                    </w:numPr>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6. Кандидатът не е получавал финансова подкрепа от Общността за подобна инвестиция </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rPr>
                <w:trHeight w:val="680"/>
              </w:trPr>
              <w:tc>
                <w:tcPr>
                  <w:tcW w:w="7403" w:type="dxa"/>
                </w:tcPr>
                <w:p w:rsidR="009329C9" w:rsidRDefault="00B5212B">
                  <w:pPr>
                    <w:numPr>
                      <w:ilvl w:val="0"/>
                      <w:numId w:val="14"/>
                    </w:numPr>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 Проектът предвижда създаването на производствени дейности</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329C9">
              <w:trPr>
                <w:trHeight w:val="417"/>
              </w:trPr>
              <w:tc>
                <w:tcPr>
                  <w:tcW w:w="7403" w:type="dxa"/>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ОБЩО</w:t>
                  </w:r>
                </w:p>
              </w:tc>
              <w:tc>
                <w:tcPr>
                  <w:tcW w:w="1153" w:type="dxa"/>
                </w:tcPr>
                <w:p w:rsidR="009329C9" w:rsidRDefault="00B5212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rsidR="009329C9" w:rsidRDefault="009329C9">
            <w:pPr>
              <w:spacing w:after="0"/>
              <w:jc w:val="both"/>
              <w:rPr>
                <w:rFonts w:ascii="Times New Roman" w:eastAsia="Calibri" w:hAnsi="Times New Roman" w:cs="Times New Roman"/>
                <w:color w:val="000000"/>
                <w:sz w:val="24"/>
                <w:szCs w:val="24"/>
                <w:lang w:eastAsia="en-US"/>
              </w:rPr>
            </w:pP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Държавни помощи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9329C9" w:rsidRDefault="00B5212B">
      <w: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646"/>
      </w:tblGrid>
      <w:tr w:rsidR="009329C9">
        <w:tc>
          <w:tcPr>
            <w:tcW w:w="10490" w:type="dxa"/>
            <w:gridSpan w:val="2"/>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9329C9">
        <w:trPr>
          <w:trHeight w:val="746"/>
        </w:trPr>
        <w:tc>
          <w:tcPr>
            <w:tcW w:w="10490"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sz w:val="24"/>
                <w:szCs w:val="24"/>
                <w:lang w:val="ru-RU" w:eastAsia="en-US"/>
              </w:rPr>
            </w:pPr>
            <w:r>
              <w:rPr>
                <w:rFonts w:ascii="Times New Roman" w:eastAsia="Calibri" w:hAnsi="Times New Roman" w:cs="Times New Roman"/>
                <w:color w:val="auto"/>
                <w:sz w:val="24"/>
                <w:szCs w:val="24"/>
                <w:lang w:eastAsia="en-US"/>
              </w:rPr>
              <w:t>Мярка 7.2 ИНВЕСТИЦИИ В СЪЗДАВАНЕТО, ПОДОБРЯВАНЕТО ИЛИ РАЗШИРЯВАНЕТО НА ВСИЧКИ ВИДОВЕ МАЛКА ПО МАЩАБИ ИНФРАСТРУКТУРА</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Описание на целите</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Мярката има за цел да насърчи социалното приобщаване, намаляването на бедността и икономическото развитие в селските райони.</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Обхват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мярката</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 мярката се подпомагат проекти за подобряване на физическата среда и обхваща обектите и съоръженията за реализиране на услугите в сферата на образованието, здравеопазването и социалните грижи, науката и културата, водоснабдяването и канализацията, енергоснабдяването, телекомуникациите, транспорта, благоустройството, физическата култура, спорта и отдиха.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Изпълнява се на територията на МИГ „Свиленград Ареал“</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За подпомагане могат да кандидатстват: </w:t>
            </w:r>
          </w:p>
          <w:p w:rsidR="009329C9" w:rsidRDefault="00B5212B">
            <w:pPr>
              <w:numPr>
                <w:ilvl w:val="0"/>
                <w:numId w:val="15"/>
              </w:num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Община Свиленград; </w:t>
            </w:r>
          </w:p>
          <w:p w:rsidR="009329C9" w:rsidRDefault="00B5212B">
            <w:pPr>
              <w:numPr>
                <w:ilvl w:val="0"/>
                <w:numId w:val="15"/>
              </w:num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Юридически лица с нестопанска цел /ЮЛНЦ/, регистрирани по закона за юридическите лица с нестопанска цел; </w:t>
            </w:r>
          </w:p>
          <w:p w:rsidR="009329C9" w:rsidRDefault="00B5212B">
            <w:pPr>
              <w:numPr>
                <w:ilvl w:val="0"/>
                <w:numId w:val="15"/>
              </w:num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Читалища, регистрирани по Закона за читалищата.</w:t>
            </w:r>
          </w:p>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„Свиленград Ареал“, а именно: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1.строителство, реконструкция и/или рехабилитация на нови и съществуващи улици и тротоари исъоръженията и принадлежностите към тях;</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строителство, реконструкция и/или рехабилитация на нови и съществуващи общински пътища исъоръженията и принадлежностите към тях;</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изграждане, реконструкция и/или рехабилитация на водоснабдителни системи и съоръжения в агломерациис под 2000 е.ж. в селските райони;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изграждане и/или обновяване на площи за широко обществено ползване, предназначени за трайнозадоволяване на обществените потребности от общинско значение;</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изграждане, реконструкция, ремонт, оборудване и/или обзавеждане на социална инфраструктура запредоставяне на услуги, които не са част от процеса на деинституционализация на деца и възрастни,включително транспортни средства;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 реконструкция и/или ремонт на общински сгради, в които се предоставят обществени услуги, с целподобряване на тяхната енергийна ефективност;</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 изграждане, реконструкция, ремонт, реставрация, закупуване на оборудване и/или обзавеждане на обекти,свързани с културния живот, включително мобилни такива, включително и дейности по вертикалнатапланировка и подобряване на прилежащите пространства;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 реконструкция, ремонт, оборудване и/или обзавеждане на общинска образователна инфраструктура с местнозначение в селските райони.</w:t>
            </w:r>
            <w:r>
              <w:rPr>
                <w:rFonts w:ascii="Times New Roman" w:eastAsia="Calibri" w:hAnsi="Times New Roman" w:cs="Times New Roman"/>
                <w:sz w:val="24"/>
                <w:szCs w:val="24"/>
                <w:lang w:eastAsia="en-US"/>
              </w:rPr>
              <w:tab/>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разходи</w:t>
            </w:r>
          </w:p>
        </w:tc>
        <w:tc>
          <w:tcPr>
            <w:tcW w:w="8646" w:type="dxa"/>
            <w:shd w:val="clear" w:color="auto" w:fill="auto"/>
          </w:tcPr>
          <w:p w:rsidR="009329C9" w:rsidRDefault="00B5212B">
            <w:pPr>
              <w:pStyle w:val="af4"/>
              <w:numPr>
                <w:ilvl w:val="0"/>
                <w:numId w:val="16"/>
              </w:num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за финансова помощ са разходите за</w:t>
            </w:r>
          </w:p>
          <w:p w:rsidR="009329C9" w:rsidRDefault="00B5212B">
            <w:pPr>
              <w:pStyle w:val="af4"/>
              <w:numPr>
                <w:ilvl w:val="0"/>
                <w:numId w:val="16"/>
              </w:num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за строителство, реконструкция, рехабилитация, изграждане, обновяване, ремонт и/или реставрация на сгради и/или помещения и/или друга недвижима соб</w:t>
            </w:r>
            <w:r>
              <w:rPr>
                <w:rFonts w:ascii="Times New Roman" w:eastAsia="Calibri" w:hAnsi="Times New Roman" w:cs="Times New Roman"/>
                <w:sz w:val="24"/>
                <w:szCs w:val="24"/>
                <w:lang w:eastAsia="en-US"/>
              </w:rPr>
              <w:lastRenderedPageBreak/>
              <w:t>ственост съгласно допустимите за подпомагане дейности, които са: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 разходи, свързани с прякото изпълнение на строително-монтажните работи;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 непредвидени разходи в размер до 5 на сто от стойността на одобрените разходи по буква "а";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за закупуване на нови транспортни средства, мобилни обекти, оборудване и обзавеждане до пазарната им стойност, включително чрез финансов лизинг;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за придобиване на компютърен софтуер, патентни и авторски права, лицензи, регистрация на търговски марки, до пазарната им стойност;</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свързани с проекта, в това число разходи за хонорари за архитекти, инженери и консултанти, консултации за икономическа и екологична устойчивост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надхвърлят 10 на сто от общия размер на допустимите разходи по проект, включени в т. 1, буква "а", т. 2 и 3.</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Допустимите разходи по ал. 1, т. 4 не може да надхвърлят следните стойности: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за консултантски услуги, свързани с подготовката на проекта, като част от разходите по ал. 1, т. 4 не могат да надхвърлят 1 на сто от допустимите разходи по ал. 1, т. 1, буква "а", т. 2 и 3;</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за консултантски услуги, свързани с управлението на проекта, като част от разходите по ал. 1, т. 4 не могат да надхвърлят 1 на сто от допустимите разходи по ал. 1, т. 1, буква "а", т. 2 и 3;</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разходите за изготвяне на технически и/или работен проект в случаите на строително-монтажни дейности, като част от разходите по ал. 1, т. 4 не могат да надхвърлят 5 на сто от допустимите разходи по ал. 1, т. 1, буква "а";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разходите за строителен надзор, като част от разходите по ал. 1, т. 4 не могат да надхвърлят 2 на сто от допустимите разходи по ал. 1, т. 1, буква "а";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разходите за авторски надзор, като част от разходите по ал. 1, т. 4 не могат да надхвърлят 1 на сто от допустимите разходи по ал. 1, т. 1, буква "а".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Разходите по ал. 1, т. 3 са допустими само в случай, че се кандидатства за разходи по ал. 1, т. 1, буква "а" и са необходими за постигане на целите по подмярка 7.2.</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Разходите по ал. 1, т. 4 са допустими, ако са извършени не по-рано от 1 януари 2014 г., независимо дали всички свързани с тях плащания са направени.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Дейностите и разходите по проекта с изключение на разходите по ал. 1, т. 4 са допустими, ако са извършени след подаване на заявлението за подпомагане, независимо дали всички свързани с тях плащания са направени.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 Закупуването чрез финансов лизинг на активите е допустимо, при условие че ползвателят на помощта стане собственик на съответния актив не по-късно от датата на подаване на заявката за междинно или окончателно плащане за същия актив.</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Недопустими</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разходи</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Недопустими са всички разходи съгласно т. 14 от Насоките за определяне условията за кандидатстване и условията за изпълнение на одобрените стратегии за ВОМР/ 23.06.2017г. на УО на ПРСР</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Финансови параметри на проектите</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 10 000 евро.Или 19 558,00 лв</w:t>
            </w:r>
          </w:p>
          <w:p w:rsidR="009329C9" w:rsidRDefault="00B5212B">
            <w:pPr>
              <w:spacing w:after="0"/>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евро.Или 391 160,00 лв.</w:t>
            </w:r>
          </w:p>
        </w:tc>
      </w:tr>
      <w:tr w:rsidR="009329C9">
        <w:tc>
          <w:tcPr>
            <w:tcW w:w="1844"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Размер на финансовата помощ в %</w:t>
            </w:r>
          </w:p>
        </w:tc>
        <w:tc>
          <w:tcPr>
            <w:tcW w:w="8646" w:type="dxa"/>
            <w:shd w:val="clear" w:color="auto" w:fill="auto"/>
          </w:tcPr>
          <w:p w:rsidR="009329C9" w:rsidRDefault="00B5212B">
            <w:pPr>
              <w:numPr>
                <w:ilvl w:val="0"/>
                <w:numId w:val="15"/>
              </w:num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не генерират нетни приходи.</w:t>
            </w:r>
          </w:p>
          <w:p w:rsidR="009329C9" w:rsidRDefault="00B5212B">
            <w:pPr>
              <w:pStyle w:val="af4"/>
              <w:numPr>
                <w:ilvl w:val="0"/>
                <w:numId w:val="15"/>
              </w:numPr>
              <w:jc w:val="both"/>
              <w:rPr>
                <w:rFonts w:ascii="Times New Roman" w:hAnsi="Times New Roman" w:cs="Times New Roman"/>
                <w:sz w:val="24"/>
                <w:szCs w:val="24"/>
              </w:rPr>
            </w:pPr>
            <w:r>
              <w:rPr>
                <w:rFonts w:ascii="Times New Roman" w:eastAsia="Calibri" w:hAnsi="Times New Roman" w:cs="Times New Roman"/>
                <w:sz w:val="24"/>
                <w:szCs w:val="24"/>
                <w:lang w:eastAsia="en-US"/>
              </w:rPr>
              <w:t>Размерът на финансовата помощ за проекти, които след извършване на инвестицията ще генерират нетни приходи, се определя въз основа на анализ "разходи – ползи" (финансов анализ), с изключение на случаите за проекти, по които размерът на допустимите за финансово подпомагане разходи за проекта не надхвърля левовата равностойност на 50 000 евро, и за проекти за изграждане, реконструкция, ремонт, реставрация, закупуване на оборудване и/или обзавеждане на обекти, свързани с културния живот, включително мобилни такива, включително и дейности по вертикалната планировка и подобряване на прилежащите пространства;“</w:t>
            </w:r>
          </w:p>
          <w:p w:rsidR="009329C9" w:rsidRDefault="00B5212B">
            <w:pPr>
              <w:numPr>
                <w:ilvl w:val="0"/>
                <w:numId w:val="15"/>
              </w:num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ще генерират нетни приходи, установени възоснова на анализ "разходи – ползи" (финансов анализ).</w:t>
            </w:r>
          </w:p>
          <w:p w:rsidR="009329C9" w:rsidRDefault="00B5212B">
            <w:pPr>
              <w:spacing w:before="120"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Разликата между пълния размер на допустимите за финансово подпомагане разходи и размера на финансовата помощ, определен въз основа на анализ "разходи – ползи" по т. 2 се осигурява от кандидата, като участието на кандидата може да бъде само в парична форма.</w:t>
            </w:r>
          </w:p>
          <w:p w:rsidR="009329C9" w:rsidRDefault="00B5212B">
            <w:pPr>
              <w:spacing w:before="120"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Общ бюджет на мярката – 993 392,00 лв.</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Критерии за избор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403"/>
              <w:gridCol w:w="1153"/>
            </w:tblGrid>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ТЕХНИЧЕСКА ОЦЕНКА И КЛАСИРАНЕ</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ТОЧКИ</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Брой население, което ще се възползва от подобрената инфраструктура</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 обхват на териториално въздействие</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 100 души – 5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101 до 200 души  - 10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201 – до 500 души – 20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501 до 1000 души – 25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Над 1000 души – 30 точки</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Повече от 2 населени места – 5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Повече от 3 населени места – 10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Повече от 4 населени места – 20 точки </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младежи</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Обекта/тите на интервенция еобект  с обществена значимост за територията или са в близост  до обект/и с обществена значимост за терито</w:t>
                  </w:r>
                  <w:r>
                    <w:rPr>
                      <w:rFonts w:ascii="Times New Roman" w:eastAsia="Calibri" w:hAnsi="Times New Roman" w:cs="Times New Roman"/>
                      <w:sz w:val="24"/>
                      <w:szCs w:val="24"/>
                      <w:lang w:eastAsia="en-US"/>
                    </w:rPr>
                    <w:lastRenderedPageBreak/>
                    <w:t>рията</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lastRenderedPageBreak/>
                    <w:t>Проектът е консултиран с местната общност чрез различни форми на обществено обсъждане.</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color w:val="000000"/>
                      <w:sz w:val="24"/>
                      <w:szCs w:val="24"/>
                      <w:lang w:eastAsia="en-US"/>
                    </w:rPr>
                  </w:pPr>
                  <w:r>
                    <w:rPr>
                      <w:rFonts w:ascii="Times New Roman" w:eastAsia="Calibri" w:hAnsi="Times New Roman" w:cs="Times New Roman"/>
                      <w:sz w:val="24"/>
                      <w:szCs w:val="24"/>
                      <w:lang w:eastAsia="en-US"/>
                    </w:rPr>
                    <w:t>Проектът предвижда включване на доброволен труд след неговото приключване с цел гарантиране на устойчивост</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Проектът предлага инвестиция в обект, който е значим за идентичността на района /културни празници, местни обичаи и занаяти</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Проектът е свързан с подобряване на зелени площи и/или изграждане на детски съоражения</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ОБЩО</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rsidR="009329C9" w:rsidRDefault="009329C9">
            <w:pPr>
              <w:spacing w:after="0"/>
              <w:jc w:val="both"/>
              <w:rPr>
                <w:rFonts w:ascii="Times New Roman" w:eastAsia="Calibri" w:hAnsi="Times New Roman" w:cs="Times New Roman"/>
                <w:color w:val="000000"/>
                <w:sz w:val="24"/>
                <w:szCs w:val="24"/>
                <w:lang w:eastAsia="en-US"/>
              </w:rPr>
            </w:pP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9329C9" w:rsidRDefault="009329C9">
      <w:pPr>
        <w:rPr>
          <w:rFonts w:ascii="Times New Roman" w:hAnsi="Times New Roman" w:cs="Times New Roman"/>
          <w:szCs w:val="24"/>
        </w:rPr>
      </w:pPr>
    </w:p>
    <w:p w:rsidR="009329C9" w:rsidRDefault="00B5212B">
      <w:pPr>
        <w:rPr>
          <w:rFonts w:ascii="Times New Roman" w:hAnsi="Times New Roman" w:cs="Times New Roman"/>
        </w:rPr>
      </w:pPr>
      <w:r>
        <w:rPr>
          <w:rFonts w:ascii="Times New Roman" w:hAnsi="Times New Roman" w:cs="Times New Roman"/>
        </w:rPr>
        <w:br w:type="page"/>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13"/>
      </w:tblGrid>
      <w:tr w:rsidR="009329C9">
        <w:tc>
          <w:tcPr>
            <w:tcW w:w="10773" w:type="dxa"/>
            <w:gridSpan w:val="2"/>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9329C9">
        <w:tc>
          <w:tcPr>
            <w:tcW w:w="10773"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Мярка 7.5 ИНВЕСТИЦИИ ЗА ПУБЛИЧНО ПОЛЗВАНЕ В ИНФРАСТРУКТУРА, </w:t>
            </w:r>
          </w:p>
          <w:p w:rsidR="009329C9" w:rsidRDefault="00B5212B">
            <w:pPr>
              <w:pStyle w:val="3"/>
              <w:spacing w:before="0"/>
              <w:jc w:val="center"/>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ТУРИСТИЧЕСКА ИНФРАСТРУКТУРА И МАЛКА ПО МАЩАБ </w:t>
            </w:r>
          </w:p>
          <w:p w:rsidR="009329C9" w:rsidRDefault="00B5212B">
            <w:pPr>
              <w:pStyle w:val="3"/>
              <w:spacing w:before="0"/>
              <w:jc w:val="center"/>
              <w:rPr>
                <w:rFonts w:ascii="Times New Roman" w:eastAsia="Calibri" w:hAnsi="Times New Roman" w:cs="Times New Roman"/>
                <w:sz w:val="24"/>
                <w:szCs w:val="24"/>
                <w:lang w:val="ru-RU" w:eastAsia="en-US"/>
              </w:rPr>
            </w:pPr>
            <w:r>
              <w:rPr>
                <w:rFonts w:ascii="Times New Roman" w:eastAsia="Calibri" w:hAnsi="Times New Roman" w:cs="Times New Roman"/>
                <w:color w:val="auto"/>
                <w:sz w:val="24"/>
                <w:szCs w:val="24"/>
                <w:lang w:eastAsia="en-US"/>
              </w:rPr>
              <w:t>ТУРИСТИЧЕСКА ИНФРАСТРУКТУРА</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Описание на целите</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Разнообразяване и подобряване на туристическата инфраструктура, атракциите и съоръженията за посетители в селските райони. Мярката има следните специфични цели: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Подобряване на средата на живот на територията на МИГ „Свиленград Ареал“;</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Подобряване на туристическата инфраструктура, атракциите и съоръженията за посетители на територията на общината;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3.Оползотворяване на туристическите ресурси на територията на МИГ, посредством подкрепа за инфраструктура за отдих, туристическа информация и малка по мащаб туристическа инфраструктура за публично ползване. Подкрепят се иновативни инициативи, които представят и популяризират природното и културно</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наследство.</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Обхват на мярката</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 мярката се подпомагат проекти за инвестиции за туристическа инфраструктура, общинска собственост или собственост на ЮЛНЦ, развитие на туристически услуги и атракции за посетителите. Изпълнява се на територията на МИГ „Свиленград Ареал“</w:t>
            </w:r>
          </w:p>
        </w:tc>
      </w:tr>
      <w:tr w:rsidR="009329C9">
        <w:trPr>
          <w:trHeight w:val="847"/>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кандидати</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подпомагане могат да кандидатстват:Община Свиленград; Юридически лица с нестопанска цел /ЮЛНЦ/, регистрирани по закона за юридическите лица с нестопанска цел;Читалища регистрирани по закона за Читалищата.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„Свиленград Ареал“, а именно: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ab/>
              <w:t>Изграждане, реконструкция, ремонт, закупуване на оборудване и/или обзавеждане на туристически информационни центрове;</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ab/>
              <w:t>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ab/>
              <w:t>Изграждане, реконструкция, ремонт, закупуване на оборудване и/или обзавеждане на центровете за изкуство и занаяти с туристическа цел;</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разходи</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за финансова помощ са разходите за:</w:t>
            </w:r>
          </w:p>
          <w:p w:rsidR="009329C9" w:rsidRDefault="00B5212B">
            <w:pPr>
              <w:spacing w:after="0"/>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 Изграждането, включително отпускането на лизинг, или подобренията на недвижимо имущество;</w:t>
            </w:r>
          </w:p>
          <w:p w:rsidR="009329C9" w:rsidRDefault="00B5212B">
            <w:pPr>
              <w:spacing w:after="0"/>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 Закупуването или вземането на лизинг на нови машини и оборудване, обзавеждане до пазарната цена на актива;</w:t>
            </w:r>
          </w:p>
          <w:p w:rsidR="009329C9" w:rsidRDefault="00B5212B">
            <w:pPr>
              <w:spacing w:after="0"/>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 Общи разходи, свързани с изброените по-горе, например хонорари на архитекти, инженери и консултанти, хонорари, свързани с консултации относно екологичната и </w:t>
            </w:r>
            <w:r>
              <w:rPr>
                <w:rFonts w:ascii="Times New Roman" w:eastAsia="Calibri" w:hAnsi="Times New Roman" w:cs="Times New Roman"/>
                <w:sz w:val="24"/>
                <w:szCs w:val="24"/>
                <w:lang w:eastAsia="en-US"/>
              </w:rPr>
              <w:lastRenderedPageBreak/>
              <w:t>икономическата устойчивост;</w:t>
            </w:r>
          </w:p>
          <w:p w:rsidR="009329C9" w:rsidRDefault="00B5212B">
            <w:pPr>
              <w:spacing w:after="0"/>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 Следните нематериални инвестиции: придобиването или развитието на компютърен софтуер и придобиването на патенти, лицензи, авторски права, търговски марки.</w:t>
            </w:r>
          </w:p>
          <w:p w:rsidR="009329C9" w:rsidRDefault="00B5212B">
            <w:pPr>
              <w:spacing w:after="0"/>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Инвестициите са допустими, ако</w:t>
            </w:r>
            <w:r>
              <w:rPr>
                <w:rFonts w:ascii="Times New Roman" w:eastAsia="Calibri" w:hAnsi="Times New Roman" w:cs="Times New Roman"/>
                <w:sz w:val="24"/>
                <w:szCs w:val="24"/>
                <w:lang w:eastAsia="en-US"/>
              </w:rPr>
              <w:t>: - се изпълняват на територията на МИГ; -отговарят на дефиницията за дребна по мащаби инфраструктура; -когато изграждането, реконструкцията или ремонтът се извършват върху имот общинска собственост; или, ако са общинска собственост; - когато предвидените дейности се изпълняват в съответствие с общинския план за развитие, а ако съществува стратегия за местно развитие, са съгласувани и с нея; - когато предвидените дейности се изпълняват в съответствие с програмата за развитие на туризма на територията на общината; - ако е доказано, че няма да имат отрицателно въздействие върху околната среда по смисъла на Закона за опазване на околната среда; -ако е доказано, че отговарят на изискванията на заповедите за определянето на местата по Натура 2000 и плановете за тяхното управление, ЗЗТ, ЗБР и съответните им подзаконови нормативни актове за тяхното прилагане; -ако не са обявени за недвижима културна ценност от национално и световно значение; -ако са придружени с анализ на икономическите и социалните ползи в който е доказано, че инвестицията ще доведат до социално–икономическо развитие на територията</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Недопустими разходи</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Недопустими са всички разходи съгласно т. 14 от Насоките за определяне условията за кандидатстване и условията за изпълнение на одобрените стратегии за ВОМР/ 23.06.2017г. на УО на ПРСР.</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Не са допустими за подпомагане по подмярката дейности свързани с опазването, популяризирането и развитието на културното наследство на обекти от национално и световно значение. </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Финансови параметри на проектите</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на10 000 евро.Или 19 558,00 лв.</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евро.Или 391 160,00 лв.</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Размер на финансовата помощ в % </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бенефициенти общини и ЮЛНЦ, в случай, че не е налично генериране на приходи, финансовата помощ за дейностите по подмярката е в размер на 100% от общия размер на допустимите за финансово подпомагане разходи. Когато се установи потенциал за генериране на приходи, размерът на финансиране се определя въз основа на анализ разходи и ползи. 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p w:rsidR="009329C9" w:rsidRDefault="00B5212B">
            <w:pPr>
              <w:spacing w:after="0"/>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eastAsia="en-US"/>
              </w:rPr>
              <w:t>Общ бюджет на мярката – 423 700,00 лв.</w:t>
            </w:r>
          </w:p>
        </w:tc>
      </w:tr>
      <w:tr w:rsidR="009329C9">
        <w:trPr>
          <w:trHeight w:val="9776"/>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Критерии за избор на проекти</w:t>
            </w:r>
          </w:p>
        </w:tc>
        <w:tc>
          <w:tcPr>
            <w:tcW w:w="9213"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681"/>
              <w:gridCol w:w="1134"/>
            </w:tblGrid>
            <w:tr w:rsidR="009329C9">
              <w:tc>
                <w:tcPr>
                  <w:tcW w:w="7681"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ТОЧКИ</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1.Брой население, което ще се възползва от подобрената  инфраструктура и обхват на териториално въздействие:</w:t>
                  </w:r>
                </w:p>
                <w:p w:rsidR="009329C9" w:rsidRDefault="00B5212B">
                  <w:pPr>
                    <w:pStyle w:val="af4"/>
                    <w:numPr>
                      <w:ilvl w:val="0"/>
                      <w:numId w:val="15"/>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 100 души – 5 точки</w:t>
                  </w:r>
                </w:p>
                <w:p w:rsidR="009329C9" w:rsidRDefault="00B5212B">
                  <w:pPr>
                    <w:pStyle w:val="af4"/>
                    <w:numPr>
                      <w:ilvl w:val="0"/>
                      <w:numId w:val="15"/>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101 до 200 души  - 10 точки</w:t>
                  </w:r>
                </w:p>
                <w:p w:rsidR="009329C9" w:rsidRDefault="00B5212B">
                  <w:pPr>
                    <w:pStyle w:val="af4"/>
                    <w:numPr>
                      <w:ilvl w:val="0"/>
                      <w:numId w:val="15"/>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201 – до 500 души – 20 точки</w:t>
                  </w:r>
                </w:p>
                <w:p w:rsidR="009329C9" w:rsidRDefault="00B5212B">
                  <w:pPr>
                    <w:pStyle w:val="af4"/>
                    <w:numPr>
                      <w:ilvl w:val="0"/>
                      <w:numId w:val="15"/>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501 до 1000 души – 25 точки</w:t>
                  </w:r>
                </w:p>
                <w:p w:rsidR="009329C9" w:rsidRDefault="00B5212B">
                  <w:pPr>
                    <w:pStyle w:val="af4"/>
                    <w:numPr>
                      <w:ilvl w:val="0"/>
                      <w:numId w:val="15"/>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Над 1000 души – 30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2.Брой населени места, които обхваща проекта от територията на МИГ</w:t>
                  </w:r>
                </w:p>
                <w:p w:rsidR="009329C9" w:rsidRDefault="00B5212B">
                  <w:pPr>
                    <w:pStyle w:val="af4"/>
                    <w:numPr>
                      <w:ilvl w:val="0"/>
                      <w:numId w:val="17"/>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Повече от 2 населени места – 5 точки</w:t>
                  </w:r>
                </w:p>
                <w:p w:rsidR="009329C9" w:rsidRDefault="00B5212B">
                  <w:pPr>
                    <w:pStyle w:val="af4"/>
                    <w:numPr>
                      <w:ilvl w:val="0"/>
                      <w:numId w:val="17"/>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Повече от 3 населени места – 10 точки</w:t>
                  </w:r>
                </w:p>
                <w:p w:rsidR="009329C9" w:rsidRDefault="00B5212B">
                  <w:pPr>
                    <w:pStyle w:val="af4"/>
                    <w:numPr>
                      <w:ilvl w:val="0"/>
                      <w:numId w:val="17"/>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Повече от 4 населени места – 20 точки </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3.Дейностите по проекта са насочени към социално уязвими групи, деца и младежи</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4.Дейностите по проекта са за обект/и от културната инфраструктура  за опазване и развитие на културното наследство на територията  </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5.Проектът осигурява интегрирано развитие на туризма на територията на МИГ</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6. Проектът е консултиран с местната общност чрез провеждане на различни форми на обществено обсъждане</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7.Проектът създава заетост за местното население, чрез създаване на работни места:</w:t>
                  </w:r>
                </w:p>
                <w:p w:rsidR="009329C9" w:rsidRDefault="00B521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От 1 до 3 работни места – 5 точки</w:t>
                  </w:r>
                </w:p>
                <w:p w:rsidR="009329C9" w:rsidRDefault="00B521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sz w:val="24"/>
                      <w:szCs w:val="24"/>
                      <w:lang w:eastAsia="en-US"/>
                    </w:rPr>
                    <w:t xml:space="preserve">    Над 3 работни места – 10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8. Проектът предлага инвестиция в туристически атракции/услуги, които са значими за идентичността на района /културни празници, местни обичаи и занаяти</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9.Кандидатите не са получавали досега помощ от Общността</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9329C9">
              <w:trPr>
                <w:trHeight w:val="510"/>
              </w:trPr>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 xml:space="preserve">ОБЩО: </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rsidR="009329C9" w:rsidRDefault="009329C9">
            <w:pPr>
              <w:spacing w:after="0"/>
              <w:jc w:val="both"/>
              <w:rPr>
                <w:rFonts w:ascii="Times New Roman" w:eastAsia="Calibri" w:hAnsi="Times New Roman" w:cs="Times New Roman"/>
                <w:color w:val="000000"/>
                <w:sz w:val="24"/>
                <w:szCs w:val="24"/>
                <w:lang w:eastAsia="en-US"/>
              </w:rPr>
            </w:pP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Държавни помощи</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 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 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ЕС.</w:t>
            </w:r>
          </w:p>
        </w:tc>
      </w:tr>
    </w:tbl>
    <w:p w:rsidR="009329C9" w:rsidRDefault="009329C9"/>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646"/>
      </w:tblGrid>
      <w:tr w:rsidR="009329C9">
        <w:tc>
          <w:tcPr>
            <w:tcW w:w="10490" w:type="dxa"/>
            <w:gridSpan w:val="2"/>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9329C9">
        <w:tc>
          <w:tcPr>
            <w:tcW w:w="10490" w:type="dxa"/>
            <w:gridSpan w:val="2"/>
            <w:shd w:val="clear" w:color="auto" w:fill="D9D9D9" w:themeFill="background1" w:themeFillShade="D9"/>
          </w:tcPr>
          <w:p w:rsidR="009329C9" w:rsidRDefault="00B5212B">
            <w:pPr>
              <w:pStyle w:val="3"/>
              <w:spacing w:before="0"/>
              <w:jc w:val="center"/>
              <w:rPr>
                <w:rFonts w:ascii="Times New Roman" w:eastAsia="Times New Roman" w:hAnsi="Times New Roman" w:cs="Times New Roman"/>
                <w:bCs w:val="0"/>
                <w:color w:val="auto"/>
                <w:sz w:val="24"/>
                <w:szCs w:val="24"/>
              </w:rPr>
            </w:pPr>
            <w:r>
              <w:rPr>
                <w:rFonts w:ascii="Times New Roman" w:eastAsia="Times New Roman" w:hAnsi="Times New Roman" w:cs="Times New Roman"/>
                <w:bCs w:val="0"/>
                <w:color w:val="auto"/>
                <w:sz w:val="24"/>
                <w:szCs w:val="24"/>
              </w:rPr>
              <w:t>Мярка 7.11 „Повишаване на атрактивността на територията на МИГ и стимулиране на сътрудничеството, чрез популяризиране на културно-историческото и</w:t>
            </w:r>
          </w:p>
          <w:p w:rsidR="009329C9" w:rsidRDefault="00B5212B">
            <w:pPr>
              <w:pStyle w:val="3"/>
              <w:spacing w:before="0"/>
              <w:jc w:val="center"/>
              <w:rPr>
                <w:rFonts w:ascii="Times New Roman" w:eastAsia="Times New Roman" w:hAnsi="Times New Roman" w:cs="Times New Roman"/>
                <w:bCs w:val="0"/>
                <w:color w:val="auto"/>
                <w:sz w:val="24"/>
                <w:szCs w:val="24"/>
              </w:rPr>
            </w:pPr>
            <w:r>
              <w:rPr>
                <w:rFonts w:ascii="Times New Roman" w:eastAsia="Times New Roman" w:hAnsi="Times New Roman" w:cs="Times New Roman"/>
                <w:bCs w:val="0"/>
                <w:color w:val="auto"/>
                <w:sz w:val="24"/>
                <w:szCs w:val="24"/>
              </w:rPr>
              <w:t>природно наследство.”(ИНОВАТИВНА МЯРКА)</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Описание на целите</w:t>
            </w:r>
          </w:p>
        </w:tc>
        <w:tc>
          <w:tcPr>
            <w:tcW w:w="8646" w:type="dxa"/>
            <w:shd w:val="clear" w:color="auto" w:fill="auto"/>
          </w:tcPr>
          <w:p w:rsidR="009329C9" w:rsidRDefault="00B5212B">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Целите  на мярката са насърчаване включването на местното население в общи инициативи за изучаване и съхраняване на културното наследство и природните дадености, развитие на децата и младите хора в сферата на изкуството и спорта и са свързани с:</w:t>
            </w:r>
          </w:p>
          <w:p w:rsidR="009329C9" w:rsidRDefault="00B5212B">
            <w:pPr>
              <w:tabs>
                <w:tab w:val="left" w:pos="318"/>
              </w:tabs>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-Повишаване качеството на живот на населението в района чрез добавяне на стойност към културното наследство, природната среда и възможности за оползотворяване на свободното време;</w:t>
            </w:r>
          </w:p>
          <w:p w:rsidR="009329C9" w:rsidRDefault="00B5212B">
            <w:pPr>
              <w:tabs>
                <w:tab w:val="left" w:pos="318"/>
              </w:tabs>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-Опознаване, и валоризиране на местното културно и природно наследство и повишаване обществения интерес към него;</w:t>
            </w:r>
          </w:p>
          <w:p w:rsidR="009329C9" w:rsidRDefault="00B5212B">
            <w:pPr>
              <w:tabs>
                <w:tab w:val="left" w:pos="318"/>
              </w:tabs>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-Стимулиране на физическото, интелектуалното и творческото развитие на населението</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Обхват на мярката</w:t>
            </w:r>
          </w:p>
        </w:tc>
        <w:tc>
          <w:tcPr>
            <w:tcW w:w="8646" w:type="dxa"/>
            <w:shd w:val="clear" w:color="auto" w:fill="auto"/>
          </w:tcPr>
          <w:p w:rsidR="009329C9" w:rsidRDefault="00B5212B">
            <w:pPr>
              <w:tabs>
                <w:tab w:val="left" w:pos="34"/>
                <w:tab w:val="left" w:pos="318"/>
              </w:tabs>
              <w:spacing w:after="0"/>
              <w:ind w:left="34" w:right="-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Мярката се реализира на територията на МИГ „Свиленград Ареал“. Подкрепа се предоставя за инвестиции в материални и/или нематериални активи, подобряващи цялостната дейност на бенефициента и свързани с:</w:t>
            </w:r>
          </w:p>
          <w:p w:rsidR="009329C9" w:rsidRDefault="00B5212B">
            <w:pPr>
              <w:numPr>
                <w:ilvl w:val="0"/>
                <w:numId w:val="18"/>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Съхраняване на местната идентичност и култура, чрез опознаване, възстановяване, опазване и популяризиране на местното културно наследство и традиции и съхраняване на природните дадености.</w:t>
            </w:r>
          </w:p>
          <w:p w:rsidR="009329C9" w:rsidRDefault="00B5212B">
            <w:pPr>
              <w:numPr>
                <w:ilvl w:val="0"/>
                <w:numId w:val="18"/>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Насърчаване на активното участие и доброволческите дейности.</w:t>
            </w:r>
          </w:p>
          <w:p w:rsidR="009329C9" w:rsidRDefault="00B5212B">
            <w:pPr>
              <w:numPr>
                <w:ilvl w:val="0"/>
                <w:numId w:val="18"/>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Подпомагане на творческата и обществена изява на отделните хора и на цели групи от населението, като работи и за тяхната интеграция и социализация.</w:t>
            </w:r>
          </w:p>
          <w:p w:rsidR="009329C9" w:rsidRDefault="00B5212B">
            <w:pPr>
              <w:numPr>
                <w:ilvl w:val="0"/>
                <w:numId w:val="18"/>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Помощ и подкрепа за изпълнението на младежки инициативи на местно ниво.</w:t>
            </w:r>
          </w:p>
          <w:p w:rsidR="009329C9" w:rsidRDefault="00B5212B">
            <w:pPr>
              <w:numPr>
                <w:ilvl w:val="0"/>
                <w:numId w:val="18"/>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Съхраняване на спортните традиции, осигуряване реализация на таланти, изява на младите хора, както стимулира тяхната активност в обществения живот.</w:t>
            </w:r>
          </w:p>
          <w:p w:rsidR="009329C9" w:rsidRDefault="00B5212B">
            <w:pPr>
              <w:numPr>
                <w:ilvl w:val="0"/>
                <w:numId w:val="18"/>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Условия за реализиране на дейности и инициативи, подпомагащи общината и нейните служби с принос в развитието на спорта, туризма и други сфери на обществения живот.</w:t>
            </w:r>
          </w:p>
          <w:p w:rsidR="009329C9" w:rsidRDefault="00B5212B">
            <w:pPr>
              <w:numPr>
                <w:ilvl w:val="0"/>
                <w:numId w:val="18"/>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Популяризиране на местната култура, история, етноси чрез организирането на фестивали и други мероприятия.</w:t>
            </w:r>
          </w:p>
        </w:tc>
      </w:tr>
      <w:tr w:rsidR="009329C9">
        <w:trPr>
          <w:trHeight w:val="847"/>
        </w:trPr>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9329C9" w:rsidRDefault="00B5212B">
            <w:pPr>
              <w:spacing w:after="0"/>
              <w:ind w:right="-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Допустими кандидати по мярката са:</w:t>
            </w:r>
          </w:p>
          <w:p w:rsidR="009329C9" w:rsidRDefault="00B5212B">
            <w:pPr>
              <w:spacing w:after="0"/>
              <w:ind w:right="-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Юридически лица с нестопанска цел регистрирани по Закона за юридическите лица с нестопанска цел;</w:t>
            </w:r>
          </w:p>
          <w:p w:rsidR="009329C9" w:rsidRDefault="00B5212B">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Читалища, регистрирани по Закона за народните читалища;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9329C9" w:rsidRDefault="00B5212B">
            <w:pPr>
              <w:numPr>
                <w:ilvl w:val="0"/>
                <w:numId w:val="19"/>
              </w:numPr>
              <w:tabs>
                <w:tab w:val="left" w:pos="34"/>
                <w:tab w:val="left" w:pos="176"/>
              </w:tabs>
              <w:ind w:left="34"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Проучвания и информационни дейности, свързани с популяризиране на нематериалното културно наследство;</w:t>
            </w:r>
          </w:p>
          <w:p w:rsidR="009329C9" w:rsidRDefault="00B5212B">
            <w:pPr>
              <w:numPr>
                <w:ilvl w:val="0"/>
                <w:numId w:val="19"/>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Проучвания и изработване на материали във връзка с документиране и/или изследване, и/или промотиране на нематериалното културно наследство;</w:t>
            </w:r>
          </w:p>
          <w:p w:rsidR="009329C9" w:rsidRDefault="00B5212B">
            <w:pPr>
              <w:numPr>
                <w:ilvl w:val="0"/>
                <w:numId w:val="19"/>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на историческото и културното наследство на района/територията в т.ч. опазване на </w:t>
            </w:r>
            <w:r>
              <w:rPr>
                <w:rFonts w:ascii="Times New Roman" w:eastAsia="Times New Roman" w:hAnsi="Times New Roman" w:cs="Times New Roman"/>
                <w:bCs/>
                <w:sz w:val="24"/>
                <w:szCs w:val="24"/>
              </w:rPr>
              <w:lastRenderedPageBreak/>
              <w:t>природните пространства и на мемориалните места, чието съществуване е необходимо за изразяване на нематериалното културно наследство;</w:t>
            </w:r>
          </w:p>
          <w:p w:rsidR="009329C9" w:rsidRDefault="00B5212B">
            <w:pPr>
              <w:numPr>
                <w:ilvl w:val="0"/>
                <w:numId w:val="19"/>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 и/или различни мероприятия във връзка с местни културни обичаи и традиции - /фестивали, събори, празници, обичаи/ и други събития, свързани с местното културно наследство и разнообразяването на културния живот на населението;  </w:t>
            </w:r>
          </w:p>
          <w:p w:rsidR="009329C9" w:rsidRDefault="00B5212B">
            <w:pPr>
              <w:numPr>
                <w:ilvl w:val="0"/>
                <w:numId w:val="19"/>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Насърчаване на екологичната култура за опазване на природното наследство на селата;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bCs/>
                <w:sz w:val="24"/>
                <w:szCs w:val="24"/>
              </w:rPr>
              <w:t>Популяризиране, насърчаване и организиране на различни спортни прояви и създаване спортна култура, посредством провеждането на спортни мероприятия, състезания, демонстрации или участие в различни спортни дейности за укрепване на здравето и борбата със стреса.</w:t>
            </w:r>
          </w:p>
        </w:tc>
      </w:tr>
      <w:tr w:rsidR="009329C9">
        <w:tc>
          <w:tcPr>
            <w:tcW w:w="1844"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Допустими разходи</w:t>
            </w:r>
          </w:p>
        </w:tc>
        <w:tc>
          <w:tcPr>
            <w:tcW w:w="8646" w:type="dxa"/>
            <w:shd w:val="clear" w:color="auto" w:fill="auto"/>
          </w:tcPr>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 xml:space="preserve">Разходи за проучвания и информационни дейности, свързани с популяризиране на допустимите дейности: изработка на рекламни материали, промоционални клипове в т.ч. краеведски изследвания и отпечатване на материали (дипляни, книги) и други рекламни дейности. </w:t>
            </w:r>
          </w:p>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 xml:space="preserve">Разходи за организация и  провеждане на различни мероприятия/ събития във връзка с местни културни обичаи и традиции, опазване на природното наследство и спортни инициативи - /фестивали, събори, празници, обичаи, състезания, турнири/ и други. </w:t>
            </w:r>
          </w:p>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Разходи за закупуване на традиционни фолклорни костюми за самодейни колективи към читалищата, работещи в сферата на съхраняване на местните традиции и обичаи.</w:t>
            </w:r>
          </w:p>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Разходи за материално техническото обезпечаване – спортна екипировка, необходима за реализиране на проекта.</w:t>
            </w:r>
          </w:p>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Закупуване на оборудване (вкл. озвучителна и др.техника), свързано с предвидените в проектите събития.</w:t>
            </w:r>
          </w:p>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Разходи за опазване на природното наследство – меки мерки, свързани с насърчаване на екологичната култура за опазване на природното наследство – информационни кампании сред населението, организиране и провеждане на открити уроци за деца и ученици, екоизлети, конкурси други дейности, насочени към младите хора за повишаване на тяхната екологична култура за опазване на природното наследство, информационни и рекламни материали, семинари, изследвания за биоразнообразието и др.</w:t>
            </w:r>
          </w:p>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 xml:space="preserve">Проучвания и изработване на материали във връзка с идентификация и/или </w:t>
            </w:r>
          </w:p>
          <w:p w:rsidR="009329C9" w:rsidRDefault="00B5212B">
            <w:pPr>
              <w:numPr>
                <w:ilvl w:val="0"/>
                <w:numId w:val="20"/>
              </w:numPr>
              <w:spacing w:after="120"/>
              <w:ind w:left="0" w:right="-1" w:hanging="57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документиране и/или изследване, и/или съхраняване на елементи от нематериалното културно наследство;</w:t>
            </w:r>
          </w:p>
          <w:p w:rsidR="009329C9" w:rsidRDefault="00B5212B">
            <w:pPr>
              <w:numPr>
                <w:ilvl w:val="0"/>
                <w:numId w:val="20"/>
              </w:numPr>
              <w:tabs>
                <w:tab w:val="left" w:pos="240"/>
              </w:tabs>
              <w:spacing w:after="120"/>
              <w:ind w:left="34" w:right="-1" w:hanging="34"/>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Популяризиране, предаване и възраждане на различните аспекти на културното наследство (например провеждане на различни мероприятия във връзка с местни културни обичаи и традиции - фестивали, събори и други събития, свързани с местното културно наследство, организиране на изложби, семинари, създаване на мрежа от присъединени към проекта институции – музеи, музейни сбирки, читалища,Общини, неправителствени организации, както и частни лица/обекти, които подкрепят идеята за утвърждаването на селското наследство като опреде</w:t>
            </w:r>
            <w:r>
              <w:rPr>
                <w:rFonts w:ascii="Times New Roman" w:eastAsia="Times New Roman" w:hAnsi="Times New Roman" w:cs="Times New Roman"/>
                <w:bCs/>
                <w:sz w:val="24"/>
                <w:szCs w:val="24"/>
              </w:rPr>
              <w:lastRenderedPageBreak/>
              <w:t>лена културна ценност и др.);</w:t>
            </w:r>
          </w:p>
          <w:p w:rsidR="009329C9" w:rsidRDefault="00B5212B">
            <w:pPr>
              <w:numPr>
                <w:ilvl w:val="0"/>
                <w:numId w:val="20"/>
              </w:numPr>
              <w:tabs>
                <w:tab w:val="left" w:pos="240"/>
              </w:tabs>
              <w:spacing w:after="0"/>
              <w:ind w:left="34" w:hanging="34"/>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Осигуряване на признаване, уважение и популяризиране на нематериалното културно наследство сред обществеността посредством:  </w:t>
            </w:r>
          </w:p>
          <w:p w:rsidR="009329C9" w:rsidRDefault="00B5212B">
            <w:pPr>
              <w:numPr>
                <w:ilvl w:val="0"/>
                <w:numId w:val="20"/>
              </w:numPr>
              <w:tabs>
                <w:tab w:val="left" w:pos="34"/>
              </w:tabs>
              <w:spacing w:after="0"/>
              <w:ind w:left="142"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 информационни дейности като реклама, плакати, статии, радио и ТВ предавания за нематериалното културно наследство; </w:t>
            </w:r>
          </w:p>
          <w:p w:rsidR="009329C9" w:rsidRDefault="00B5212B">
            <w:pPr>
              <w:numPr>
                <w:ilvl w:val="0"/>
                <w:numId w:val="20"/>
              </w:numPr>
              <w:tabs>
                <w:tab w:val="left" w:pos="34"/>
              </w:tabs>
              <w:spacing w:after="0"/>
              <w:ind w:left="142"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програми за повишаване на заинтересоваността и информираността на обществото и по-специално на младежта за опазване на природните пространства и на мемориалните места, чието съществуване е необходимо за изразяване на нематериалното културно наследство;  </w:t>
            </w:r>
          </w:p>
          <w:p w:rsidR="009329C9" w:rsidRDefault="00B5212B">
            <w:pPr>
              <w:numPr>
                <w:ilvl w:val="0"/>
                <w:numId w:val="20"/>
              </w:numPr>
              <w:tabs>
                <w:tab w:val="left" w:pos="34"/>
              </w:tabs>
              <w:spacing w:after="0"/>
              <w:ind w:left="142"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неформални способи за предаване на знанията и информацията за местното културно наследство (напр. предаване на знания и умения, техники и технологии, свързани с опазването и развитието на традиционните занаяти и др.); </w:t>
            </w:r>
          </w:p>
          <w:p w:rsidR="009329C9" w:rsidRDefault="00B5212B">
            <w:pPr>
              <w:pStyle w:val="af4"/>
              <w:numPr>
                <w:ilvl w:val="0"/>
                <w:numId w:val="20"/>
              </w:numPr>
              <w:tabs>
                <w:tab w:val="left" w:pos="175"/>
              </w:tabs>
              <w:spacing w:after="0"/>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Разходи за консултантски услуги – до 7% от общата стойност на допустимите разходи</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Недопустими разходи</w:t>
            </w:r>
          </w:p>
        </w:tc>
        <w:tc>
          <w:tcPr>
            <w:tcW w:w="8646" w:type="dxa"/>
            <w:shd w:val="clear" w:color="auto" w:fill="auto"/>
          </w:tcPr>
          <w:p w:rsidR="009329C9" w:rsidRDefault="00B5212B">
            <w:pPr>
              <w:numPr>
                <w:ilvl w:val="0"/>
                <w:numId w:val="20"/>
              </w:numPr>
              <w:ind w:left="142" w:right="-1"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•Разходи за обикновена подмяна и поддръжка;</w:t>
            </w:r>
          </w:p>
          <w:p w:rsidR="009329C9" w:rsidRDefault="00B5212B">
            <w:pPr>
              <w:numPr>
                <w:ilvl w:val="0"/>
                <w:numId w:val="20"/>
              </w:numPr>
              <w:ind w:left="142" w:right="-1"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•Разходи, възникнали при изпълнение на договори за лизинг, разходи за застраховки, разходи за лихви, разходи за неустойки и такси;</w:t>
            </w:r>
          </w:p>
          <w:p w:rsidR="009329C9" w:rsidRDefault="00B5212B">
            <w:pPr>
              <w:numPr>
                <w:ilvl w:val="0"/>
                <w:numId w:val="20"/>
              </w:numPr>
              <w:ind w:left="142" w:right="-1"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•Закупуване на оборудване втора ръка;</w:t>
            </w:r>
          </w:p>
          <w:p w:rsidR="009329C9" w:rsidRDefault="00B5212B">
            <w:pPr>
              <w:numPr>
                <w:ilvl w:val="0"/>
                <w:numId w:val="20"/>
              </w:numPr>
              <w:ind w:left="142" w:right="-1"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•Принос в натура;</w:t>
            </w:r>
          </w:p>
          <w:p w:rsidR="009329C9" w:rsidRDefault="00B5212B">
            <w:pPr>
              <w:numPr>
                <w:ilvl w:val="0"/>
                <w:numId w:val="20"/>
              </w:numPr>
              <w:ind w:left="142" w:right="-1"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•Инвестиция, за която е установено, че ще оказва отрицателно въздействие върху околната среда;</w:t>
            </w:r>
          </w:p>
          <w:p w:rsidR="009329C9" w:rsidRDefault="00B5212B">
            <w:pPr>
              <w:spacing w:after="0"/>
              <w:ind w:left="175"/>
              <w:jc w:val="both"/>
              <w:rPr>
                <w:rFonts w:ascii="Times New Roman" w:eastAsia="Calibri" w:hAnsi="Times New Roman" w:cs="Times New Roman"/>
                <w:sz w:val="24"/>
                <w:szCs w:val="24"/>
                <w:lang w:eastAsia="en-US"/>
              </w:rPr>
            </w:pPr>
            <w:r>
              <w:rPr>
                <w:rFonts w:ascii="Times New Roman" w:eastAsia="Times New Roman" w:hAnsi="Times New Roman" w:cs="Times New Roman"/>
                <w:bCs/>
                <w:sz w:val="24"/>
                <w:szCs w:val="24"/>
              </w:rPr>
              <w:t>•Разходи, извършени преди подаването на заявление за финансиране от страна на бенефициента, независимо дали всички свързани плащания са направени или не с изключение на разходите за консултантски услуги.</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Финансови параметри на проектите</w:t>
            </w:r>
          </w:p>
        </w:tc>
        <w:tc>
          <w:tcPr>
            <w:tcW w:w="8646" w:type="dxa"/>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Минимална стойност на допустимите разходи – левовата равностойност на 1 000 евро.Или 1955,80 лв.</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Максимална стойност на разходите по проекта – левовата равностойност на 10 000 евро.Или 19 558,00 лв.</w:t>
            </w:r>
          </w:p>
        </w:tc>
      </w:tr>
      <w:tr w:rsidR="009329C9">
        <w:trPr>
          <w:trHeight w:val="1029"/>
        </w:trPr>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Размер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финансовата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помощ в % </w:t>
            </w:r>
          </w:p>
        </w:tc>
        <w:tc>
          <w:tcPr>
            <w:tcW w:w="8646" w:type="dxa"/>
            <w:shd w:val="clear" w:color="auto" w:fill="auto"/>
          </w:tcPr>
          <w:p w:rsidR="009329C9" w:rsidRDefault="00B5212B">
            <w:pPr>
              <w:spacing w:before="120" w:after="0" w:line="240" w:lineRule="auto"/>
              <w:jc w:val="both"/>
              <w:rPr>
                <w:rFonts w:ascii="Times New Roman" w:eastAsia="Calibri" w:hAnsi="Times New Roman" w:cs="Times New Roman"/>
                <w:sz w:val="24"/>
                <w:szCs w:val="24"/>
                <w:lang w:val="ru-RU" w:eastAsia="en-US"/>
              </w:rPr>
            </w:pPr>
            <w:r>
              <w:rPr>
                <w:rFonts w:ascii="Times New Roman" w:eastAsia="Times New Roman" w:hAnsi="Times New Roman" w:cs="Times New Roman"/>
                <w:sz w:val="24"/>
                <w:szCs w:val="24"/>
              </w:rPr>
              <w:t>Интензитетът на помощта е 100%.</w:t>
            </w:r>
          </w:p>
          <w:p w:rsidR="009329C9" w:rsidRDefault="00B5212B">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Мярката финансира проекти които не генерират приходи.</w:t>
            </w:r>
          </w:p>
          <w:p w:rsidR="009329C9" w:rsidRDefault="00B5212B">
            <w:pPr>
              <w:spacing w:before="120" w:after="0" w:line="240" w:lineRule="auto"/>
              <w:jc w:val="both"/>
              <w:rPr>
                <w:rFonts w:ascii="Times New Roman" w:eastAsia="Calibri" w:hAnsi="Times New Roman" w:cs="Times New Roman"/>
                <w:sz w:val="24"/>
                <w:szCs w:val="24"/>
                <w:lang w:val="ru-RU" w:eastAsia="en-US"/>
              </w:rPr>
            </w:pPr>
            <w:r>
              <w:rPr>
                <w:rFonts w:ascii="Times New Roman" w:eastAsia="Times New Roman" w:hAnsi="Times New Roman" w:cs="Times New Roman"/>
                <w:sz w:val="24"/>
                <w:szCs w:val="24"/>
              </w:rPr>
              <w:t>Общ бюджет на мярката – 100 000 лв</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Критерии за избор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firstRow="1" w:lastRow="0" w:firstColumn="1" w:lastColumn="0" w:noHBand="0" w:noVBand="1"/>
            </w:tblPr>
            <w:tblGrid>
              <w:gridCol w:w="7277"/>
              <w:gridCol w:w="1137"/>
            </w:tblGrid>
            <w:tr w:rsidR="009329C9">
              <w:tc>
                <w:tcPr>
                  <w:tcW w:w="7277" w:type="dxa"/>
                  <w:tcBorders>
                    <w:top w:val="outset" w:sz="6" w:space="0" w:color="auto"/>
                    <w:left w:val="outset" w:sz="6" w:space="0" w:color="auto"/>
                    <w:bottom w:val="outset" w:sz="6" w:space="0" w:color="auto"/>
                    <w:right w:val="outset" w:sz="6" w:space="0" w:color="auto"/>
                  </w:tcBorders>
                </w:tcPr>
                <w:p w:rsidR="009329C9" w:rsidRDefault="00B5212B">
                  <w:pPr>
                    <w:spacing w:before="225" w:after="2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ТЕХНИЧЕСКА ОЦЕНКА И КЛАСИРАНЕ</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ТОЧКИ</w:t>
                  </w:r>
                </w:p>
              </w:tc>
            </w:tr>
            <w:tr w:rsidR="009329C9">
              <w:tc>
                <w:tcPr>
                  <w:tcW w:w="7277"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Times New Roman" w:hAnsi="Times New Roman" w:cs="Times New Roman"/>
                      <w:bCs/>
                      <w:sz w:val="24"/>
                      <w:szCs w:val="24"/>
                    </w:rPr>
                    <w:t>1.Проектът предвижда изпълнение на дейности свързани с проучвания на културното наследство в региона.</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329C9">
              <w:tc>
                <w:tcPr>
                  <w:tcW w:w="7277"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Брой населени места, които обхваща проекта от територията на МИГ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Повече от 2 населени места – 10 точки</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Повече от 3 населени места – 15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Повече от 4 населени места – 20 точки</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329C9">
              <w:tc>
                <w:tcPr>
                  <w:tcW w:w="7277"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Times New Roman" w:hAnsi="Times New Roman" w:cs="Times New Roman"/>
                      <w:bCs/>
                      <w:sz w:val="24"/>
                      <w:szCs w:val="24"/>
                    </w:rPr>
                    <w:t>3.Проекти които се изпълняват с партньорство от територията на МИГ.</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c>
                <w:tcPr>
                  <w:tcW w:w="7277"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Times New Roman" w:hAnsi="Times New Roman" w:cs="Times New Roman"/>
                      <w:bCs/>
                      <w:sz w:val="24"/>
                      <w:szCs w:val="24"/>
                    </w:rPr>
                    <w:lastRenderedPageBreak/>
                    <w:t>4.Проекти свързани със спортни дейности.</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c>
                <w:tcPr>
                  <w:tcW w:w="7277" w:type="dxa"/>
                  <w:tcBorders>
                    <w:top w:val="outset" w:sz="6" w:space="0" w:color="auto"/>
                    <w:left w:val="outset" w:sz="6" w:space="0" w:color="auto"/>
                    <w:bottom w:val="outset" w:sz="6" w:space="0" w:color="auto"/>
                    <w:right w:val="outset" w:sz="6" w:space="0" w:color="auto"/>
                  </w:tcBorders>
                </w:tcPr>
                <w:p w:rsidR="009329C9" w:rsidRDefault="00B5212B">
                  <w:pPr>
                    <w:ind w:right="-1"/>
                    <w:jc w:val="both"/>
                    <w:rPr>
                      <w:rFonts w:ascii="Times New Roman" w:hAnsi="Times New Roman" w:cs="Times New Roman"/>
                      <w:bCs/>
                      <w:sz w:val="24"/>
                      <w:szCs w:val="24"/>
                      <w:lang w:val="en-GB"/>
                    </w:rPr>
                  </w:pPr>
                  <w:r>
                    <w:rPr>
                      <w:rFonts w:ascii="Times New Roman" w:hAnsi="Times New Roman" w:cs="Times New Roman"/>
                      <w:bCs/>
                      <w:sz w:val="24"/>
                      <w:szCs w:val="24"/>
                    </w:rPr>
                    <w:t>5</w:t>
                  </w:r>
                  <w:r>
                    <w:rPr>
                      <w:rFonts w:ascii="Times New Roman" w:hAnsi="Times New Roman" w:cs="Times New Roman"/>
                      <w:bCs/>
                      <w:sz w:val="24"/>
                      <w:szCs w:val="24"/>
                      <w:lang w:val="en-GB"/>
                    </w:rPr>
                    <w:t>.</w:t>
                  </w:r>
                  <w:r>
                    <w:rPr>
                      <w:rFonts w:ascii="Times New Roman" w:hAnsi="Times New Roman" w:cs="Times New Roman"/>
                      <w:bCs/>
                      <w:sz w:val="24"/>
                      <w:szCs w:val="24"/>
                    </w:rPr>
                    <w:t>Дейностите по проекта са свързани синовативен подход по опазване на културното наследство</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120"/>
                    <w:ind w:left="360" w:right="-1"/>
                    <w:jc w:val="both"/>
                    <w:rPr>
                      <w:rFonts w:ascii="Times New Roman" w:hAnsi="Times New Roman" w:cs="Times New Roman"/>
                      <w:b/>
                      <w:bCs/>
                      <w:sz w:val="24"/>
                      <w:szCs w:val="24"/>
                    </w:rPr>
                  </w:pPr>
                  <w:r>
                    <w:rPr>
                      <w:rFonts w:ascii="Times New Roman" w:hAnsi="Times New Roman" w:cs="Times New Roman"/>
                      <w:b/>
                      <w:bCs/>
                      <w:sz w:val="24"/>
                      <w:szCs w:val="24"/>
                    </w:rPr>
                    <w:t>20</w:t>
                  </w:r>
                </w:p>
              </w:tc>
            </w:tr>
            <w:tr w:rsidR="009329C9">
              <w:tc>
                <w:tcPr>
                  <w:tcW w:w="7277" w:type="dxa"/>
                  <w:tcBorders>
                    <w:top w:val="outset" w:sz="6" w:space="0" w:color="auto"/>
                    <w:left w:val="outset" w:sz="6" w:space="0" w:color="auto"/>
                    <w:bottom w:val="outset" w:sz="6" w:space="0" w:color="auto"/>
                    <w:right w:val="outset" w:sz="6" w:space="0" w:color="auto"/>
                  </w:tcBorders>
                </w:tcPr>
                <w:p w:rsidR="009329C9" w:rsidRDefault="00B5212B">
                  <w:pPr>
                    <w:ind w:right="-1"/>
                    <w:jc w:val="both"/>
                    <w:rPr>
                      <w:rFonts w:ascii="Times New Roman" w:hAnsi="Times New Roman" w:cs="Times New Roman"/>
                      <w:bCs/>
                      <w:sz w:val="24"/>
                      <w:szCs w:val="24"/>
                    </w:rPr>
                  </w:pPr>
                  <w:r>
                    <w:rPr>
                      <w:rFonts w:ascii="Times New Roman" w:hAnsi="Times New Roman" w:cs="Times New Roman"/>
                      <w:bCs/>
                      <w:sz w:val="24"/>
                      <w:szCs w:val="24"/>
                    </w:rPr>
                    <w:t>6. В проекта са включени уязвими групи и малцинства.</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120"/>
                    <w:ind w:left="360" w:right="-1"/>
                    <w:jc w:val="both"/>
                    <w:rPr>
                      <w:rFonts w:ascii="Times New Roman" w:hAnsi="Times New Roman" w:cs="Times New Roman"/>
                      <w:b/>
                      <w:bCs/>
                      <w:sz w:val="24"/>
                      <w:szCs w:val="24"/>
                    </w:rPr>
                  </w:pPr>
                  <w:r>
                    <w:rPr>
                      <w:rFonts w:ascii="Times New Roman" w:hAnsi="Times New Roman" w:cs="Times New Roman"/>
                      <w:b/>
                      <w:bCs/>
                      <w:sz w:val="24"/>
                      <w:szCs w:val="24"/>
                    </w:rPr>
                    <w:t>15</w:t>
                  </w:r>
                </w:p>
              </w:tc>
            </w:tr>
            <w:tr w:rsidR="009329C9">
              <w:tc>
                <w:tcPr>
                  <w:tcW w:w="7277"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ОБЩО:</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rsidR="009329C9" w:rsidRDefault="009329C9">
            <w:pPr>
              <w:spacing w:after="0"/>
              <w:jc w:val="both"/>
              <w:rPr>
                <w:rFonts w:ascii="Times New Roman" w:eastAsia="Calibri" w:hAnsi="Times New Roman" w:cs="Times New Roman"/>
                <w:color w:val="000000"/>
                <w:sz w:val="24"/>
                <w:szCs w:val="24"/>
                <w:lang w:eastAsia="en-US"/>
              </w:rPr>
            </w:pP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9329C9" w:rsidRDefault="009329C9">
      <w:pPr>
        <w:spacing w:before="120" w:after="120" w:line="240" w:lineRule="auto"/>
        <w:rPr>
          <w:rFonts w:ascii="Times New Roman" w:eastAsia="Times New Roman" w:hAnsi="Times New Roman" w:cs="Times New Roman"/>
          <w:b/>
          <w:color w:val="FF0000"/>
          <w:sz w:val="24"/>
          <w:szCs w:val="24"/>
          <w:lang w:eastAsia="en-US"/>
        </w:rPr>
      </w:pPr>
    </w:p>
    <w:p w:rsidR="009329C9" w:rsidRDefault="00B5212B">
      <w:pPr>
        <w:rPr>
          <w:rFonts w:ascii="Times New Roman" w:hAnsi="Times New Roman" w:cs="Times New Roman"/>
          <w:i/>
          <w:iCs/>
          <w:sz w:val="24"/>
          <w:szCs w:val="24"/>
        </w:rPr>
      </w:pPr>
      <w:r>
        <w:rPr>
          <w:rFonts w:ascii="Times New Roman" w:hAnsi="Times New Roman" w:cs="Times New Roman"/>
          <w:i/>
          <w:iCs/>
          <w:sz w:val="24"/>
          <w:szCs w:val="24"/>
        </w:rPr>
        <w:br w:type="page"/>
      </w:r>
    </w:p>
    <w:p w:rsidR="009329C9" w:rsidRDefault="00B5212B">
      <w:pPr>
        <w:pStyle w:val="2"/>
        <w:rPr>
          <w:rFonts w:ascii="Times New Roman" w:hAnsi="Times New Roman" w:cs="Times New Roman"/>
          <w:b/>
          <w:i/>
          <w:iCs/>
          <w:color w:val="auto"/>
          <w:sz w:val="24"/>
          <w:szCs w:val="24"/>
          <w:lang w:val="en-US"/>
        </w:rPr>
      </w:pPr>
      <w:r>
        <w:rPr>
          <w:rFonts w:ascii="Times New Roman" w:hAnsi="Times New Roman" w:cs="Times New Roman"/>
          <w:b/>
          <w:i/>
          <w:iCs/>
          <w:color w:val="auto"/>
          <w:sz w:val="24"/>
          <w:szCs w:val="24"/>
        </w:rPr>
        <w:lastRenderedPageBreak/>
        <w:t>ОПОС (ЕФРР)</w:t>
      </w:r>
    </w:p>
    <w:tbl>
      <w:tblPr>
        <w:tblStyle w:val="TableGrid3"/>
        <w:tblW w:w="11057" w:type="dxa"/>
        <w:tblInd w:w="-459" w:type="dxa"/>
        <w:tblLook w:val="04A0" w:firstRow="1" w:lastRow="0" w:firstColumn="1" w:lastColumn="0" w:noHBand="0" w:noVBand="1"/>
      </w:tblPr>
      <w:tblGrid>
        <w:gridCol w:w="11057"/>
      </w:tblGrid>
      <w:tr w:rsidR="009329C9">
        <w:trPr>
          <w:trHeight w:val="575"/>
        </w:trPr>
        <w:tc>
          <w:tcPr>
            <w:tcW w:w="11057" w:type="dxa"/>
            <w:shd w:val="clear" w:color="auto" w:fill="BFBFBF" w:themeFill="background1" w:themeFillShade="BF"/>
          </w:tcPr>
          <w:p w:rsidR="009329C9" w:rsidRDefault="00B5212B">
            <w:pPr>
              <w:pStyle w:val="3"/>
              <w:spacing w:before="0"/>
              <w:jc w:val="center"/>
              <w:outlineLvl w:val="2"/>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 xml:space="preserve">„Подобряване на природозащитното състояние на видове и/или местообитанияот </w:t>
            </w:r>
          </w:p>
          <w:p w:rsidR="009329C9" w:rsidRDefault="00B5212B">
            <w:pPr>
              <w:pStyle w:val="3"/>
              <w:spacing w:before="0"/>
              <w:jc w:val="center"/>
              <w:outlineLvl w:val="2"/>
              <w:rPr>
                <w:rFonts w:ascii="Times New Roman" w:hAnsi="Times New Roman" w:cs="Times New Roman"/>
                <w:sz w:val="24"/>
                <w:szCs w:val="24"/>
                <w:lang w:eastAsia="en-US"/>
              </w:rPr>
            </w:pPr>
            <w:r>
              <w:rPr>
                <w:rFonts w:ascii="Times New Roman" w:hAnsi="Times New Roman" w:cs="Times New Roman"/>
                <w:color w:val="auto"/>
                <w:sz w:val="24"/>
                <w:szCs w:val="24"/>
                <w:lang w:eastAsia="en-US"/>
              </w:rPr>
              <w:t>мрежата Натура 2000 чрез подхода ВОМР“</w:t>
            </w:r>
          </w:p>
        </w:tc>
      </w:tr>
    </w:tbl>
    <w:tbl>
      <w:tblPr>
        <w:tblW w:w="11007" w:type="dxa"/>
        <w:tblInd w:w="-459" w:type="dxa"/>
        <w:tblLayout w:type="fixed"/>
        <w:tblLook w:val="04A0" w:firstRow="1" w:lastRow="0" w:firstColumn="1" w:lastColumn="0" w:noHBand="0" w:noVBand="1"/>
      </w:tblPr>
      <w:tblGrid>
        <w:gridCol w:w="1701"/>
        <w:gridCol w:w="1418"/>
        <w:gridCol w:w="1276"/>
        <w:gridCol w:w="708"/>
        <w:gridCol w:w="1701"/>
        <w:gridCol w:w="851"/>
        <w:gridCol w:w="709"/>
        <w:gridCol w:w="1417"/>
        <w:gridCol w:w="1226"/>
      </w:tblGrid>
      <w:tr w:rsidR="009329C9">
        <w:trPr>
          <w:trHeight w:val="1575"/>
        </w:trPr>
        <w:tc>
          <w:tcPr>
            <w:tcW w:w="1701" w:type="dxa"/>
            <w:tcBorders>
              <w:top w:val="single" w:sz="4" w:space="0" w:color="auto"/>
              <w:left w:val="single" w:sz="4" w:space="0" w:color="auto"/>
              <w:bottom w:val="nil"/>
              <w:right w:val="single" w:sz="4" w:space="0" w:color="auto"/>
            </w:tcBorders>
            <w:shd w:val="clear" w:color="auto" w:fill="BFBFBF" w:themeFill="background1" w:themeFillShade="BF"/>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Цел на мярката</w:t>
            </w:r>
          </w:p>
        </w:tc>
        <w:tc>
          <w:tcPr>
            <w:tcW w:w="9306" w:type="dxa"/>
            <w:gridSpan w:val="8"/>
            <w:tcBorders>
              <w:top w:val="single" w:sz="4" w:space="0" w:color="auto"/>
              <w:left w:val="single" w:sz="4" w:space="0" w:color="auto"/>
              <w:bottom w:val="nil"/>
              <w:right w:val="single" w:sz="4" w:space="0" w:color="auto"/>
            </w:tcBorders>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Специфичната цел</w:t>
            </w:r>
            <w:r>
              <w:rPr>
                <w:rFonts w:ascii="Times New Roman" w:eastAsia="Calibri" w:hAnsi="Times New Roman" w:cs="Times New Roman"/>
                <w:sz w:val="24"/>
                <w:szCs w:val="24"/>
                <w:lang w:eastAsia="en-US"/>
              </w:rPr>
              <w:t xml:space="preserve"> на приоритетна ос 3 на ОПОС 2014 – 2020 г. е „Подобряване на природозащитното състояние на видове и местообитания от мрежата Натура 2000“.</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Целта на мярката</w:t>
            </w:r>
            <w:r>
              <w:rPr>
                <w:rFonts w:ascii="Times New Roman" w:eastAsia="Calibri" w:hAnsi="Times New Roman" w:cs="Times New Roman"/>
                <w:sz w:val="24"/>
                <w:szCs w:val="24"/>
                <w:lang w:eastAsia="en-US"/>
              </w:rPr>
              <w:t xml:space="preserve"> е : Подобряване на природозащитното състояние на видове и местообитания от мрежата Натура 2000 на територията на МИГ „Свиленград Ареал”, докладвани в неблагоприятно-незадоволително състояние.</w:t>
            </w:r>
          </w:p>
        </w:tc>
      </w:tr>
      <w:tr w:rsidR="009329C9">
        <w:trPr>
          <w:trHeight w:val="765"/>
        </w:trPr>
        <w:tc>
          <w:tcPr>
            <w:tcW w:w="1701" w:type="dxa"/>
            <w:vMerge w:val="restart"/>
            <w:tcBorders>
              <w:top w:val="single" w:sz="4" w:space="0" w:color="auto"/>
              <w:left w:val="single" w:sz="4" w:space="0" w:color="auto"/>
              <w:right w:val="single" w:sz="4" w:space="0" w:color="auto"/>
            </w:tcBorders>
            <w:shd w:val="clear" w:color="auto" w:fill="BFBFBF" w:themeFill="background1" w:themeFillShade="BF"/>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Обхват:</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Код на </w:t>
            </w:r>
          </w:p>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защитена зона</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Име на защитена зона</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Приоритет</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Номер и </w:t>
            </w:r>
          </w:p>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наименование на мярка</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Таксономия</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Код на вид/местообитание</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Име</w:t>
            </w:r>
          </w:p>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w:t>
            </w:r>
          </w:p>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вид/ местообитание</w:t>
            </w:r>
          </w:p>
        </w:tc>
        <w:tc>
          <w:tcPr>
            <w:tcW w:w="1226"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Площ на вид/ местообитание (ха)</w:t>
            </w:r>
          </w:p>
        </w:tc>
      </w:tr>
      <w:tr w:rsidR="009329C9">
        <w:trPr>
          <w:cantSplit/>
          <w:trHeight w:val="4187"/>
        </w:trPr>
        <w:tc>
          <w:tcPr>
            <w:tcW w:w="1701" w:type="dxa"/>
            <w:vMerge/>
            <w:tcBorders>
              <w:left w:val="single" w:sz="4" w:space="0" w:color="auto"/>
              <w:right w:val="single" w:sz="4" w:space="0" w:color="auto"/>
            </w:tcBorders>
          </w:tcPr>
          <w:p w:rsidR="009329C9" w:rsidRDefault="009329C9">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Родопи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 – Инвестиции в консервационни дейности за поддър</w:t>
            </w:r>
            <w:r>
              <w:rPr>
                <w:rFonts w:ascii="Times New Roman" w:eastAsia="Calibri" w:hAnsi="Times New Roman" w:cs="Times New Roman"/>
                <w:sz w:val="24"/>
                <w:szCs w:val="24"/>
                <w:lang w:eastAsia="en-US"/>
              </w:rPr>
              <w:softHyphen/>
              <w:t>жане/ подобряване на природозащит</w:t>
            </w:r>
            <w:r>
              <w:rPr>
                <w:rFonts w:ascii="Times New Roman" w:eastAsia="Calibri" w:hAnsi="Times New Roman" w:cs="Times New Roman"/>
                <w:sz w:val="24"/>
                <w:szCs w:val="24"/>
                <w:lang w:eastAsia="en-US"/>
              </w:rPr>
              <w:softHyphen/>
              <w:t>ното състояние на видове и природни место</w:t>
            </w:r>
            <w:r>
              <w:rPr>
                <w:rFonts w:ascii="Times New Roman" w:eastAsia="Calibri" w:hAnsi="Times New Roman" w:cs="Times New Roman"/>
                <w:sz w:val="24"/>
                <w:szCs w:val="24"/>
                <w:lang w:eastAsia="en-US"/>
              </w:rPr>
              <w:softHyphen/>
              <w:t>обитания.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Rhinolophusmehelyi (Подковонос на Мехели)</w:t>
            </w:r>
          </w:p>
          <w:p w:rsidR="009329C9" w:rsidRDefault="009329C9">
            <w:pPr>
              <w:spacing w:after="0"/>
              <w:rPr>
                <w:rFonts w:ascii="Times New Roman" w:eastAsia="Calibri" w:hAnsi="Times New Roman" w:cs="Times New Roman"/>
                <w:sz w:val="24"/>
                <w:szCs w:val="24"/>
                <w:lang w:eastAsia="en-US"/>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67,96</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Rhinolophusmehelyi (Подковонос на Мехели)</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7 595,77</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1305</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Rhinolophuseuryale(Южен подковонос)</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5 226,25</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1306</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Rhinolophusblasii(Средиземноморски подковонос)</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22 575,62</w:t>
            </w:r>
          </w:p>
          <w:p w:rsidR="009329C9" w:rsidRDefault="009329C9">
            <w:pPr>
              <w:spacing w:after="0"/>
              <w:rPr>
                <w:rFonts w:ascii="Times New Roman" w:eastAsia="Calibri" w:hAnsi="Times New Roman" w:cs="Times New Roman"/>
                <w:sz w:val="24"/>
                <w:szCs w:val="24"/>
                <w:lang w:eastAsia="en-US"/>
              </w:rPr>
            </w:pPr>
          </w:p>
        </w:tc>
      </w:tr>
      <w:tr w:rsidR="009329C9">
        <w:trPr>
          <w:trHeight w:val="554"/>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9329C9">
            <w:pPr>
              <w:spacing w:after="0"/>
              <w:rPr>
                <w:rFonts w:ascii="Times New Roman" w:eastAsia="Calibri" w:hAnsi="Times New Roman" w:cs="Times New Roman"/>
                <w:sz w:val="24"/>
                <w:szCs w:val="24"/>
                <w:lang w:eastAsia="en-US"/>
              </w:rPr>
            </w:pP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p w:rsidR="009329C9" w:rsidRDefault="009329C9">
            <w:pPr>
              <w:spacing w:after="0"/>
              <w:rPr>
                <w:rFonts w:ascii="Times New Roman" w:eastAsia="Calibri" w:hAnsi="Times New Roman" w:cs="Times New Roman"/>
                <w:sz w:val="24"/>
                <w:szCs w:val="24"/>
                <w:lang w:eastAsia="en-US"/>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1307</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Myotisblythii</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(Остроухнощник)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39 274,21</w:t>
            </w:r>
          </w:p>
          <w:p w:rsidR="009329C9" w:rsidRDefault="009329C9">
            <w:pPr>
              <w:spacing w:after="0"/>
              <w:rPr>
                <w:rFonts w:ascii="Times New Roman" w:eastAsia="Calibri" w:hAnsi="Times New Roman" w:cs="Times New Roman"/>
                <w:sz w:val="24"/>
                <w:szCs w:val="24"/>
                <w:lang w:eastAsia="en-US"/>
              </w:rPr>
            </w:pPr>
          </w:p>
        </w:tc>
      </w:tr>
      <w:tr w:rsidR="009329C9">
        <w:trPr>
          <w:trHeight w:val="1547"/>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1310</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Miniopterusschreibersii</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(Дългокрил прилеп)</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17 254,91</w:t>
            </w:r>
          </w:p>
          <w:p w:rsidR="009329C9" w:rsidRDefault="009329C9">
            <w:pPr>
              <w:spacing w:after="0"/>
              <w:rPr>
                <w:rFonts w:ascii="Times New Roman" w:eastAsia="Calibri" w:hAnsi="Times New Roman" w:cs="Times New Roman"/>
                <w:sz w:val="24"/>
                <w:szCs w:val="24"/>
                <w:lang w:eastAsia="en-US"/>
              </w:rPr>
            </w:pPr>
          </w:p>
          <w:p w:rsidR="009329C9" w:rsidRDefault="009329C9">
            <w:pPr>
              <w:spacing w:after="0"/>
              <w:rPr>
                <w:rFonts w:ascii="Times New Roman" w:eastAsia="Calibri" w:hAnsi="Times New Roman" w:cs="Times New Roman"/>
                <w:sz w:val="24"/>
                <w:szCs w:val="24"/>
                <w:lang w:eastAsia="en-US"/>
              </w:rPr>
            </w:pPr>
          </w:p>
        </w:tc>
      </w:tr>
      <w:tr w:rsidR="009329C9">
        <w:trPr>
          <w:trHeight w:val="98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1316</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lang w:eastAsia="en-US"/>
              </w:rPr>
              <w:t>Myotiscapaccinii / Дългопръстнощник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17 254,91</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1324</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Myotismyotis / Голям нощник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39 274,21</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Родопи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1308</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Barbastellabarbastellus / Широкоух прилеп</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671,07</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Родопи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Източни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Myotisbechsteinii / Дългоух нощник</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175,02</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Земноводни</w:t>
            </w:r>
          </w:p>
          <w:p w:rsidR="009329C9" w:rsidRDefault="009329C9">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Bombinabombina / Червенокоремна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0,61</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Влечуги</w:t>
            </w:r>
          </w:p>
          <w:p w:rsidR="009329C9" w:rsidRDefault="009329C9">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lang w:eastAsia="en-US"/>
              </w:rPr>
              <w:t>Mauremyscaspica / Южна блатна костенурка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150,47</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Земноводни</w:t>
            </w:r>
          </w:p>
          <w:p w:rsidR="009329C9" w:rsidRDefault="009329C9">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Bombinabombina / Червенокоремна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3,10</w:t>
            </w:r>
          </w:p>
          <w:p w:rsidR="009329C9" w:rsidRDefault="009329C9">
            <w:pPr>
              <w:spacing w:after="0"/>
              <w:rPr>
                <w:rFonts w:ascii="Times New Roman" w:eastAsia="Calibri" w:hAnsi="Times New Roman" w:cs="Times New Roman"/>
                <w:sz w:val="24"/>
                <w:szCs w:val="24"/>
                <w:lang w:eastAsia="en-US"/>
              </w:rPr>
            </w:pPr>
          </w:p>
        </w:tc>
      </w:tr>
      <w:tr w:rsidR="009329C9">
        <w:trPr>
          <w:trHeight w:val="696"/>
        </w:trPr>
        <w:tc>
          <w:tcPr>
            <w:tcW w:w="1701" w:type="dxa"/>
            <w:vMerge/>
            <w:tcBorders>
              <w:left w:val="single" w:sz="4" w:space="0" w:color="auto"/>
              <w:right w:val="single" w:sz="4" w:space="0" w:color="auto"/>
            </w:tcBorders>
          </w:tcPr>
          <w:p w:rsidR="009329C9" w:rsidRDefault="009329C9">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Река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Земноводни</w:t>
            </w:r>
          </w:p>
          <w:p w:rsidR="009329C9" w:rsidRDefault="009329C9">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Bombinabombina / Червенокоремна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7,65</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Река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Влечуги</w:t>
            </w:r>
          </w:p>
          <w:p w:rsidR="009329C9" w:rsidRDefault="009329C9">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Mauremyscaspica / Южна блатна костенурка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601,79</w:t>
            </w:r>
          </w:p>
          <w:p w:rsidR="009329C9" w:rsidRDefault="009329C9">
            <w:pPr>
              <w:spacing w:after="0"/>
              <w:rPr>
                <w:rFonts w:ascii="Times New Roman" w:eastAsia="Calibri" w:hAnsi="Times New Roman" w:cs="Times New Roman"/>
                <w:sz w:val="24"/>
                <w:szCs w:val="24"/>
                <w:lang w:eastAsia="en-US"/>
              </w:rPr>
            </w:pPr>
          </w:p>
        </w:tc>
      </w:tr>
      <w:tr w:rsidR="009329C9">
        <w:trPr>
          <w:trHeight w:val="665"/>
        </w:trPr>
        <w:tc>
          <w:tcPr>
            <w:tcW w:w="1701" w:type="dxa"/>
            <w:vMerge/>
            <w:tcBorders>
              <w:left w:val="single" w:sz="4" w:space="0" w:color="auto"/>
              <w:bottom w:val="single" w:sz="4" w:space="0" w:color="auto"/>
              <w:right w:val="single" w:sz="4" w:space="0" w:color="auto"/>
            </w:tcBorders>
          </w:tcPr>
          <w:p w:rsidR="009329C9" w:rsidRDefault="009329C9">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9329C9" w:rsidRDefault="009329C9">
            <w:pPr>
              <w:spacing w:after="0"/>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9329C9">
            <w:pPr>
              <w:spacing w:after="0"/>
              <w:jc w:val="center"/>
              <w:rPr>
                <w:rFonts w:ascii="Times New Roman" w:eastAsia="Calibri" w:hAnsi="Times New Roman" w:cs="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9329C9">
            <w:pPr>
              <w:spacing w:after="0"/>
              <w:jc w:val="center"/>
              <w:rPr>
                <w:rFonts w:ascii="Times New Roman" w:eastAsia="Calibri"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9329C9">
            <w:pPr>
              <w:spacing w:after="0"/>
              <w:jc w:val="center"/>
              <w:rPr>
                <w:rFonts w:ascii="Times New Roman" w:eastAsia="Calibri"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9329C9">
            <w:pPr>
              <w:spacing w:after="0"/>
              <w:jc w:val="center"/>
              <w:rPr>
                <w:rFonts w:ascii="Times New Roman" w:eastAsia="Calibri"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9329C9">
            <w:pPr>
              <w:spacing w:after="0"/>
              <w:jc w:val="center"/>
              <w:rPr>
                <w:rFonts w:ascii="Times New Roman" w:eastAsia="Calibri"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B5212B">
            <w:pPr>
              <w:spacing w:after="0"/>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ОБЩА ПЛОЩ</w:t>
            </w:r>
          </w:p>
        </w:tc>
        <w:tc>
          <w:tcPr>
            <w:tcW w:w="1226"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B5212B">
            <w:pPr>
              <w:spacing w:after="0"/>
              <w:jc w:val="center"/>
              <w:rPr>
                <w:rFonts w:ascii="Times New Roman" w:eastAsia="Calibri" w:hAnsi="Times New Roman" w:cs="Times New Roman"/>
                <w:b/>
                <w:bCs/>
                <w:lang w:eastAsia="en-US"/>
              </w:rPr>
            </w:pPr>
            <w:r>
              <w:rPr>
                <w:rFonts w:ascii="Times New Roman" w:eastAsia="Calibri" w:hAnsi="Times New Roman" w:cs="Times New Roman"/>
                <w:b/>
                <w:bCs/>
                <w:lang w:eastAsia="en-US"/>
              </w:rPr>
              <w:t>40 776,87</w:t>
            </w:r>
          </w:p>
        </w:tc>
      </w:tr>
      <w:tr w:rsidR="009329C9">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9306" w:type="dxa"/>
            <w:gridSpan w:val="8"/>
            <w:tcBorders>
              <w:left w:val="single" w:sz="4" w:space="0" w:color="auto"/>
              <w:bottom w:val="single" w:sz="4" w:space="0" w:color="auto"/>
              <w:right w:val="single" w:sz="4" w:space="0" w:color="auto"/>
            </w:tcBorders>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Извършване на преки консервационни дейности за видове и/или местообитания, докладвани в неблагоприятно-незадоволително състояние;</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Изграждане/реконструкция/рехабилитация на инфраструктура, пряко необходима за подобряване на природозащитното състояние на видове и/или местообитания, докладвани в неблагоприятно-незадоволително състояние.</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Pr>
                <w:rFonts w:ascii="Times New Roman" w:eastAsia="Times New Roman" w:hAnsi="Times New Roman" w:cs="Times New Roman"/>
                <w:b/>
                <w:sz w:val="24"/>
                <w:szCs w:val="24"/>
              </w:rPr>
              <w:t>е е допустимо</w:t>
            </w:r>
            <w:r>
              <w:rPr>
                <w:rFonts w:ascii="Times New Roman" w:eastAsia="Times New Roman" w:hAnsi="Times New Roman" w:cs="Times New Roman"/>
                <w:sz w:val="24"/>
                <w:szCs w:val="24"/>
              </w:rPr>
              <w:t xml:space="preserve"> изграждане/рехабилитация/реконструкция на друга инфраструктура, която няма пряко въздействие върху видовете/местообитанията на тези видове като напр. екопътеки и посетителски центрове и др. подобни.</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Посочените дейности не са изчерпателни. Окончателните допустими дейности за проектите, подавани в рамките на стратегия за ВОМР, ще бъдат част от указанията на УО по чл.37, ал. 1 по ПМС 161/2016 г. (Кандидатите с проектни предложения към стратегия за ВОМР може да включат недопустими дейности в проектните си предложения, при условие че не предвиждат те да бъдат финансирани от ОПОС 2014-2020 г. Разходите за изпълнението на тези дейности са недопустими и следва да бъдат посочени като такива в бюджетите на проектните предложения).</w:t>
            </w:r>
          </w:p>
        </w:tc>
      </w:tr>
      <w:tr w:rsidR="009329C9">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Допустими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lang w:eastAsia="en-US"/>
              </w:rPr>
              <w:t>получатели:</w:t>
            </w:r>
          </w:p>
        </w:tc>
        <w:tc>
          <w:tcPr>
            <w:tcW w:w="9306" w:type="dxa"/>
            <w:gridSpan w:val="8"/>
            <w:tcBorders>
              <w:left w:val="single" w:sz="4" w:space="0" w:color="auto"/>
              <w:bottom w:val="single" w:sz="4" w:space="0" w:color="auto"/>
              <w:right w:val="single" w:sz="4" w:space="0" w:color="auto"/>
            </w:tcBorders>
          </w:tcPr>
          <w:p w:rsidR="009329C9" w:rsidRDefault="00B5212B">
            <w:pPr>
              <w:numPr>
                <w:ilvl w:val="0"/>
                <w:numId w:val="21"/>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Юридически лица с нестопанска цел, регистрирани по Закона за юридическите лица с нестопанска цел за осъществяване на общественополезна дейност със седалище и адрес на управление на територията на МИГ.</w:t>
            </w:r>
          </w:p>
          <w:p w:rsidR="009329C9" w:rsidRDefault="00B5212B">
            <w:pPr>
              <w:numPr>
                <w:ilvl w:val="0"/>
                <w:numId w:val="21"/>
              </w:numPr>
              <w:spacing w:after="0"/>
              <w:ind w:left="284" w:hanging="284"/>
              <w:jc w:val="both"/>
              <w:rPr>
                <w:rFonts w:ascii="Times New Roman" w:hAnsi="Times New Roman" w:cs="Times New Roman"/>
                <w:i/>
                <w:sz w:val="24"/>
                <w:szCs w:val="24"/>
              </w:rPr>
            </w:pPr>
            <w:r>
              <w:rPr>
                <w:rFonts w:ascii="Times New Roman" w:hAnsi="Times New Roman" w:cs="Times New Roman"/>
                <w:sz w:val="24"/>
                <w:szCs w:val="24"/>
              </w:rPr>
              <w:t>Общини със седалище и адрес на управление на територията на действие на МИГ</w:t>
            </w:r>
          </w:p>
        </w:tc>
      </w:tr>
      <w:tr w:rsidR="009329C9">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Допустими разходи:</w:t>
            </w:r>
          </w:p>
        </w:tc>
        <w:tc>
          <w:tcPr>
            <w:tcW w:w="9306" w:type="dxa"/>
            <w:gridSpan w:val="8"/>
            <w:tcBorders>
              <w:left w:val="single" w:sz="4" w:space="0" w:color="auto"/>
              <w:bottom w:val="single" w:sz="4" w:space="0" w:color="auto"/>
              <w:right w:val="single" w:sz="4" w:space="0" w:color="auto"/>
            </w:tcBorders>
          </w:tcPr>
          <w:p w:rsidR="009329C9" w:rsidRDefault="00B5212B">
            <w:pPr>
              <w:spacing w:after="0"/>
              <w:ind w:left="284"/>
              <w:rPr>
                <w:rFonts w:ascii="Times New Roman" w:hAnsi="Times New Roman" w:cs="Times New Roman"/>
                <w:sz w:val="23"/>
                <w:szCs w:val="23"/>
              </w:rPr>
            </w:pPr>
            <w:r>
              <w:rPr>
                <w:rFonts w:ascii="Times New Roman" w:hAnsi="Times New Roman" w:cs="Times New Roman"/>
                <w:sz w:val="24"/>
                <w:szCs w:val="24"/>
              </w:rPr>
              <w:t>І</w:t>
            </w:r>
            <w:r>
              <w:rPr>
                <w:rFonts w:ascii="Times New Roman" w:hAnsi="Times New Roman" w:cs="Times New Roman"/>
                <w:sz w:val="23"/>
                <w:szCs w:val="23"/>
              </w:rPr>
              <w:t>. РАЗХОДИ ЗА СМР (СТРОИТЕЛНО-МОНТАЖНИ РАБОТИ)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II. РАЗХОДИ ЗА МАТЕРИАЛНИ АКТИВИ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ІІІ. РАЗХОДИ ЗА НЕМАТЕРИАЛНИ АКТИВИ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IV. РАЗХОДИ ЗА УСЛУГИ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V. РАЗХОДИ ЗА ТАКСИ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VI.  РАЗХОДИ ЗА МАТЕРИАЛИ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VІI. РАЗХОДИ ЗА ПЕРСОНАЛ</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VІІІ. РАЗХОДИ ЗА ПРОВЕЖДАНЕ И УЧАСТИЕ В МЕРОПРИЯТИЯ</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ІХ. НЕПРЕКИ РАЗХОДИ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X. НЕВЪЗСТАНОВИМ ДДС</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ХІ. НЕДОПУСТИМИ РАЗХОДИ</w:t>
            </w:r>
          </w:p>
          <w:p w:rsidR="009329C9" w:rsidRDefault="00B5212B">
            <w:pPr>
              <w:spacing w:after="0"/>
              <w:rPr>
                <w:rFonts w:ascii="Times New Roman" w:hAnsi="Times New Roman" w:cs="Times New Roman"/>
                <w:sz w:val="24"/>
                <w:szCs w:val="24"/>
              </w:rPr>
            </w:pPr>
            <w:r>
              <w:rPr>
                <w:rFonts w:ascii="Times New Roman" w:hAnsi="Times New Roman" w:cs="Times New Roman"/>
                <w:sz w:val="24"/>
                <w:szCs w:val="24"/>
              </w:rPr>
              <w:t>Конкретните допустими за финансиране разходи ще бъдат допълнително определени в насоките за кандидатстване, част „условия за кандидатстване“ по ОПОС 2014 – 2020 г.</w:t>
            </w:r>
          </w:p>
        </w:tc>
      </w:tr>
      <w:tr w:rsidR="009329C9">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Максимален размер на ДР</w:t>
            </w:r>
          </w:p>
        </w:tc>
        <w:tc>
          <w:tcPr>
            <w:tcW w:w="9306" w:type="dxa"/>
            <w:gridSpan w:val="8"/>
            <w:tcBorders>
              <w:top w:val="single" w:sz="4" w:space="0" w:color="auto"/>
              <w:left w:val="single" w:sz="4" w:space="0" w:color="auto"/>
              <w:bottom w:val="single" w:sz="4" w:space="0" w:color="auto"/>
              <w:right w:val="single" w:sz="4" w:space="0" w:color="auto"/>
            </w:tcBorders>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Максималният размер на допустимите разходи за проект е съгласно насоките за кандидатстване по ОПОС 2014 -2020 г.</w:t>
            </w:r>
          </w:p>
        </w:tc>
      </w:tr>
      <w:tr w:rsidR="009329C9">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 на </w:t>
            </w:r>
            <w:r>
              <w:rPr>
                <w:rFonts w:ascii="Times New Roman" w:eastAsia="Calibri" w:hAnsi="Times New Roman" w:cs="Times New Roman"/>
                <w:b/>
                <w:sz w:val="20"/>
                <w:szCs w:val="20"/>
                <w:lang w:eastAsia="en-US"/>
              </w:rPr>
              <w:t>съфинансиране</w:t>
            </w:r>
          </w:p>
        </w:tc>
        <w:tc>
          <w:tcPr>
            <w:tcW w:w="9306" w:type="dxa"/>
            <w:gridSpan w:val="8"/>
            <w:tcBorders>
              <w:top w:val="single" w:sz="4" w:space="0" w:color="auto"/>
              <w:left w:val="single" w:sz="4" w:space="0" w:color="auto"/>
              <w:bottom w:val="single" w:sz="4" w:space="0" w:color="auto"/>
              <w:right w:val="single" w:sz="4" w:space="0" w:color="auto"/>
            </w:tcBorders>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Процентът на съфинансиране се определя в насоките за кандидатстване по ОПОС 2014 – 2020 г.</w:t>
            </w:r>
          </w:p>
        </w:tc>
      </w:tr>
      <w:tr w:rsidR="009329C9">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Критерии за оценка на </w:t>
            </w:r>
            <w:r>
              <w:rPr>
                <w:rFonts w:ascii="Times New Roman" w:eastAsia="Calibri" w:hAnsi="Times New Roman" w:cs="Times New Roman"/>
                <w:b/>
                <w:lang w:eastAsia="en-US"/>
              </w:rPr>
              <w:lastRenderedPageBreak/>
              <w:t>проектите и тяхната тежест:</w:t>
            </w:r>
          </w:p>
        </w:tc>
        <w:tc>
          <w:tcPr>
            <w:tcW w:w="9306" w:type="dxa"/>
            <w:gridSpan w:val="8"/>
            <w:tcBorders>
              <w:left w:val="single" w:sz="4" w:space="0" w:color="auto"/>
              <w:bottom w:val="single" w:sz="4" w:space="0" w:color="auto"/>
              <w:right w:val="single" w:sz="4" w:space="0" w:color="auto"/>
            </w:tcBorders>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Критериите за подбор и оценка са съгласно методологията и критериите за оценка, разработени в Приложение 3 към Указания за общите изисквания към стратегиите за </w:t>
            </w:r>
            <w:r>
              <w:rPr>
                <w:rFonts w:ascii="Times New Roman" w:hAnsi="Times New Roman" w:cs="Times New Roman"/>
                <w:sz w:val="24"/>
                <w:szCs w:val="24"/>
              </w:rPr>
              <w:lastRenderedPageBreak/>
              <w:t>ВОМР по отношение на мерките с финансиране по Приоритетна ос 3 „Натура 2000 е биоразнообразие“ на ОПОС 2014-2020</w:t>
            </w:r>
          </w:p>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Оценката на проектни предложения се извършва от Комисия, назначена от МИГ, съгласно чл. 44, ал.1 от ПМС 161от 4 юли 2016 г. Оценката се извършва на два етапа:</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1.Оценка на административно съответствие и допустимост</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2. Техническа и финансова оценка</w:t>
            </w:r>
          </w:p>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Оценка на административното съответствие и допустимостта е етап от оценката на проектните предложения, при който се извършва проверка относно формалното съответствие на проектните предложения и на допустимостта на кандидатите и проектните дейности. Оценителната комисия проверява дали проектното предложение отговаря на всички критерии, описани в насоките за кандидатстване, като ги оценява с „ДА“, „НЕ“ или „Неприложимо“.</w:t>
            </w:r>
          </w:p>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Техническа и финансова оценка е оценка по същество на проектните предложения. Техническата и финансовата оценка се извършва като по всеки от подкритериите се определят точки. Когато по даден критерий не са изпълнени условията за присъждане на определения брой точки, при оценка на критерия се присъждат 0 точки. Сборът на точките от съответните подкритерии дава точките на критерия като цяло. Така получените резултати за всеки критерий поотделно се събират и формират крайния резултат от техническата и финансова оценка на проектното предложение. Въз основа на общия брой точки, проектните предложения се класират в низходящ ред.</w:t>
            </w:r>
          </w:p>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 финансиране се одобряват по реда на класирането всички или част от проектните предложения, чиято обща оценка и индивидуална оценка на група критерии са по-големи или равни на 60 на сто от максималния възможен брой точки (с изключение на критерии „Трудности и рискове“, „Капацитет на кандидата“ и „Устойчивост“), до покриване на общия размер на предварително определените и обявени финансови средства по съответната процедура. </w:t>
            </w:r>
          </w:p>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Максималният брой точки, който може да получи едно проектно предложение е 52. По съответните критерии, максималният брой точки е следният:</w:t>
            </w:r>
          </w:p>
          <w:tbl>
            <w:tblPr>
              <w:tblStyle w:val="af3"/>
              <w:tblW w:w="7400" w:type="dxa"/>
              <w:tblInd w:w="284" w:type="dxa"/>
              <w:tblLayout w:type="fixed"/>
              <w:tblLook w:val="04A0" w:firstRow="1" w:lastRow="0" w:firstColumn="1" w:lastColumn="0" w:noHBand="0" w:noVBand="1"/>
            </w:tblPr>
            <w:tblGrid>
              <w:gridCol w:w="596"/>
              <w:gridCol w:w="3827"/>
              <w:gridCol w:w="2977"/>
            </w:tblGrid>
            <w:tr w:rsidR="009329C9">
              <w:tc>
                <w:tcPr>
                  <w:tcW w:w="596" w:type="dxa"/>
                </w:tcPr>
                <w:p w:rsidR="009329C9" w:rsidRDefault="009329C9">
                  <w:pPr>
                    <w:spacing w:after="0" w:line="240" w:lineRule="auto"/>
                    <w:rPr>
                      <w:rFonts w:ascii="Times New Roman" w:hAnsi="Times New Roman" w:cs="Times New Roman"/>
                      <w:b/>
                      <w:sz w:val="24"/>
                      <w:szCs w:val="24"/>
                    </w:rPr>
                  </w:pPr>
                </w:p>
              </w:tc>
              <w:tc>
                <w:tcPr>
                  <w:tcW w:w="3827" w:type="dxa"/>
                </w:tcPr>
                <w:p w:rsidR="009329C9" w:rsidRDefault="00B5212B">
                  <w:pPr>
                    <w:spacing w:after="0" w:line="240" w:lineRule="auto"/>
                    <w:rPr>
                      <w:rFonts w:ascii="Times New Roman" w:hAnsi="Times New Roman" w:cs="Times New Roman"/>
                      <w:b/>
                      <w:sz w:val="23"/>
                      <w:szCs w:val="23"/>
                    </w:rPr>
                  </w:pPr>
                  <w:r>
                    <w:rPr>
                      <w:rFonts w:ascii="Times New Roman" w:hAnsi="Times New Roman" w:cs="Times New Roman"/>
                      <w:b/>
                      <w:sz w:val="23"/>
                      <w:szCs w:val="23"/>
                    </w:rPr>
                    <w:t>Критерии</w:t>
                  </w:r>
                </w:p>
              </w:tc>
              <w:tc>
                <w:tcPr>
                  <w:tcW w:w="2977" w:type="dxa"/>
                </w:tcPr>
                <w:p w:rsidR="009329C9" w:rsidRDefault="00B5212B">
                  <w:pPr>
                    <w:spacing w:after="0" w:line="240" w:lineRule="auto"/>
                    <w:rPr>
                      <w:rFonts w:ascii="Times New Roman" w:hAnsi="Times New Roman" w:cs="Times New Roman"/>
                      <w:b/>
                      <w:sz w:val="23"/>
                      <w:szCs w:val="23"/>
                    </w:rPr>
                  </w:pPr>
                  <w:r>
                    <w:rPr>
                      <w:rFonts w:ascii="Times New Roman" w:hAnsi="Times New Roman" w:cs="Times New Roman"/>
                      <w:b/>
                      <w:sz w:val="23"/>
                      <w:szCs w:val="23"/>
                    </w:rPr>
                    <w:t>Максимален брой точки</w:t>
                  </w:r>
                </w:p>
              </w:tc>
            </w:tr>
            <w:tr w:rsidR="009329C9">
              <w:tc>
                <w:tcPr>
                  <w:tcW w:w="596" w:type="dxa"/>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9329C9" w:rsidRDefault="00B5212B">
                  <w:pPr>
                    <w:spacing w:after="0" w:line="240" w:lineRule="auto"/>
                    <w:rPr>
                      <w:rFonts w:ascii="Times New Roman" w:hAnsi="Times New Roman" w:cs="Times New Roman"/>
                      <w:sz w:val="23"/>
                      <w:szCs w:val="23"/>
                    </w:rPr>
                  </w:pPr>
                  <w:r>
                    <w:rPr>
                      <w:rFonts w:ascii="Times New Roman" w:hAnsi="Times New Roman" w:cs="Times New Roman"/>
                      <w:sz w:val="23"/>
                      <w:szCs w:val="23"/>
                    </w:rPr>
                    <w:t>Съответствие и допълняемост</w:t>
                  </w:r>
                </w:p>
              </w:tc>
              <w:tc>
                <w:tcPr>
                  <w:tcW w:w="2977" w:type="dxa"/>
                  <w:vAlign w:val="center"/>
                </w:tcPr>
                <w:p w:rsidR="009329C9" w:rsidRDefault="00B5212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14</w:t>
                  </w:r>
                </w:p>
              </w:tc>
            </w:tr>
            <w:tr w:rsidR="009329C9">
              <w:tc>
                <w:tcPr>
                  <w:tcW w:w="596" w:type="dxa"/>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827" w:type="dxa"/>
                </w:tcPr>
                <w:p w:rsidR="009329C9" w:rsidRDefault="00B5212B">
                  <w:pPr>
                    <w:spacing w:after="0" w:line="240" w:lineRule="auto"/>
                    <w:rPr>
                      <w:rFonts w:ascii="Times New Roman" w:hAnsi="Times New Roman" w:cs="Times New Roman"/>
                      <w:sz w:val="23"/>
                      <w:szCs w:val="23"/>
                    </w:rPr>
                  </w:pPr>
                  <w:r>
                    <w:rPr>
                      <w:rFonts w:ascii="Times New Roman" w:hAnsi="Times New Roman" w:cs="Times New Roman"/>
                      <w:sz w:val="23"/>
                      <w:szCs w:val="23"/>
                    </w:rPr>
                    <w:t>Методика и работен план</w:t>
                  </w:r>
                </w:p>
              </w:tc>
              <w:tc>
                <w:tcPr>
                  <w:tcW w:w="2977" w:type="dxa"/>
                  <w:vAlign w:val="center"/>
                </w:tcPr>
                <w:p w:rsidR="009329C9" w:rsidRDefault="00B5212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16</w:t>
                  </w:r>
                </w:p>
              </w:tc>
            </w:tr>
            <w:tr w:rsidR="009329C9">
              <w:tc>
                <w:tcPr>
                  <w:tcW w:w="596" w:type="dxa"/>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827" w:type="dxa"/>
                </w:tcPr>
                <w:p w:rsidR="009329C9" w:rsidRDefault="00B5212B">
                  <w:pPr>
                    <w:spacing w:after="0" w:line="240" w:lineRule="auto"/>
                    <w:rPr>
                      <w:rFonts w:ascii="Times New Roman" w:hAnsi="Times New Roman" w:cs="Times New Roman"/>
                      <w:sz w:val="23"/>
                      <w:szCs w:val="23"/>
                    </w:rPr>
                  </w:pPr>
                  <w:r>
                    <w:rPr>
                      <w:rFonts w:ascii="Times New Roman" w:hAnsi="Times New Roman" w:cs="Times New Roman"/>
                      <w:sz w:val="23"/>
                      <w:szCs w:val="23"/>
                    </w:rPr>
                    <w:t>Трудности и рискове</w:t>
                  </w:r>
                </w:p>
              </w:tc>
              <w:tc>
                <w:tcPr>
                  <w:tcW w:w="2977" w:type="dxa"/>
                  <w:vAlign w:val="center"/>
                </w:tcPr>
                <w:p w:rsidR="009329C9" w:rsidRDefault="00B5212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2</w:t>
                  </w:r>
                </w:p>
              </w:tc>
            </w:tr>
            <w:tr w:rsidR="009329C9">
              <w:tc>
                <w:tcPr>
                  <w:tcW w:w="596" w:type="dxa"/>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827" w:type="dxa"/>
                </w:tcPr>
                <w:p w:rsidR="009329C9" w:rsidRDefault="00B5212B">
                  <w:pPr>
                    <w:spacing w:after="0" w:line="240" w:lineRule="auto"/>
                    <w:rPr>
                      <w:rFonts w:ascii="Times New Roman" w:hAnsi="Times New Roman" w:cs="Times New Roman"/>
                      <w:sz w:val="23"/>
                      <w:szCs w:val="23"/>
                    </w:rPr>
                  </w:pPr>
                  <w:r>
                    <w:rPr>
                      <w:rFonts w:ascii="Times New Roman" w:hAnsi="Times New Roman" w:cs="Times New Roman"/>
                      <w:sz w:val="23"/>
                      <w:szCs w:val="23"/>
                    </w:rPr>
                    <w:t>Капацитет на кандидата</w:t>
                  </w:r>
                </w:p>
              </w:tc>
              <w:tc>
                <w:tcPr>
                  <w:tcW w:w="2977" w:type="dxa"/>
                  <w:vAlign w:val="center"/>
                </w:tcPr>
                <w:p w:rsidR="009329C9" w:rsidRDefault="00B5212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5</w:t>
                  </w:r>
                </w:p>
              </w:tc>
            </w:tr>
            <w:tr w:rsidR="009329C9">
              <w:tc>
                <w:tcPr>
                  <w:tcW w:w="596" w:type="dxa"/>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827" w:type="dxa"/>
                </w:tcPr>
                <w:p w:rsidR="009329C9" w:rsidRDefault="00B5212B">
                  <w:pPr>
                    <w:spacing w:after="0" w:line="240" w:lineRule="auto"/>
                    <w:rPr>
                      <w:rFonts w:ascii="Times New Roman" w:hAnsi="Times New Roman" w:cs="Times New Roman"/>
                      <w:sz w:val="23"/>
                      <w:szCs w:val="23"/>
                    </w:rPr>
                  </w:pPr>
                  <w:r>
                    <w:rPr>
                      <w:rFonts w:ascii="Times New Roman" w:hAnsi="Times New Roman" w:cs="Times New Roman"/>
                      <w:sz w:val="23"/>
                      <w:szCs w:val="23"/>
                    </w:rPr>
                    <w:t>Устойчивост</w:t>
                  </w:r>
                </w:p>
              </w:tc>
              <w:tc>
                <w:tcPr>
                  <w:tcW w:w="2977" w:type="dxa"/>
                  <w:vAlign w:val="center"/>
                </w:tcPr>
                <w:p w:rsidR="009329C9" w:rsidRDefault="00B5212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9</w:t>
                  </w:r>
                </w:p>
              </w:tc>
            </w:tr>
            <w:tr w:rsidR="009329C9">
              <w:tc>
                <w:tcPr>
                  <w:tcW w:w="596" w:type="dxa"/>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827" w:type="dxa"/>
                </w:tcPr>
                <w:p w:rsidR="009329C9" w:rsidRDefault="00B5212B">
                  <w:pPr>
                    <w:spacing w:after="0" w:line="240" w:lineRule="auto"/>
                    <w:rPr>
                      <w:rFonts w:ascii="Times New Roman" w:hAnsi="Times New Roman" w:cs="Times New Roman"/>
                      <w:sz w:val="23"/>
                      <w:szCs w:val="23"/>
                    </w:rPr>
                  </w:pPr>
                  <w:r>
                    <w:rPr>
                      <w:rFonts w:ascii="Times New Roman" w:hAnsi="Times New Roman" w:cs="Times New Roman"/>
                      <w:sz w:val="23"/>
                      <w:szCs w:val="23"/>
                    </w:rPr>
                    <w:t>Финансова оценка</w:t>
                  </w:r>
                </w:p>
              </w:tc>
              <w:tc>
                <w:tcPr>
                  <w:tcW w:w="2977" w:type="dxa"/>
                  <w:vAlign w:val="center"/>
                </w:tcPr>
                <w:p w:rsidR="009329C9" w:rsidRDefault="00B5212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6</w:t>
                  </w:r>
                </w:p>
              </w:tc>
            </w:tr>
            <w:tr w:rsidR="009329C9">
              <w:tc>
                <w:tcPr>
                  <w:tcW w:w="596" w:type="dxa"/>
                </w:tcPr>
                <w:p w:rsidR="009329C9" w:rsidRDefault="009329C9">
                  <w:pPr>
                    <w:spacing w:after="0" w:line="240" w:lineRule="auto"/>
                    <w:rPr>
                      <w:rFonts w:ascii="Times New Roman" w:hAnsi="Times New Roman" w:cs="Times New Roman"/>
                      <w:sz w:val="24"/>
                      <w:szCs w:val="24"/>
                    </w:rPr>
                  </w:pPr>
                </w:p>
              </w:tc>
              <w:tc>
                <w:tcPr>
                  <w:tcW w:w="3827" w:type="dxa"/>
                  <w:vAlign w:val="bottom"/>
                </w:tcPr>
                <w:p w:rsidR="009329C9" w:rsidRDefault="00B5212B">
                  <w:pPr>
                    <w:spacing w:after="0" w:line="240" w:lineRule="auto"/>
                    <w:jc w:val="right"/>
                    <w:rPr>
                      <w:rFonts w:ascii="Times New Roman" w:hAnsi="Times New Roman" w:cs="Times New Roman"/>
                      <w:b/>
                      <w:sz w:val="23"/>
                      <w:szCs w:val="23"/>
                    </w:rPr>
                  </w:pPr>
                  <w:r>
                    <w:rPr>
                      <w:rFonts w:ascii="Times New Roman" w:hAnsi="Times New Roman" w:cs="Times New Roman"/>
                      <w:b/>
                      <w:sz w:val="23"/>
                      <w:szCs w:val="23"/>
                    </w:rPr>
                    <w:t>ОБЩО:</w:t>
                  </w:r>
                </w:p>
              </w:tc>
              <w:tc>
                <w:tcPr>
                  <w:tcW w:w="2977" w:type="dxa"/>
                  <w:vAlign w:val="center"/>
                </w:tcPr>
                <w:p w:rsidR="009329C9" w:rsidRDefault="00B5212B">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52</w:t>
                  </w:r>
                </w:p>
              </w:tc>
            </w:tr>
          </w:tbl>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Няма да бъдат финансирани проектни предложения получили:</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-Общ брой точки по всички критерии по-малък от 31 точки</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„Съответствие и допълняемост“ по-малък от 8 точки</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„Методика и работен план“ по-малък от 10 точки</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„Трудности и рискове“ по-малък от 1 точка</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„Капацитет на кандидата“ по-малък от 1 точка</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„Устойчивост“ по-малък от 3 точки</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„Финансова оценка“ по-малък от 4 точки</w:t>
            </w:r>
          </w:p>
        </w:tc>
      </w:tr>
    </w:tbl>
    <w:p w:rsidR="009329C9" w:rsidRDefault="009329C9">
      <w:pPr>
        <w:spacing w:after="120"/>
        <w:ind w:right="283"/>
        <w:jc w:val="both"/>
        <w:rPr>
          <w:rFonts w:ascii="Times New Roman" w:eastAsia="Calibri" w:hAnsi="Times New Roman" w:cs="Times New Roman"/>
          <w:sz w:val="24"/>
          <w:szCs w:val="24"/>
          <w:lang w:eastAsia="en-US"/>
        </w:rPr>
      </w:pPr>
    </w:p>
    <w:tbl>
      <w:tblPr>
        <w:tblStyle w:val="TableGrid3"/>
        <w:tblW w:w="10490" w:type="dxa"/>
        <w:tblInd w:w="-176" w:type="dxa"/>
        <w:tblLook w:val="04A0" w:firstRow="1" w:lastRow="0" w:firstColumn="1" w:lastColumn="0" w:noHBand="0" w:noVBand="1"/>
      </w:tblPr>
      <w:tblGrid>
        <w:gridCol w:w="8364"/>
        <w:gridCol w:w="2126"/>
      </w:tblGrid>
      <w:tr w:rsidR="009329C9">
        <w:tc>
          <w:tcPr>
            <w:tcW w:w="8364" w:type="dxa"/>
          </w:tcPr>
          <w:p w:rsidR="009329C9" w:rsidRDefault="00B5212B">
            <w:pPr>
              <w:spacing w:after="0" w:line="240" w:lineRule="auto"/>
              <w:ind w:right="283"/>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Подобряване на природозащитното състояние на видове и местообитания от мрежата Натура 2000 чрез подхода ВОМР</w:t>
            </w:r>
          </w:p>
        </w:tc>
        <w:tc>
          <w:tcPr>
            <w:tcW w:w="2126" w:type="dxa"/>
            <w:vAlign w:val="center"/>
          </w:tcPr>
          <w:p w:rsidR="009329C9" w:rsidRDefault="00B5212B">
            <w:pPr>
              <w:spacing w:after="0" w:line="240" w:lineRule="auto"/>
              <w:jc w:val="right"/>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ОБЩО:</w:t>
            </w:r>
          </w:p>
          <w:p w:rsidR="009329C9" w:rsidRDefault="00B5212B">
            <w:pPr>
              <w:spacing w:after="0" w:line="240" w:lineRule="auto"/>
              <w:jc w:val="right"/>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4 785 157, 54 лв.  </w:t>
            </w:r>
          </w:p>
        </w:tc>
      </w:tr>
    </w:tbl>
    <w:p w:rsidR="009329C9" w:rsidRDefault="00B5212B">
      <w:pPr>
        <w:pStyle w:val="2"/>
        <w:rPr>
          <w:rFonts w:ascii="Times New Roman" w:eastAsia="Calibri" w:hAnsi="Times New Roman" w:cs="Times New Roman"/>
          <w:b/>
          <w:color w:val="auto"/>
          <w:sz w:val="24"/>
          <w:szCs w:val="24"/>
          <w:lang w:eastAsia="en-US"/>
        </w:rPr>
      </w:pPr>
      <w:r>
        <w:rPr>
          <w:rFonts w:ascii="Times New Roman" w:hAnsi="Times New Roman" w:cs="Times New Roman"/>
          <w:b/>
          <w:i/>
          <w:iCs/>
          <w:color w:val="auto"/>
          <w:sz w:val="24"/>
          <w:szCs w:val="24"/>
        </w:rPr>
        <w:lastRenderedPageBreak/>
        <w:t>ОПНОИР (ЕСФ)</w:t>
      </w:r>
    </w:p>
    <w:tbl>
      <w:tblPr>
        <w:tblStyle w:val="TableGrid5"/>
        <w:tblW w:w="10617" w:type="dxa"/>
        <w:tblInd w:w="-459" w:type="dxa"/>
        <w:tblLayout w:type="fixed"/>
        <w:tblLook w:val="04A0" w:firstRow="1" w:lastRow="0" w:firstColumn="1" w:lastColumn="0" w:noHBand="0" w:noVBand="1"/>
      </w:tblPr>
      <w:tblGrid>
        <w:gridCol w:w="1418"/>
        <w:gridCol w:w="9199"/>
      </w:tblGrid>
      <w:tr w:rsidR="009329C9">
        <w:tc>
          <w:tcPr>
            <w:tcW w:w="1418" w:type="dxa"/>
            <w:shd w:val="clear" w:color="auto" w:fill="BFBFBF" w:themeFill="background1" w:themeFillShade="BF"/>
          </w:tcPr>
          <w:p w:rsidR="009329C9" w:rsidRDefault="009329C9">
            <w:pPr>
              <w:keepNext/>
              <w:keepLines/>
              <w:spacing w:before="200" w:after="0" w:line="240" w:lineRule="auto"/>
              <w:outlineLvl w:val="2"/>
              <w:rPr>
                <w:rFonts w:ascii="Times New Roman" w:eastAsia="Times New Roman" w:hAnsi="Times New Roman" w:cs="Times New Roman"/>
                <w:b/>
                <w:bCs/>
                <w:color w:val="4F81BD"/>
                <w:sz w:val="23"/>
                <w:szCs w:val="23"/>
                <w:lang w:eastAsia="en-US"/>
              </w:rPr>
            </w:pPr>
          </w:p>
        </w:tc>
        <w:tc>
          <w:tcPr>
            <w:tcW w:w="9199" w:type="dxa"/>
            <w:shd w:val="clear" w:color="auto" w:fill="BFBFBF" w:themeFill="background1" w:themeFillShade="BF"/>
            <w:vAlign w:val="center"/>
          </w:tcPr>
          <w:p w:rsidR="009329C9" w:rsidRDefault="00B5212B">
            <w:pPr>
              <w:keepNext/>
              <w:keepLines/>
              <w:spacing w:after="0" w:line="240" w:lineRule="auto"/>
              <w:jc w:val="center"/>
              <w:outlineLvl w:val="2"/>
              <w:rPr>
                <w:rFonts w:ascii="Times New Roman" w:eastAsia="Times New Roman" w:hAnsi="Times New Roman" w:cs="Times New Roman"/>
                <w:b/>
                <w:bCs/>
                <w:sz w:val="24"/>
                <w:szCs w:val="24"/>
                <w:lang w:val="en-US" w:eastAsia="en-US"/>
              </w:rPr>
            </w:pPr>
            <w:r>
              <w:rPr>
                <w:rFonts w:ascii="Times New Roman" w:eastAsia="Times New Roman" w:hAnsi="Times New Roman" w:cs="Times New Roman"/>
                <w:b/>
                <w:bCs/>
                <w:sz w:val="24"/>
                <w:szCs w:val="24"/>
                <w:lang w:eastAsia="en-US"/>
              </w:rPr>
              <w:t>Общи условия по стратегията за ВОМР от ОПНОИР</w:t>
            </w:r>
          </w:p>
        </w:tc>
      </w:tr>
      <w:tr w:rsidR="009329C9">
        <w:tc>
          <w:tcPr>
            <w:tcW w:w="1418" w:type="dxa"/>
            <w:shd w:val="clear" w:color="auto" w:fill="BFBFBF" w:themeFill="background1" w:themeFillShade="BF"/>
            <w:vAlign w:val="center"/>
          </w:tcPr>
          <w:p w:rsidR="009329C9" w:rsidRDefault="00B5212B">
            <w:pPr>
              <w:keepNext/>
              <w:keepLines/>
              <w:spacing w:before="200" w:after="0" w:line="240" w:lineRule="auto"/>
              <w:jc w:val="center"/>
              <w:outlineLvl w:val="2"/>
              <w:rPr>
                <w:rFonts w:ascii="Times New Roman" w:eastAsia="Times New Roman" w:hAnsi="Times New Roman" w:cs="Times New Roman"/>
                <w:b/>
                <w:bCs/>
                <w:color w:val="4F81BD"/>
                <w:sz w:val="23"/>
                <w:szCs w:val="23"/>
                <w:lang w:eastAsia="en-US"/>
              </w:rPr>
            </w:pPr>
            <w:r>
              <w:rPr>
                <w:rFonts w:ascii="Times New Roman" w:eastAsia="Times New Roman" w:hAnsi="Times New Roman" w:cs="Times New Roman"/>
                <w:b/>
                <w:bCs/>
                <w:sz w:val="23"/>
                <w:szCs w:val="23"/>
                <w:lang w:eastAsia="en-US"/>
              </w:rPr>
              <w:t>Водещи принципи:</w:t>
            </w:r>
          </w:p>
        </w:tc>
        <w:tc>
          <w:tcPr>
            <w:tcW w:w="9199" w:type="dxa"/>
            <w:shd w:val="clear" w:color="auto" w:fill="auto"/>
          </w:tcPr>
          <w:p w:rsidR="009329C9" w:rsidRDefault="00B5212B">
            <w:pPr>
              <w:pStyle w:val="Default"/>
              <w:rPr>
                <w:color w:val="auto"/>
                <w:sz w:val="23"/>
                <w:szCs w:val="23"/>
                <w:lang w:eastAsia="en-US"/>
              </w:rPr>
            </w:pPr>
            <w:r>
              <w:rPr>
                <w:b/>
                <w:bCs/>
                <w:sz w:val="23"/>
                <w:szCs w:val="23"/>
                <w:lang w:eastAsia="en-US"/>
              </w:rPr>
              <w:t xml:space="preserve">Ефективност и ефикасност на инвестициите </w:t>
            </w:r>
            <w:r>
              <w:rPr>
                <w:sz w:val="23"/>
                <w:szCs w:val="23"/>
                <w:lang w:eastAsia="en-US"/>
              </w:rPr>
              <w:t xml:space="preserve">– избраните дейности да отговарят в пълна степен на целите на ОП НОИР, при най-адекватно съотношение разходи и ползи. </w:t>
            </w:r>
            <w:r>
              <w:rPr>
                <w:b/>
                <w:bCs/>
                <w:color w:val="auto"/>
                <w:sz w:val="23"/>
                <w:szCs w:val="23"/>
                <w:lang w:eastAsia="en-US"/>
              </w:rPr>
              <w:t xml:space="preserve">Финансиране, основано на нуждите </w:t>
            </w:r>
            <w:r>
              <w:rPr>
                <w:color w:val="auto"/>
                <w:sz w:val="23"/>
                <w:szCs w:val="23"/>
                <w:lang w:eastAsia="en-US"/>
              </w:rPr>
              <w:t xml:space="preserve">– избраните мерки да отговарят на идентифицираните потребности на целевите групи; </w:t>
            </w:r>
            <w:r>
              <w:rPr>
                <w:b/>
                <w:bCs/>
                <w:color w:val="auto"/>
                <w:sz w:val="23"/>
                <w:szCs w:val="23"/>
                <w:lang w:eastAsia="en-US"/>
              </w:rPr>
              <w:t xml:space="preserve"> Релевантност</w:t>
            </w:r>
            <w:r>
              <w:rPr>
                <w:color w:val="auto"/>
                <w:sz w:val="23"/>
                <w:szCs w:val="23"/>
                <w:lang w:eastAsia="en-US"/>
              </w:rPr>
              <w:t>– избраните операции да допринасят за изпълнението на индикаторите за изпълнение и резултат;</w:t>
            </w:r>
            <w:r>
              <w:rPr>
                <w:b/>
                <w:bCs/>
                <w:color w:val="auto"/>
                <w:sz w:val="23"/>
                <w:szCs w:val="23"/>
                <w:lang w:eastAsia="en-US"/>
              </w:rPr>
              <w:t>Координация, допълняемост и синергия</w:t>
            </w:r>
            <w:r>
              <w:rPr>
                <w:color w:val="auto"/>
                <w:sz w:val="23"/>
                <w:szCs w:val="23"/>
                <w:lang w:eastAsia="en-US"/>
              </w:rPr>
              <w:t xml:space="preserve">–с други програми и инструменти, финансирани със средства от ЕС, държавния бюджет, местния бюджет и други донорски програми; </w:t>
            </w:r>
            <w:r>
              <w:rPr>
                <w:b/>
                <w:bCs/>
                <w:color w:val="auto"/>
                <w:sz w:val="23"/>
                <w:szCs w:val="23"/>
                <w:lang w:eastAsia="en-US"/>
              </w:rPr>
              <w:t xml:space="preserve">Принцип на устойчиво развитие </w:t>
            </w:r>
            <w:r>
              <w:rPr>
                <w:color w:val="auto"/>
                <w:sz w:val="23"/>
                <w:szCs w:val="23"/>
                <w:lang w:eastAsia="en-US"/>
              </w:rPr>
              <w:t xml:space="preserve">да се търси устойчивост на постигнатите резултати и дългосрочност на очакваните ефекти; </w:t>
            </w:r>
            <w:r>
              <w:rPr>
                <w:b/>
                <w:bCs/>
                <w:color w:val="auto"/>
                <w:sz w:val="23"/>
                <w:szCs w:val="23"/>
                <w:lang w:eastAsia="en-US"/>
              </w:rPr>
              <w:t xml:space="preserve">Принцип на равните възможности </w:t>
            </w:r>
            <w:r>
              <w:rPr>
                <w:color w:val="auto"/>
                <w:sz w:val="23"/>
                <w:szCs w:val="23"/>
                <w:lang w:eastAsia="en-US"/>
              </w:rPr>
              <w:t xml:space="preserve">– насърчаване на равните възможности за всички; </w:t>
            </w:r>
            <w:r>
              <w:rPr>
                <w:b/>
                <w:bCs/>
                <w:sz w:val="23"/>
                <w:szCs w:val="23"/>
                <w:lang w:eastAsia="en-US"/>
              </w:rPr>
              <w:t>Избягване на двойно финансиране;</w:t>
            </w:r>
          </w:p>
        </w:tc>
      </w:tr>
      <w:tr w:rsidR="009329C9">
        <w:tc>
          <w:tcPr>
            <w:tcW w:w="1418" w:type="dxa"/>
            <w:shd w:val="clear" w:color="auto" w:fill="BFBFBF" w:themeFill="background1" w:themeFillShade="BF"/>
            <w:vAlign w:val="center"/>
          </w:tcPr>
          <w:p w:rsidR="009329C9" w:rsidRDefault="00B5212B">
            <w:pPr>
              <w:keepNext/>
              <w:keepLines/>
              <w:spacing w:before="200" w:after="0" w:line="240" w:lineRule="auto"/>
              <w:jc w:val="center"/>
              <w:outlineLvl w:val="2"/>
              <w:rPr>
                <w:rFonts w:ascii="Times New Roman" w:eastAsia="Times New Roman" w:hAnsi="Times New Roman" w:cs="Times New Roman"/>
                <w:b/>
                <w:bCs/>
                <w:sz w:val="23"/>
                <w:szCs w:val="23"/>
                <w:lang w:eastAsia="en-US"/>
              </w:rPr>
            </w:pPr>
            <w:r>
              <w:rPr>
                <w:rFonts w:ascii="Times New Roman" w:eastAsia="Times New Roman" w:hAnsi="Times New Roman" w:cs="Times New Roman"/>
                <w:b/>
                <w:bCs/>
                <w:sz w:val="23"/>
                <w:szCs w:val="23"/>
                <w:lang w:eastAsia="en-US"/>
              </w:rPr>
              <w:t>Основна цел:</w:t>
            </w:r>
          </w:p>
        </w:tc>
        <w:tc>
          <w:tcPr>
            <w:tcW w:w="9199" w:type="dxa"/>
            <w:shd w:val="clear" w:color="auto" w:fill="auto"/>
          </w:tcPr>
          <w:p w:rsidR="009329C9" w:rsidRDefault="00B5212B">
            <w:pPr>
              <w:pStyle w:val="Default"/>
              <w:rPr>
                <w:b/>
                <w:bCs/>
                <w:sz w:val="23"/>
                <w:szCs w:val="23"/>
                <w:lang w:eastAsia="en-US"/>
              </w:rPr>
            </w:pPr>
            <w:r>
              <w:rPr>
                <w:bCs/>
                <w:sz w:val="23"/>
                <w:szCs w:val="23"/>
                <w:lang w:eastAsia="en-US"/>
              </w:rPr>
              <w:t>Финансирането чрез ОП НОИР е насочено към повишаване качеството на образователните услуги и подобряване на достъпа до образование на деца и ученици от различни  маргинализирани групи (етническите малцинства, застрашени от социална изолация и бедност поради редица фактори, деца и ученици, търсещи или получили международна закрила и др.), в малки населени места и трудно достъпни райони. ОП НОИР финансира многофондови стратегии на МИГ чрез подхода ВОМР допринасяйки към тематична цел 9, съгласно член 9 от Общия регламент</w:t>
            </w:r>
            <w:r>
              <w:rPr>
                <w:b/>
                <w:bCs/>
                <w:sz w:val="23"/>
                <w:szCs w:val="23"/>
                <w:lang w:val="ru-RU" w:eastAsia="en-US"/>
              </w:rPr>
              <w:t>.</w:t>
            </w:r>
          </w:p>
        </w:tc>
      </w:tr>
      <w:tr w:rsidR="009329C9">
        <w:tc>
          <w:tcPr>
            <w:tcW w:w="1418" w:type="dxa"/>
            <w:shd w:val="clear" w:color="auto" w:fill="BFBFBF" w:themeFill="background1" w:themeFillShade="BF"/>
            <w:vAlign w:val="center"/>
          </w:tcPr>
          <w:p w:rsidR="009329C9" w:rsidRDefault="00B5212B">
            <w:pPr>
              <w:keepNext/>
              <w:keepLines/>
              <w:spacing w:before="200" w:after="0" w:line="240" w:lineRule="auto"/>
              <w:jc w:val="center"/>
              <w:outlineLvl w:val="2"/>
              <w:rPr>
                <w:rFonts w:ascii="Times New Roman" w:eastAsia="Times New Roman" w:hAnsi="Times New Roman" w:cs="Times New Roman"/>
                <w:b/>
                <w:bCs/>
                <w:lang w:eastAsia="en-US"/>
              </w:rPr>
            </w:pPr>
            <w:r>
              <w:rPr>
                <w:rFonts w:ascii="Times New Roman" w:eastAsia="Times New Roman" w:hAnsi="Times New Roman" w:cs="Times New Roman"/>
                <w:b/>
                <w:bCs/>
                <w:lang w:eastAsia="en-US"/>
              </w:rPr>
              <w:t>Демаркация</w:t>
            </w:r>
          </w:p>
        </w:tc>
        <w:tc>
          <w:tcPr>
            <w:tcW w:w="9199" w:type="dxa"/>
            <w:shd w:val="clear" w:color="auto" w:fill="auto"/>
          </w:tcPr>
          <w:p w:rsidR="009329C9" w:rsidRDefault="00B5212B">
            <w:pPr>
              <w:pStyle w:val="Default"/>
              <w:rPr>
                <w:bCs/>
                <w:sz w:val="23"/>
                <w:szCs w:val="23"/>
                <w:lang w:eastAsia="en-US"/>
              </w:rPr>
            </w:pPr>
            <w:r>
              <w:rPr>
                <w:bCs/>
                <w:sz w:val="23"/>
                <w:szCs w:val="23"/>
                <w:lang w:eastAsia="en-US"/>
              </w:rPr>
              <w:t>Демаркацията на ОП НОИР 2014 – 2020 г. с други Програми е подробно уредена  8. „Координация между фондовете, ЕЗФРСР и ЕФМДР и координация с други инструменти за финансиране, национални и на Съюза, както и с ЕИБ“.</w:t>
            </w:r>
          </w:p>
        </w:tc>
      </w:tr>
      <w:tr w:rsidR="009329C9">
        <w:tc>
          <w:tcPr>
            <w:tcW w:w="1418" w:type="dxa"/>
            <w:shd w:val="clear" w:color="auto" w:fill="BFBFBF" w:themeFill="background1" w:themeFillShade="BF"/>
            <w:vAlign w:val="center"/>
          </w:tcPr>
          <w:p w:rsidR="009329C9" w:rsidRDefault="00B5212B">
            <w:pPr>
              <w:keepNext/>
              <w:keepLines/>
              <w:spacing w:before="200" w:after="0" w:line="240" w:lineRule="auto"/>
              <w:jc w:val="center"/>
              <w:outlineLvl w:val="2"/>
              <w:rPr>
                <w:rFonts w:ascii="Times New Roman" w:eastAsia="Times New Roman" w:hAnsi="Times New Roman" w:cs="Times New Roman"/>
                <w:b/>
                <w:bCs/>
                <w:sz w:val="23"/>
                <w:szCs w:val="23"/>
                <w:lang w:eastAsia="en-US"/>
              </w:rPr>
            </w:pPr>
            <w:r>
              <w:rPr>
                <w:rFonts w:ascii="Times New Roman" w:eastAsia="Times New Roman" w:hAnsi="Times New Roman" w:cs="Times New Roman"/>
                <w:b/>
                <w:bCs/>
                <w:sz w:val="23"/>
                <w:szCs w:val="23"/>
                <w:lang w:eastAsia="en-US"/>
              </w:rPr>
              <w:t>Държавни помощи</w:t>
            </w:r>
          </w:p>
        </w:tc>
        <w:tc>
          <w:tcPr>
            <w:tcW w:w="9199" w:type="dxa"/>
            <w:shd w:val="clear" w:color="auto" w:fill="auto"/>
          </w:tcPr>
          <w:p w:rsidR="009329C9" w:rsidRDefault="00B5212B">
            <w:pPr>
              <w:pStyle w:val="Default"/>
              <w:rPr>
                <w:bCs/>
                <w:sz w:val="23"/>
                <w:szCs w:val="23"/>
                <w:lang w:eastAsia="en-US"/>
              </w:rPr>
            </w:pPr>
            <w:r>
              <w:rPr>
                <w:bCs/>
                <w:sz w:val="23"/>
                <w:szCs w:val="23"/>
                <w:lang w:eastAsia="en-US"/>
              </w:rPr>
              <w:t xml:space="preserve">МИГсъгласува Условията за кандидатстване за съответствие с приложимите правила за държавни помощи по реда на чл. 3, т.1. от Наредба № 4 от 22.07.2016 г. </w:t>
            </w:r>
            <w:r>
              <w:rPr>
                <w:bCs/>
                <w:sz w:val="23"/>
                <w:szCs w:val="23"/>
                <w:lang w:val="ru-RU" w:eastAsia="en-US"/>
              </w:rPr>
              <w:t xml:space="preserve">за </w:t>
            </w:r>
            <w:r>
              <w:rPr>
                <w:bCs/>
                <w:sz w:val="23"/>
                <w:szCs w:val="23"/>
                <w:lang w:eastAsia="en-US"/>
              </w:rPr>
              <w:t xml:space="preserve">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(ЗУСЕСИФ). </w:t>
            </w:r>
          </w:p>
        </w:tc>
      </w:tr>
      <w:tr w:rsidR="009329C9">
        <w:tc>
          <w:tcPr>
            <w:tcW w:w="10617" w:type="dxa"/>
            <w:gridSpan w:val="2"/>
            <w:shd w:val="clear" w:color="auto" w:fill="BFBFBF" w:themeFill="background1" w:themeFillShade="BF"/>
          </w:tcPr>
          <w:p w:rsidR="009329C9" w:rsidRDefault="00B5212B">
            <w:pPr>
              <w:pStyle w:val="Default"/>
              <w:jc w:val="center"/>
              <w:rPr>
                <w:b/>
                <w:bCs/>
                <w:sz w:val="23"/>
                <w:szCs w:val="23"/>
                <w:lang w:eastAsia="en-US"/>
              </w:rPr>
            </w:pPr>
            <w:r>
              <w:rPr>
                <w:b/>
                <w:bCs/>
                <w:sz w:val="23"/>
                <w:szCs w:val="23"/>
                <w:lang w:eastAsia="en-US"/>
              </w:rPr>
              <w:t>„Осигуряване на достъп до качествено образование в малките населени места и</w:t>
            </w:r>
          </w:p>
          <w:p w:rsidR="009329C9" w:rsidRDefault="00B5212B">
            <w:pPr>
              <w:pStyle w:val="Default"/>
              <w:jc w:val="center"/>
              <w:rPr>
                <w:bCs/>
                <w:sz w:val="23"/>
                <w:szCs w:val="23"/>
                <w:lang w:eastAsia="en-US"/>
              </w:rPr>
            </w:pPr>
            <w:r>
              <w:rPr>
                <w:b/>
                <w:bCs/>
                <w:sz w:val="23"/>
                <w:szCs w:val="23"/>
                <w:lang w:eastAsia="en-US"/>
              </w:rPr>
              <w:t>в трудно достъпните райони“</w:t>
            </w:r>
            <w:r>
              <w:rPr>
                <w:bCs/>
                <w:sz w:val="23"/>
                <w:szCs w:val="23"/>
                <w:lang w:eastAsia="en-US"/>
              </w:rPr>
              <w:t>.</w:t>
            </w:r>
          </w:p>
        </w:tc>
      </w:tr>
      <w:tr w:rsidR="009329C9">
        <w:trPr>
          <w:trHeight w:val="694"/>
        </w:trPr>
        <w:tc>
          <w:tcPr>
            <w:tcW w:w="1418" w:type="dxa"/>
            <w:shd w:val="clear" w:color="auto" w:fill="BFBFBF" w:themeFill="background1" w:themeFillShade="BF"/>
          </w:tcPr>
          <w:p w:rsidR="009329C9" w:rsidRDefault="00B5212B">
            <w:pPr>
              <w:tabs>
                <w:tab w:val="left" w:pos="239"/>
              </w:tabs>
              <w:spacing w:after="0" w:line="240" w:lineRule="auto"/>
              <w:ind w:right="300"/>
              <w:jc w:val="center"/>
              <w:rPr>
                <w:rFonts w:ascii="Times New Roman" w:eastAsia="Calibri" w:hAnsi="Times New Roman" w:cs="Times New Roman"/>
                <w:b/>
                <w:sz w:val="23"/>
                <w:szCs w:val="23"/>
                <w:lang w:eastAsia="en-US"/>
              </w:rPr>
            </w:pPr>
            <w:r>
              <w:rPr>
                <w:rFonts w:ascii="Times New Roman" w:eastAsia="Calibri" w:hAnsi="Times New Roman" w:cs="Times New Roman"/>
                <w:b/>
                <w:sz w:val="23"/>
                <w:szCs w:val="23"/>
                <w:lang w:eastAsia="en-US"/>
              </w:rPr>
              <w:t>Цели и обхват на</w:t>
            </w:r>
          </w:p>
          <w:p w:rsidR="009329C9" w:rsidRDefault="00B5212B">
            <w:pPr>
              <w:tabs>
                <w:tab w:val="left" w:pos="239"/>
              </w:tabs>
              <w:spacing w:after="0" w:line="240" w:lineRule="auto"/>
              <w:ind w:right="300"/>
              <w:jc w:val="center"/>
              <w:rPr>
                <w:rFonts w:ascii="Times New Roman" w:eastAsia="Calibri" w:hAnsi="Times New Roman" w:cs="Times New Roman"/>
                <w:b/>
                <w:sz w:val="23"/>
                <w:szCs w:val="23"/>
                <w:lang w:eastAsia="en-US"/>
              </w:rPr>
            </w:pPr>
            <w:r>
              <w:rPr>
                <w:rFonts w:ascii="Times New Roman" w:eastAsia="Calibri" w:hAnsi="Times New Roman" w:cs="Times New Roman"/>
                <w:b/>
                <w:sz w:val="23"/>
                <w:szCs w:val="23"/>
                <w:lang w:eastAsia="en-US"/>
              </w:rPr>
              <w:t>мярката</w:t>
            </w:r>
          </w:p>
        </w:tc>
        <w:tc>
          <w:tcPr>
            <w:tcW w:w="9199" w:type="dxa"/>
          </w:tcPr>
          <w:p w:rsidR="009329C9" w:rsidRDefault="00B5212B">
            <w:pPr>
              <w:spacing w:after="0" w:line="240" w:lineRule="auto"/>
              <w:ind w:left="20" w:right="20"/>
              <w:jc w:val="both"/>
              <w:rPr>
                <w:rFonts w:ascii="Times New Roman" w:eastAsia="Calibri" w:hAnsi="Times New Roman" w:cs="Times New Roman"/>
                <w:bCs/>
                <w:sz w:val="23"/>
                <w:szCs w:val="23"/>
                <w:shd w:val="clear" w:color="auto" w:fill="FFFFFF"/>
                <w:lang w:eastAsia="en-US"/>
              </w:rPr>
            </w:pPr>
            <w:r>
              <w:rPr>
                <w:rFonts w:ascii="Times New Roman" w:eastAsia="Calibri" w:hAnsi="Times New Roman" w:cs="Times New Roman"/>
                <w:b/>
                <w:bCs/>
                <w:sz w:val="23"/>
                <w:szCs w:val="23"/>
                <w:shd w:val="clear" w:color="auto" w:fill="FFFFFF"/>
                <w:lang w:eastAsia="en-US"/>
              </w:rPr>
              <w:t>Мярката е в съответствие</w:t>
            </w:r>
            <w:r>
              <w:rPr>
                <w:rFonts w:ascii="Times New Roman" w:eastAsia="Calibri" w:hAnsi="Times New Roman" w:cs="Times New Roman"/>
                <w:bCs/>
                <w:sz w:val="23"/>
                <w:szCs w:val="23"/>
                <w:shd w:val="clear" w:color="auto" w:fill="FFFFFF"/>
                <w:lang w:eastAsia="en-US"/>
              </w:rPr>
              <w:t xml:space="preserve"> с </w:t>
            </w:r>
            <w:r>
              <w:rPr>
                <w:rFonts w:ascii="Times New Roman" w:eastAsia="Calibri" w:hAnsi="Times New Roman" w:cs="Times New Roman"/>
                <w:b/>
                <w:bCs/>
                <w:sz w:val="23"/>
                <w:szCs w:val="23"/>
                <w:shd w:val="clear" w:color="auto" w:fill="FFFFFF"/>
                <w:lang w:eastAsia="en-US"/>
              </w:rPr>
              <w:t xml:space="preserve">Приоритетна ос 3 </w:t>
            </w:r>
            <w:r>
              <w:rPr>
                <w:rFonts w:ascii="Times New Roman" w:eastAsia="Calibri" w:hAnsi="Times New Roman" w:cs="Times New Roman"/>
                <w:bCs/>
                <w:sz w:val="23"/>
                <w:szCs w:val="23"/>
                <w:shd w:val="clear" w:color="auto" w:fill="FFFFFF"/>
                <w:lang w:eastAsia="en-US"/>
              </w:rPr>
              <w:t>„Образователна среда за активно социално включване“,</w:t>
            </w:r>
            <w:r>
              <w:rPr>
                <w:rFonts w:ascii="Times New Roman" w:eastAsia="Calibri" w:hAnsi="Times New Roman" w:cs="Times New Roman"/>
                <w:b/>
                <w:bCs/>
                <w:sz w:val="23"/>
                <w:szCs w:val="23"/>
                <w:shd w:val="clear" w:color="auto" w:fill="FFFFFF"/>
                <w:lang w:eastAsia="en-US"/>
              </w:rPr>
              <w:t xml:space="preserve"> Инвестиционен приоритет 9.ii „</w:t>
            </w:r>
            <w:r>
              <w:rPr>
                <w:rFonts w:ascii="Times New Roman" w:eastAsia="Calibri" w:hAnsi="Times New Roman" w:cs="Times New Roman"/>
                <w:bCs/>
                <w:sz w:val="23"/>
                <w:szCs w:val="23"/>
                <w:shd w:val="clear" w:color="auto" w:fill="FFFFFF"/>
                <w:lang w:eastAsia="en-US"/>
              </w:rPr>
              <w:t>Социално-икономическо интегриране на маргинализирани общности, като например ромите”.</w:t>
            </w:r>
          </w:p>
          <w:p w:rsidR="009329C9" w:rsidRDefault="00B5212B">
            <w:pPr>
              <w:spacing w:after="0" w:line="240" w:lineRule="auto"/>
              <w:ind w:left="20" w:right="20"/>
              <w:jc w:val="both"/>
              <w:rPr>
                <w:rFonts w:ascii="Times New Roman" w:eastAsia="Calibri" w:hAnsi="Times New Roman" w:cs="Times New Roman"/>
                <w:bCs/>
                <w:sz w:val="23"/>
                <w:szCs w:val="23"/>
                <w:shd w:val="clear" w:color="auto" w:fill="FFFFFF"/>
                <w:lang w:eastAsia="en-US"/>
              </w:rPr>
            </w:pPr>
            <w:r>
              <w:rPr>
                <w:rFonts w:ascii="Times New Roman" w:eastAsia="Calibri" w:hAnsi="Times New Roman" w:cs="Times New Roman"/>
                <w:b/>
                <w:bCs/>
                <w:sz w:val="23"/>
                <w:szCs w:val="23"/>
                <w:shd w:val="clear" w:color="auto" w:fill="FFFFFF"/>
                <w:lang w:eastAsia="en-US"/>
              </w:rPr>
              <w:t>Специфичната цел на ОП НОИР по ИП 9.ii e</w:t>
            </w:r>
            <w:r>
              <w:rPr>
                <w:rFonts w:ascii="Times New Roman" w:eastAsia="Calibri" w:hAnsi="Times New Roman" w:cs="Times New Roman"/>
                <w:bCs/>
                <w:sz w:val="23"/>
                <w:szCs w:val="23"/>
                <w:shd w:val="clear" w:color="auto" w:fill="FFFFFF"/>
                <w:lang w:eastAsia="en-US"/>
              </w:rPr>
              <w:t>: Повишаване броя на успешно интегрираните чрез образователната система деца и ученици от маргинализирани общности, включително роми.</w:t>
            </w:r>
            <w:r>
              <w:rPr>
                <w:rFonts w:ascii="Times New Roman" w:eastAsia="Calibri" w:hAnsi="Times New Roman" w:cs="Times New Roman"/>
                <w:b/>
                <w:bCs/>
                <w:sz w:val="23"/>
                <w:szCs w:val="23"/>
                <w:shd w:val="clear" w:color="auto" w:fill="FFFFFF"/>
                <w:lang w:eastAsia="en-US"/>
              </w:rPr>
              <w:t>Основната целна операция</w:t>
            </w:r>
            <w:r>
              <w:rPr>
                <w:rFonts w:ascii="Times New Roman" w:eastAsia="Calibri" w:hAnsi="Times New Roman" w:cs="Times New Roman"/>
                <w:bCs/>
                <w:sz w:val="23"/>
                <w:szCs w:val="23"/>
                <w:shd w:val="clear" w:color="auto" w:fill="FFFFFF"/>
                <w:lang w:eastAsia="en-US"/>
              </w:rPr>
              <w:t xml:space="preserve"> „Осигуряване на достъп до качествено образование в малките населени места и в трудно достъпните райони“ е: подкрепа за социално включване на деца и ученици от маргинализираните групи чрез подобряване на достъпа им до качествено образование.</w:t>
            </w:r>
          </w:p>
          <w:p w:rsidR="009329C9" w:rsidRDefault="00B5212B">
            <w:pPr>
              <w:tabs>
                <w:tab w:val="left" w:pos="313"/>
              </w:tabs>
              <w:spacing w:after="0" w:line="240" w:lineRule="auto"/>
              <w:ind w:left="20" w:right="20"/>
              <w:jc w:val="both"/>
              <w:rPr>
                <w:rFonts w:ascii="Times New Roman" w:eastAsia="Calibri" w:hAnsi="Times New Roman" w:cs="Times New Roman"/>
                <w:bCs/>
                <w:sz w:val="23"/>
                <w:szCs w:val="23"/>
                <w:lang w:eastAsia="en-US"/>
              </w:rPr>
            </w:pPr>
            <w:r>
              <w:rPr>
                <w:rFonts w:ascii="Times New Roman" w:eastAsia="Calibri" w:hAnsi="Times New Roman" w:cs="Times New Roman"/>
                <w:b/>
                <w:bCs/>
                <w:sz w:val="23"/>
                <w:szCs w:val="23"/>
                <w:lang w:eastAsia="en-US"/>
              </w:rPr>
              <w:t xml:space="preserve">Специфични цели на операцията са: </w:t>
            </w:r>
            <w:r>
              <w:rPr>
                <w:rFonts w:ascii="Times New Roman" w:eastAsia="Calibri" w:hAnsi="Times New Roman" w:cs="Times New Roman"/>
                <w:bCs/>
                <w:sz w:val="23"/>
                <w:szCs w:val="23"/>
                <w:lang w:eastAsia="en-US"/>
              </w:rPr>
              <w:t>а) повишаване на качеството на предучилищното и училищното образование, вкл. професионалното образование, в малките населени места; б) подобряване на достъпа до предучилищното и училищното образование, вкл. професионалното образование, в малките населени места; в) намаляване броя на необхванатите от образователната система, на отпадащите от училище и на преждевременно напусналите училище.</w:t>
            </w:r>
          </w:p>
          <w:p w:rsidR="009329C9" w:rsidRDefault="00B5212B">
            <w:pPr>
              <w:tabs>
                <w:tab w:val="left" w:pos="313"/>
              </w:tabs>
              <w:spacing w:after="0" w:line="240" w:lineRule="auto"/>
              <w:ind w:left="20" w:right="20"/>
              <w:jc w:val="both"/>
              <w:rPr>
                <w:rFonts w:ascii="Times New Roman" w:eastAsia="Calibri" w:hAnsi="Times New Roman" w:cs="Times New Roman"/>
                <w:bCs/>
                <w:sz w:val="23"/>
                <w:szCs w:val="23"/>
                <w:lang w:eastAsia="en-US"/>
              </w:rPr>
            </w:pPr>
            <w:r>
              <w:rPr>
                <w:rFonts w:ascii="Times New Roman" w:eastAsia="Calibri" w:hAnsi="Times New Roman" w:cs="Times New Roman"/>
                <w:b/>
                <w:bCs/>
                <w:sz w:val="23"/>
                <w:szCs w:val="23"/>
                <w:lang w:eastAsia="en-US"/>
              </w:rPr>
              <w:t>Допустими целеви групи:</w:t>
            </w:r>
            <w:r>
              <w:rPr>
                <w:rFonts w:ascii="Times New Roman" w:eastAsia="Calibri" w:hAnsi="Times New Roman" w:cs="Times New Roman"/>
                <w:bCs/>
                <w:sz w:val="23"/>
                <w:szCs w:val="23"/>
                <w:lang w:eastAsia="en-US"/>
              </w:rPr>
              <w:t>-Деца и ученици от маргинализирани групи, вкл. роми; - Родители/настойници от маргинализираните групи, вкл. роми. С цел постигане на интеграционен ефект от проектните дейности, са допустими разходи за деца и техните родители/настойници, които не са представители на маргинализираните групи.</w:t>
            </w:r>
          </w:p>
          <w:p w:rsidR="009329C9" w:rsidRDefault="00B5212B">
            <w:pPr>
              <w:tabs>
                <w:tab w:val="left" w:pos="313"/>
              </w:tabs>
              <w:spacing w:after="0" w:line="240" w:lineRule="auto"/>
              <w:ind w:left="20" w:right="20"/>
              <w:jc w:val="both"/>
              <w:rPr>
                <w:rFonts w:ascii="Times New Roman" w:eastAsia="Calibri" w:hAnsi="Times New Roman" w:cs="Times New Roman"/>
                <w:bCs/>
                <w:sz w:val="23"/>
                <w:szCs w:val="23"/>
                <w:lang w:eastAsia="en-US"/>
              </w:rPr>
            </w:pPr>
            <w:r>
              <w:rPr>
                <w:rFonts w:ascii="Times New Roman" w:eastAsia="Calibri" w:hAnsi="Times New Roman" w:cs="Times New Roman"/>
                <w:b/>
                <w:bCs/>
                <w:sz w:val="23"/>
                <w:szCs w:val="23"/>
                <w:lang w:eastAsia="en-US"/>
              </w:rPr>
              <w:t>Съответствие с идентифицираните проблеми на територията:</w:t>
            </w:r>
            <w:r>
              <w:rPr>
                <w:rFonts w:ascii="Times New Roman" w:eastAsia="Calibri" w:hAnsi="Times New Roman" w:cs="Times New Roman"/>
                <w:bCs/>
                <w:sz w:val="23"/>
                <w:szCs w:val="23"/>
                <w:lang w:eastAsia="en-US"/>
              </w:rPr>
              <w:t xml:space="preserve">В образователната система на територията на МИГ „Свиленград Ареал“ са създадени практически условия за реализиране на изискването за социално включване на </w:t>
            </w:r>
            <w:r>
              <w:rPr>
                <w:rFonts w:ascii="Times New Roman" w:eastAsia="Calibri" w:hAnsi="Times New Roman" w:cs="Times New Roman"/>
                <w:b/>
                <w:bCs/>
                <w:sz w:val="23"/>
                <w:szCs w:val="23"/>
                <w:lang w:eastAsia="en-US"/>
              </w:rPr>
              <w:t>децата и учениците от малцинствените етнически групи.</w:t>
            </w:r>
            <w:r>
              <w:rPr>
                <w:rFonts w:ascii="Times New Roman" w:eastAsia="Calibri" w:hAnsi="Times New Roman" w:cs="Times New Roman"/>
                <w:bCs/>
                <w:sz w:val="23"/>
                <w:szCs w:val="23"/>
                <w:lang w:eastAsia="en-US"/>
              </w:rPr>
              <w:t xml:space="preserve">Въпреки това, продължава тенденцията на ежегодно отпадане на младежите от училище, без завършен 8-ми клас. Преобладаващата част отново са от </w:t>
            </w:r>
            <w:r>
              <w:rPr>
                <w:rFonts w:ascii="Times New Roman" w:eastAsia="Calibri" w:hAnsi="Times New Roman" w:cs="Times New Roman"/>
                <w:bCs/>
                <w:sz w:val="23"/>
                <w:szCs w:val="23"/>
                <w:lang w:eastAsia="en-US"/>
              </w:rPr>
              <w:lastRenderedPageBreak/>
              <w:t>ромски произход, най-вече в основното училище в селата. Това предопределя по-ниския образователен и квалификационен статус на цялата общност. Относителният дял на неграмотните лица (неумението да се чете или пише) е 1.5 %, като основна част от това население е от ромски произход. В ромската етническа група няма представител със завършено висше образование, едва 3,1% са със завършено средно, 53,8% са с начално и незавършено начално, 11% никога не са посещавали училище. За преодоляване на проблема на общинско ниво действат редица програми и мерки, които ще действат комплексно заедно с мерките на ОП НОИР.</w:t>
            </w:r>
          </w:p>
          <w:p w:rsidR="009329C9" w:rsidRDefault="00B5212B">
            <w:pPr>
              <w:tabs>
                <w:tab w:val="left" w:pos="313"/>
              </w:tabs>
              <w:spacing w:after="0" w:line="240" w:lineRule="auto"/>
              <w:ind w:left="20" w:right="20"/>
              <w:jc w:val="both"/>
              <w:rPr>
                <w:rFonts w:ascii="Times New Roman" w:eastAsia="Calibri" w:hAnsi="Times New Roman" w:cs="Times New Roman"/>
                <w:b/>
                <w:bCs/>
                <w:sz w:val="23"/>
                <w:szCs w:val="23"/>
                <w:lang w:eastAsia="en-US"/>
              </w:rPr>
            </w:pPr>
            <w:r>
              <w:rPr>
                <w:rFonts w:ascii="Times New Roman" w:eastAsia="Calibri" w:hAnsi="Times New Roman" w:cs="Times New Roman"/>
                <w:b/>
                <w:bCs/>
                <w:sz w:val="23"/>
                <w:szCs w:val="23"/>
                <w:lang w:eastAsia="en-US"/>
              </w:rPr>
              <w:t>Очакваният принос</w:t>
            </w:r>
            <w:r>
              <w:rPr>
                <w:rFonts w:ascii="Times New Roman" w:eastAsia="Calibri" w:hAnsi="Times New Roman" w:cs="Times New Roman"/>
                <w:bCs/>
                <w:sz w:val="23"/>
                <w:szCs w:val="23"/>
                <w:lang w:eastAsia="en-US"/>
              </w:rPr>
              <w:t>от прилагане на мерките на ОП НОИР на територията на МИГ  е осигуряване на условия за ранното интегриране в образователната система на деца и ученици отромската общност, осигуряване на условия за достъп до качествено образование, подобряване на материалните условия, условия за намаляване броя на обособените по етнически признак детски градини и училища, условия за увеличаване броя на интегрираните ученици, запазване и развитие на културната идентичност и осигуряване на среда за преодоляване на негативни обществени нагласи</w:t>
            </w:r>
          </w:p>
        </w:tc>
      </w:tr>
      <w:tr w:rsidR="009329C9">
        <w:trPr>
          <w:trHeight w:val="837"/>
        </w:trPr>
        <w:tc>
          <w:tcPr>
            <w:tcW w:w="1418" w:type="dxa"/>
            <w:shd w:val="clear" w:color="auto" w:fill="BFBFBF" w:themeFill="background1" w:themeFillShade="BF"/>
          </w:tcPr>
          <w:p w:rsidR="009329C9" w:rsidRDefault="00B5212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lastRenderedPageBreak/>
              <w:t>Допустими получатели</w:t>
            </w:r>
          </w:p>
        </w:tc>
        <w:tc>
          <w:tcPr>
            <w:tcW w:w="9199" w:type="dxa"/>
          </w:tcPr>
          <w:p w:rsidR="009329C9" w:rsidRDefault="00B5212B">
            <w:pPr>
              <w:spacing w:after="0" w:line="240" w:lineRule="auto"/>
              <w:ind w:right="20"/>
              <w:jc w:val="both"/>
              <w:rPr>
                <w:rFonts w:ascii="Times New Roman" w:eastAsia="Calibri" w:hAnsi="Times New Roman" w:cs="Times New Roman"/>
                <w:sz w:val="23"/>
                <w:szCs w:val="23"/>
                <w:lang w:eastAsia="en-US"/>
              </w:rPr>
            </w:pPr>
            <w:r>
              <w:rPr>
                <w:rFonts w:ascii="Times New Roman" w:eastAsia="Calibri" w:hAnsi="Times New Roman" w:cs="Times New Roman"/>
                <w:b/>
                <w:bCs/>
                <w:sz w:val="23"/>
                <w:szCs w:val="23"/>
                <w:shd w:val="clear" w:color="auto" w:fill="FFFFFF"/>
                <w:lang w:eastAsia="en-US"/>
              </w:rPr>
              <w:t>Допустимите получатели</w:t>
            </w:r>
            <w:r>
              <w:rPr>
                <w:rFonts w:ascii="Times New Roman" w:eastAsia="Calibri" w:hAnsi="Times New Roman" w:cs="Times New Roman"/>
                <w:sz w:val="23"/>
                <w:szCs w:val="23"/>
                <w:lang w:eastAsia="en-US"/>
              </w:rPr>
              <w:t xml:space="preserve"> са: Общини; Детски градини; Училища;</w:t>
            </w:r>
            <w:bookmarkStart w:id="33" w:name="bookmark15"/>
          </w:p>
          <w:p w:rsidR="009329C9" w:rsidRDefault="00B5212B">
            <w:pPr>
              <w:spacing w:after="0" w:line="240" w:lineRule="auto"/>
              <w:ind w:right="20"/>
              <w:jc w:val="both"/>
              <w:rPr>
                <w:rFonts w:ascii="Times New Roman" w:eastAsia="Calibri" w:hAnsi="Times New Roman" w:cs="Times New Roman"/>
                <w:bCs/>
                <w:sz w:val="23"/>
                <w:szCs w:val="23"/>
                <w:lang w:eastAsia="en-US"/>
              </w:rPr>
            </w:pPr>
            <w:r>
              <w:rPr>
                <w:rFonts w:ascii="Times New Roman" w:eastAsia="Calibri" w:hAnsi="Times New Roman" w:cs="Times New Roman"/>
                <w:b/>
                <w:bCs/>
                <w:sz w:val="23"/>
                <w:szCs w:val="23"/>
                <w:lang w:eastAsia="en-US"/>
              </w:rPr>
              <w:t>Допустими партньори</w:t>
            </w:r>
            <w:r>
              <w:rPr>
                <w:rFonts w:ascii="Times New Roman" w:eastAsia="Calibri" w:hAnsi="Times New Roman" w:cs="Times New Roman"/>
                <w:sz w:val="23"/>
                <w:szCs w:val="23"/>
                <w:shd w:val="clear" w:color="auto" w:fill="FFFFFF"/>
                <w:lang w:eastAsia="en-US"/>
              </w:rPr>
              <w:t>:</w:t>
            </w:r>
            <w:bookmarkEnd w:id="33"/>
            <w:r>
              <w:rPr>
                <w:rFonts w:ascii="Times New Roman" w:eastAsia="Calibri" w:hAnsi="Times New Roman" w:cs="Times New Roman"/>
                <w:bCs/>
                <w:sz w:val="23"/>
                <w:szCs w:val="23"/>
                <w:lang w:eastAsia="en-US"/>
              </w:rPr>
              <w:t>Общини; Детски градини; Училища; Юридически лица с нестопанска цел (ЮЛНЦ) в обществена полза, съгласно ЗЮЛНЦ.</w:t>
            </w:r>
          </w:p>
          <w:p w:rsidR="009329C9" w:rsidRDefault="00B5212B">
            <w:pPr>
              <w:spacing w:after="0" w:line="240" w:lineRule="auto"/>
              <w:ind w:right="20"/>
              <w:jc w:val="both"/>
              <w:rPr>
                <w:rFonts w:ascii="Times New Roman" w:eastAsia="Calibri" w:hAnsi="Times New Roman" w:cs="Times New Roman"/>
                <w:sz w:val="23"/>
                <w:szCs w:val="23"/>
                <w:lang w:eastAsia="en-US"/>
              </w:rPr>
            </w:pPr>
            <w:r>
              <w:rPr>
                <w:rFonts w:ascii="Times New Roman" w:eastAsia="Times New Roman" w:hAnsi="Times New Roman" w:cs="Times New Roman"/>
                <w:sz w:val="24"/>
                <w:szCs w:val="24"/>
                <w:lang w:eastAsia="en-US"/>
              </w:rPr>
              <w:t>Допустими са само кандидати със седалище и постоянен адрес или адрес на управление  на територията на МИГ „Свиленград Ареал“.</w:t>
            </w:r>
          </w:p>
        </w:tc>
      </w:tr>
      <w:tr w:rsidR="009329C9">
        <w:trPr>
          <w:trHeight w:val="269"/>
        </w:trPr>
        <w:tc>
          <w:tcPr>
            <w:tcW w:w="1418" w:type="dxa"/>
            <w:shd w:val="clear" w:color="auto" w:fill="BFBFBF" w:themeFill="background1" w:themeFillShade="BF"/>
          </w:tcPr>
          <w:p w:rsidR="009329C9" w:rsidRDefault="00B5212B">
            <w:pPr>
              <w:spacing w:after="0" w:line="240" w:lineRule="auto"/>
              <w:jc w:val="center"/>
              <w:rPr>
                <w:rFonts w:ascii="Times New Roman" w:eastAsia="Calibri" w:hAnsi="Times New Roman" w:cs="Times New Roman"/>
                <w:b/>
                <w:sz w:val="23"/>
                <w:szCs w:val="23"/>
                <w:lang w:eastAsia="en-US"/>
              </w:rPr>
            </w:pPr>
            <w:r>
              <w:rPr>
                <w:rFonts w:ascii="Times New Roman" w:eastAsia="Calibri" w:hAnsi="Times New Roman" w:cs="Times New Roman"/>
                <w:b/>
                <w:sz w:val="23"/>
                <w:szCs w:val="23"/>
                <w:lang w:eastAsia="en-US"/>
              </w:rPr>
              <w:t>Допустими дейности</w:t>
            </w:r>
          </w:p>
        </w:tc>
        <w:tc>
          <w:tcPr>
            <w:tcW w:w="9199" w:type="dxa"/>
          </w:tcPr>
          <w:p w:rsidR="009329C9" w:rsidRDefault="00B5212B">
            <w:pPr>
              <w:tabs>
                <w:tab w:val="left" w:pos="317"/>
              </w:tabs>
              <w:spacing w:after="0" w:line="240" w:lineRule="auto"/>
              <w:ind w:right="20"/>
              <w:jc w:val="both"/>
              <w:rPr>
                <w:rFonts w:ascii="Times New Roman" w:eastAsia="Calibri" w:hAnsi="Times New Roman" w:cs="Times New Roman"/>
                <w:sz w:val="23"/>
                <w:szCs w:val="23"/>
                <w:lang w:eastAsia="en-US"/>
              </w:rPr>
            </w:pPr>
            <w:r>
              <w:rPr>
                <w:rFonts w:ascii="Times New Roman" w:eastAsia="Calibri" w:hAnsi="Times New Roman" w:cs="Times New Roman"/>
                <w:b/>
                <w:sz w:val="23"/>
                <w:szCs w:val="23"/>
                <w:lang w:eastAsia="en-US"/>
              </w:rPr>
              <w:t>1.Дейности за подобряване на достъпа и повишаване на обхвата на децата от маргинализирани групи в системата на предучилищното образование</w:t>
            </w:r>
            <w:r>
              <w:rPr>
                <w:rFonts w:ascii="Times New Roman" w:eastAsia="Calibri" w:hAnsi="Times New Roman" w:cs="Times New Roman"/>
                <w:sz w:val="23"/>
                <w:szCs w:val="23"/>
                <w:lang w:eastAsia="en-US"/>
              </w:rPr>
              <w:t xml:space="preserve"> (детски градини и училища, в които има подготвителни групи): -</w:t>
            </w:r>
            <w:r>
              <w:rPr>
                <w:rFonts w:ascii="Times New Roman" w:eastAsia="Calibri" w:hAnsi="Times New Roman" w:cs="Times New Roman"/>
                <w:sz w:val="23"/>
                <w:szCs w:val="23"/>
                <w:u w:val="single"/>
                <w:lang w:eastAsia="en-US"/>
              </w:rPr>
              <w:t>привличане и включване</w:t>
            </w:r>
            <w:r>
              <w:rPr>
                <w:rFonts w:ascii="Times New Roman" w:eastAsia="Calibri" w:hAnsi="Times New Roman" w:cs="Times New Roman"/>
                <w:sz w:val="23"/>
                <w:szCs w:val="23"/>
                <w:lang w:eastAsia="en-US"/>
              </w:rPr>
              <w:t xml:space="preserve"> на допълнителни педагогически специалисти и помощник-учители за работа с деца от тези групи; -</w:t>
            </w:r>
            <w:r>
              <w:rPr>
                <w:rFonts w:ascii="Times New Roman" w:eastAsia="Calibri" w:hAnsi="Times New Roman" w:cs="Times New Roman"/>
                <w:sz w:val="23"/>
                <w:szCs w:val="23"/>
                <w:u w:val="single"/>
                <w:lang w:eastAsia="en-US"/>
              </w:rPr>
              <w:t>допълнително обучение</w:t>
            </w:r>
            <w:r>
              <w:rPr>
                <w:rFonts w:ascii="Times New Roman" w:eastAsia="Calibri" w:hAnsi="Times New Roman" w:cs="Times New Roman"/>
                <w:sz w:val="23"/>
                <w:szCs w:val="23"/>
                <w:lang w:eastAsia="en-US"/>
              </w:rPr>
              <w:t xml:space="preserve"> по български език за деца, за които българският език не е майчин; -</w:t>
            </w:r>
            <w:r>
              <w:rPr>
                <w:rFonts w:ascii="Times New Roman" w:eastAsia="Calibri" w:hAnsi="Times New Roman" w:cs="Times New Roman"/>
                <w:sz w:val="23"/>
                <w:szCs w:val="23"/>
                <w:u w:val="single"/>
                <w:lang w:eastAsia="en-US"/>
              </w:rPr>
              <w:t>взаимодействие с родители</w:t>
            </w:r>
            <w:r>
              <w:rPr>
                <w:rFonts w:ascii="Times New Roman" w:eastAsia="Calibri" w:hAnsi="Times New Roman" w:cs="Times New Roman"/>
                <w:sz w:val="23"/>
                <w:szCs w:val="23"/>
                <w:lang w:eastAsia="en-US"/>
              </w:rPr>
              <w:t>; -</w:t>
            </w:r>
            <w:r>
              <w:rPr>
                <w:rFonts w:ascii="Times New Roman" w:eastAsia="Calibri" w:hAnsi="Times New Roman" w:cs="Times New Roman"/>
                <w:sz w:val="23"/>
                <w:szCs w:val="23"/>
                <w:u w:val="single"/>
                <w:lang w:eastAsia="en-US"/>
              </w:rPr>
              <w:t>допълнителна работа</w:t>
            </w:r>
            <w:r>
              <w:rPr>
                <w:rFonts w:ascii="Times New Roman" w:eastAsia="Calibri" w:hAnsi="Times New Roman" w:cs="Times New Roman"/>
                <w:sz w:val="23"/>
                <w:szCs w:val="23"/>
                <w:lang w:eastAsia="en-US"/>
              </w:rPr>
              <w:t xml:space="preserve"> на педагогическите специалисти с деца от маргинализирани групи (вкл. работа през летните месеци); -</w:t>
            </w:r>
            <w:r>
              <w:rPr>
                <w:rFonts w:ascii="Times New Roman" w:eastAsia="Calibri" w:hAnsi="Times New Roman" w:cs="Times New Roman"/>
                <w:sz w:val="23"/>
                <w:szCs w:val="23"/>
                <w:u w:val="single"/>
                <w:lang w:eastAsia="en-US"/>
              </w:rPr>
              <w:t>подобряване на материално-битовите условия</w:t>
            </w:r>
            <w:r>
              <w:rPr>
                <w:rFonts w:ascii="Times New Roman" w:eastAsia="Calibri" w:hAnsi="Times New Roman" w:cs="Times New Roman"/>
                <w:sz w:val="23"/>
                <w:szCs w:val="23"/>
                <w:lang w:eastAsia="en-US"/>
              </w:rPr>
              <w:t xml:space="preserve"> в образователните институции, вкл. съвременно ИКТ оборудване и електронни образователни продукти; - </w:t>
            </w:r>
            <w:r>
              <w:rPr>
                <w:rFonts w:ascii="Times New Roman" w:eastAsia="Calibri" w:hAnsi="Times New Roman" w:cs="Times New Roman"/>
                <w:sz w:val="23"/>
                <w:szCs w:val="23"/>
                <w:u w:val="single"/>
                <w:lang w:eastAsia="en-US"/>
              </w:rPr>
              <w:t>осигуряване на транспорт и хранене</w:t>
            </w:r>
            <w:r>
              <w:rPr>
                <w:rFonts w:ascii="Times New Roman" w:eastAsia="Calibri" w:hAnsi="Times New Roman" w:cs="Times New Roman"/>
                <w:sz w:val="23"/>
                <w:szCs w:val="23"/>
                <w:lang w:eastAsia="en-US"/>
              </w:rPr>
              <w:t>, когато това не се финансира от държавния или общинския бюджет; -</w:t>
            </w:r>
            <w:r>
              <w:rPr>
                <w:rFonts w:ascii="Times New Roman" w:eastAsia="Calibri" w:hAnsi="Times New Roman" w:cs="Times New Roman"/>
                <w:sz w:val="23"/>
                <w:szCs w:val="23"/>
                <w:u w:val="single"/>
                <w:lang w:eastAsia="en-US"/>
              </w:rPr>
              <w:t>други дейности</w:t>
            </w:r>
            <w:r>
              <w:rPr>
                <w:rFonts w:ascii="Times New Roman" w:eastAsia="Calibri" w:hAnsi="Times New Roman" w:cs="Times New Roman"/>
                <w:sz w:val="23"/>
                <w:szCs w:val="23"/>
                <w:lang w:eastAsia="en-US"/>
              </w:rPr>
              <w:t>, включени в общински програми със сходен характер.</w:t>
            </w:r>
            <w:r>
              <w:rPr>
                <w:rFonts w:ascii="Times New Roman" w:eastAsia="Calibri" w:hAnsi="Times New Roman" w:cs="Times New Roman"/>
                <w:sz w:val="23"/>
                <w:szCs w:val="23"/>
                <w:lang w:eastAsia="en-US"/>
              </w:rPr>
              <w:br w:type="page"/>
            </w:r>
            <w:r>
              <w:rPr>
                <w:rFonts w:ascii="Times New Roman" w:eastAsia="Calibri" w:hAnsi="Times New Roman" w:cs="Times New Roman"/>
                <w:b/>
                <w:sz w:val="23"/>
                <w:szCs w:val="23"/>
                <w:lang w:eastAsia="en-US"/>
              </w:rPr>
              <w:t>2.Дейности за подобряване на достъпа и повишаване на мотивацията на ученици  от маргинализирани групи за включване в системата на професионалното образование:</w:t>
            </w:r>
            <w:r>
              <w:rPr>
                <w:rFonts w:ascii="Times New Roman" w:eastAsia="Calibri" w:hAnsi="Times New Roman" w:cs="Times New Roman"/>
                <w:sz w:val="23"/>
                <w:szCs w:val="23"/>
                <w:lang w:eastAsia="en-US"/>
              </w:rPr>
              <w:t>-</w:t>
            </w:r>
            <w:r>
              <w:rPr>
                <w:rFonts w:ascii="Times New Roman" w:eastAsia="Calibri" w:hAnsi="Times New Roman" w:cs="Times New Roman"/>
                <w:sz w:val="23"/>
                <w:szCs w:val="23"/>
                <w:u w:val="single"/>
                <w:lang w:eastAsia="en-US"/>
              </w:rPr>
              <w:t xml:space="preserve"> осигуряване на</w:t>
            </w:r>
            <w:r>
              <w:rPr>
                <w:rFonts w:ascii="Times New Roman" w:eastAsia="Calibri" w:hAnsi="Times New Roman" w:cs="Times New Roman"/>
                <w:sz w:val="23"/>
                <w:szCs w:val="23"/>
                <w:lang w:eastAsia="en-US"/>
              </w:rPr>
              <w:t xml:space="preserve"> ученическо общежитие;  - </w:t>
            </w:r>
            <w:r>
              <w:rPr>
                <w:rFonts w:ascii="Times New Roman" w:eastAsia="Calibri" w:hAnsi="Times New Roman" w:cs="Times New Roman"/>
                <w:sz w:val="23"/>
                <w:szCs w:val="23"/>
                <w:u w:val="single"/>
                <w:lang w:eastAsia="en-US"/>
              </w:rPr>
              <w:t>осигуряване на хранене</w:t>
            </w:r>
            <w:r>
              <w:rPr>
                <w:rFonts w:ascii="Times New Roman" w:eastAsia="Calibri" w:hAnsi="Times New Roman" w:cs="Times New Roman"/>
                <w:sz w:val="23"/>
                <w:szCs w:val="23"/>
                <w:lang w:eastAsia="en-US"/>
              </w:rPr>
              <w:t xml:space="preserve"> в професионалните гимназии; - </w:t>
            </w:r>
            <w:r>
              <w:rPr>
                <w:rFonts w:ascii="Times New Roman" w:eastAsia="Calibri" w:hAnsi="Times New Roman" w:cs="Times New Roman"/>
                <w:sz w:val="23"/>
                <w:szCs w:val="23"/>
                <w:u w:val="single"/>
                <w:lang w:eastAsia="en-US"/>
              </w:rPr>
              <w:t>осигуряване на транспорт</w:t>
            </w:r>
            <w:r>
              <w:rPr>
                <w:rFonts w:ascii="Times New Roman" w:eastAsia="Calibri" w:hAnsi="Times New Roman" w:cs="Times New Roman"/>
                <w:sz w:val="23"/>
                <w:szCs w:val="23"/>
                <w:lang w:eastAsia="en-US"/>
              </w:rPr>
              <w:t xml:space="preserve"> от местоживеене до професионалното училище и обратно; - </w:t>
            </w:r>
            <w:r>
              <w:rPr>
                <w:rFonts w:ascii="Times New Roman" w:eastAsia="Calibri" w:hAnsi="Times New Roman" w:cs="Times New Roman"/>
                <w:sz w:val="23"/>
                <w:szCs w:val="23"/>
                <w:u w:val="single"/>
                <w:lang w:eastAsia="en-US"/>
              </w:rPr>
              <w:t>закупуване на</w:t>
            </w:r>
            <w:r>
              <w:rPr>
                <w:rFonts w:ascii="Times New Roman" w:eastAsia="Calibri" w:hAnsi="Times New Roman" w:cs="Times New Roman"/>
                <w:sz w:val="23"/>
                <w:szCs w:val="23"/>
                <w:lang w:eastAsia="en-US"/>
              </w:rPr>
              <w:t xml:space="preserve"> учебници, учебни пособия и материали; - </w:t>
            </w:r>
            <w:r>
              <w:rPr>
                <w:rFonts w:ascii="Times New Roman" w:eastAsia="Calibri" w:hAnsi="Times New Roman" w:cs="Times New Roman"/>
                <w:sz w:val="23"/>
                <w:szCs w:val="23"/>
                <w:u w:val="single"/>
                <w:lang w:eastAsia="en-US"/>
              </w:rPr>
              <w:t>допълнително обучение</w:t>
            </w:r>
            <w:r>
              <w:rPr>
                <w:rFonts w:ascii="Times New Roman" w:eastAsia="Calibri" w:hAnsi="Times New Roman" w:cs="Times New Roman"/>
                <w:sz w:val="23"/>
                <w:szCs w:val="23"/>
                <w:lang w:eastAsia="en-US"/>
              </w:rPr>
              <w:t xml:space="preserve"> за ученици с образователни затруднения; - </w:t>
            </w:r>
            <w:r>
              <w:rPr>
                <w:rFonts w:ascii="Times New Roman" w:eastAsia="Calibri" w:hAnsi="Times New Roman" w:cs="Times New Roman"/>
                <w:sz w:val="23"/>
                <w:szCs w:val="23"/>
                <w:u w:val="single"/>
                <w:lang w:eastAsia="en-US"/>
              </w:rPr>
              <w:t>подобряване на материално-битовите условия</w:t>
            </w:r>
            <w:r>
              <w:rPr>
                <w:rFonts w:ascii="Times New Roman" w:eastAsia="Calibri" w:hAnsi="Times New Roman" w:cs="Times New Roman"/>
                <w:sz w:val="23"/>
                <w:szCs w:val="23"/>
                <w:lang w:eastAsia="en-US"/>
              </w:rPr>
              <w:t xml:space="preserve"> в професионалните гимназии и ученическите общежития, в които са настанени деца учащи в професионални гимназии, вкл. закупуване на съвременна ИКТ и оборудване за провеждане на практическо обучение; </w:t>
            </w:r>
            <w:r>
              <w:rPr>
                <w:rFonts w:ascii="Times New Roman" w:eastAsia="Calibri" w:hAnsi="Times New Roman" w:cs="Times New Roman"/>
                <w:sz w:val="23"/>
                <w:szCs w:val="23"/>
                <w:u w:val="single"/>
                <w:lang w:eastAsia="en-US"/>
              </w:rPr>
              <w:t>- допълнителна работа</w:t>
            </w:r>
            <w:r>
              <w:rPr>
                <w:rFonts w:ascii="Times New Roman" w:eastAsia="Calibri" w:hAnsi="Times New Roman" w:cs="Times New Roman"/>
                <w:sz w:val="23"/>
                <w:szCs w:val="23"/>
                <w:lang w:eastAsia="en-US"/>
              </w:rPr>
              <w:t xml:space="preserve"> на педагогическите специалисти с ученици от маргинализирани групи (вкл. през лятото); - </w:t>
            </w:r>
            <w:r>
              <w:rPr>
                <w:rFonts w:ascii="Times New Roman" w:eastAsia="Calibri" w:hAnsi="Times New Roman" w:cs="Times New Roman"/>
                <w:sz w:val="23"/>
                <w:szCs w:val="23"/>
                <w:u w:val="single"/>
                <w:lang w:eastAsia="en-US"/>
              </w:rPr>
              <w:t>провеждане на информационни кампании</w:t>
            </w:r>
            <w:r>
              <w:rPr>
                <w:rFonts w:ascii="Times New Roman" w:eastAsia="Calibri" w:hAnsi="Times New Roman" w:cs="Times New Roman"/>
                <w:sz w:val="23"/>
                <w:szCs w:val="23"/>
                <w:lang w:eastAsia="en-US"/>
              </w:rPr>
              <w:t xml:space="preserve"> за включване в системата на професионалното образование сред родителите и децата от маргинализирани групи.</w:t>
            </w:r>
            <w:r>
              <w:rPr>
                <w:rFonts w:ascii="Times New Roman" w:eastAsia="Calibri" w:hAnsi="Times New Roman" w:cs="Times New Roman"/>
                <w:b/>
                <w:sz w:val="23"/>
                <w:szCs w:val="23"/>
                <w:lang w:eastAsia="en-US"/>
              </w:rPr>
              <w:t>3. Дейности за подобряване на достъпа до училищно образование и намаляване на процента на учениците от маргинализирани групи, преждевременно напуснали системата:</w:t>
            </w:r>
            <w:r>
              <w:rPr>
                <w:rFonts w:ascii="Times New Roman" w:eastAsia="Calibri" w:hAnsi="Times New Roman" w:cs="Times New Roman"/>
                <w:sz w:val="23"/>
                <w:szCs w:val="23"/>
                <w:u w:val="single"/>
                <w:lang w:eastAsia="en-US"/>
              </w:rPr>
              <w:t>- допълнително обучение</w:t>
            </w:r>
            <w:r>
              <w:rPr>
                <w:rFonts w:ascii="Times New Roman" w:eastAsia="Calibri" w:hAnsi="Times New Roman" w:cs="Times New Roman"/>
                <w:sz w:val="23"/>
                <w:szCs w:val="23"/>
                <w:lang w:eastAsia="en-US"/>
              </w:rPr>
              <w:t xml:space="preserve"> за преодоляване на образователни трудности; -</w:t>
            </w:r>
            <w:r>
              <w:rPr>
                <w:rFonts w:ascii="Times New Roman" w:eastAsia="Calibri" w:hAnsi="Times New Roman" w:cs="Times New Roman"/>
                <w:sz w:val="23"/>
                <w:szCs w:val="23"/>
                <w:u w:val="single"/>
                <w:lang w:eastAsia="en-US"/>
              </w:rPr>
              <w:t>привличане и включване</w:t>
            </w:r>
            <w:r>
              <w:rPr>
                <w:rFonts w:ascii="Times New Roman" w:eastAsia="Calibri" w:hAnsi="Times New Roman" w:cs="Times New Roman"/>
                <w:sz w:val="23"/>
                <w:szCs w:val="23"/>
                <w:lang w:eastAsia="en-US"/>
              </w:rPr>
              <w:t xml:space="preserve"> на допълнителни педагогически специалисти и помощник-учители за работа с ученици от тези групи; -</w:t>
            </w:r>
            <w:r>
              <w:rPr>
                <w:rFonts w:ascii="Times New Roman" w:eastAsia="Calibri" w:hAnsi="Times New Roman" w:cs="Times New Roman"/>
                <w:sz w:val="23"/>
                <w:szCs w:val="23"/>
                <w:u w:val="single"/>
                <w:lang w:eastAsia="en-US"/>
              </w:rPr>
              <w:t>взаимодействие с родители</w:t>
            </w:r>
            <w:r>
              <w:rPr>
                <w:rFonts w:ascii="Times New Roman" w:eastAsia="Calibri" w:hAnsi="Times New Roman" w:cs="Times New Roman"/>
                <w:sz w:val="23"/>
                <w:szCs w:val="23"/>
                <w:lang w:eastAsia="en-US"/>
              </w:rPr>
              <w:t xml:space="preserve">; </w:t>
            </w:r>
            <w:r>
              <w:rPr>
                <w:rFonts w:ascii="Times New Roman" w:eastAsia="Calibri" w:hAnsi="Times New Roman" w:cs="Times New Roman"/>
                <w:sz w:val="23"/>
                <w:szCs w:val="23"/>
                <w:u w:val="single"/>
                <w:lang w:eastAsia="en-US"/>
              </w:rPr>
              <w:t>-допълнителна работа</w:t>
            </w:r>
            <w:r>
              <w:rPr>
                <w:rFonts w:ascii="Times New Roman" w:eastAsia="Calibri" w:hAnsi="Times New Roman" w:cs="Times New Roman"/>
                <w:sz w:val="23"/>
                <w:szCs w:val="23"/>
                <w:lang w:eastAsia="en-US"/>
              </w:rPr>
              <w:t xml:space="preserve"> на педагогическите специалисти с ученици от маргинализираните групи (вкл. за обхващането им в системата на образованието и за предотвратяване на преждевременното им напускане); -</w:t>
            </w:r>
            <w:r>
              <w:rPr>
                <w:rFonts w:ascii="Times New Roman" w:eastAsia="Calibri" w:hAnsi="Times New Roman" w:cs="Times New Roman"/>
                <w:sz w:val="23"/>
                <w:szCs w:val="23"/>
                <w:u w:val="single"/>
                <w:lang w:eastAsia="en-US"/>
              </w:rPr>
              <w:t>хранене в училищата</w:t>
            </w:r>
            <w:r>
              <w:rPr>
                <w:rFonts w:ascii="Times New Roman" w:eastAsia="Calibri" w:hAnsi="Times New Roman" w:cs="Times New Roman"/>
                <w:sz w:val="23"/>
                <w:szCs w:val="23"/>
                <w:lang w:eastAsia="en-US"/>
              </w:rPr>
              <w:t xml:space="preserve">, </w:t>
            </w:r>
            <w:r>
              <w:rPr>
                <w:rFonts w:ascii="Times New Roman" w:eastAsia="Calibri" w:hAnsi="Times New Roman" w:cs="Times New Roman"/>
                <w:sz w:val="23"/>
                <w:szCs w:val="23"/>
                <w:u w:val="single"/>
                <w:lang w:eastAsia="en-US"/>
              </w:rPr>
              <w:t xml:space="preserve">- закупуване на </w:t>
            </w:r>
            <w:r>
              <w:rPr>
                <w:rFonts w:ascii="Times New Roman" w:eastAsia="Calibri" w:hAnsi="Times New Roman" w:cs="Times New Roman"/>
                <w:sz w:val="23"/>
                <w:szCs w:val="23"/>
                <w:lang w:eastAsia="en-US"/>
              </w:rPr>
              <w:t xml:space="preserve">учебни материали и пособия; - </w:t>
            </w:r>
            <w:r>
              <w:rPr>
                <w:rFonts w:ascii="Times New Roman" w:eastAsia="Calibri" w:hAnsi="Times New Roman" w:cs="Times New Roman"/>
                <w:sz w:val="23"/>
                <w:szCs w:val="23"/>
                <w:u w:val="single"/>
                <w:lang w:eastAsia="en-US"/>
              </w:rPr>
              <w:t xml:space="preserve">подобряване на материално-битовите условия </w:t>
            </w:r>
            <w:r>
              <w:rPr>
                <w:rFonts w:ascii="Times New Roman" w:eastAsia="Calibri" w:hAnsi="Times New Roman" w:cs="Times New Roman"/>
                <w:sz w:val="23"/>
                <w:szCs w:val="23"/>
                <w:lang w:eastAsia="en-US"/>
              </w:rPr>
              <w:t xml:space="preserve">в училищата, включително закупуване на ИКТ; </w:t>
            </w:r>
            <w:r>
              <w:rPr>
                <w:rFonts w:ascii="Times New Roman" w:eastAsia="Calibri" w:hAnsi="Times New Roman" w:cs="Times New Roman"/>
                <w:sz w:val="23"/>
                <w:szCs w:val="23"/>
                <w:u w:val="single"/>
                <w:lang w:eastAsia="en-US"/>
              </w:rPr>
              <w:t>- други дейности</w:t>
            </w:r>
            <w:r>
              <w:rPr>
                <w:rFonts w:ascii="Times New Roman" w:eastAsia="Calibri" w:hAnsi="Times New Roman" w:cs="Times New Roman"/>
                <w:sz w:val="23"/>
                <w:szCs w:val="23"/>
                <w:lang w:eastAsia="en-US"/>
              </w:rPr>
              <w:t>, включени в общински програми със сходен характер.</w:t>
            </w:r>
            <w:r>
              <w:rPr>
                <w:rFonts w:ascii="Times New Roman" w:eastAsia="Calibri" w:hAnsi="Times New Roman" w:cs="Times New Roman"/>
                <w:b/>
                <w:sz w:val="23"/>
                <w:szCs w:val="23"/>
                <w:lang w:eastAsia="en-US"/>
              </w:rPr>
              <w:t>4.Насърчаване общуването и съвместните изяви между деца/ученици от маргинализирани и не маргинализирани групи,</w:t>
            </w:r>
            <w:r>
              <w:rPr>
                <w:rFonts w:ascii="Times New Roman" w:eastAsia="Calibri" w:hAnsi="Times New Roman" w:cs="Times New Roman"/>
                <w:sz w:val="23"/>
                <w:szCs w:val="23"/>
                <w:lang w:eastAsia="en-US"/>
              </w:rPr>
              <w:t xml:space="preserve"> обучаващи се в различни образователни институции на територията на населеното място </w:t>
            </w:r>
            <w:r>
              <w:rPr>
                <w:rFonts w:ascii="Times New Roman" w:eastAsia="Calibri" w:hAnsi="Times New Roman" w:cs="Times New Roman"/>
                <w:sz w:val="23"/>
                <w:szCs w:val="23"/>
                <w:lang w:eastAsia="en-US"/>
              </w:rPr>
              <w:lastRenderedPageBreak/>
              <w:t xml:space="preserve">чрез допълнителни образователни услуги (вкл. през летните месеци). </w:t>
            </w:r>
          </w:p>
        </w:tc>
      </w:tr>
      <w:tr w:rsidR="009329C9">
        <w:trPr>
          <w:trHeight w:val="838"/>
        </w:trPr>
        <w:tc>
          <w:tcPr>
            <w:tcW w:w="1418" w:type="dxa"/>
            <w:shd w:val="clear" w:color="auto" w:fill="BFBFBF" w:themeFill="background1" w:themeFillShade="BF"/>
          </w:tcPr>
          <w:p w:rsidR="009329C9" w:rsidRDefault="00B5212B">
            <w:pPr>
              <w:spacing w:after="0" w:line="240" w:lineRule="auto"/>
              <w:jc w:val="center"/>
              <w:rPr>
                <w:rFonts w:ascii="Times New Roman" w:eastAsia="Calibri" w:hAnsi="Times New Roman" w:cs="Times New Roman"/>
                <w:b/>
                <w:sz w:val="23"/>
                <w:szCs w:val="23"/>
                <w:lang w:eastAsia="en-US"/>
              </w:rPr>
            </w:pPr>
            <w:r>
              <w:rPr>
                <w:rFonts w:ascii="Times New Roman" w:eastAsia="Calibri" w:hAnsi="Times New Roman" w:cs="Times New Roman"/>
                <w:b/>
                <w:sz w:val="23"/>
                <w:szCs w:val="23"/>
                <w:lang w:eastAsia="en-US"/>
              </w:rPr>
              <w:lastRenderedPageBreak/>
              <w:t>Допустими разходи</w:t>
            </w:r>
          </w:p>
        </w:tc>
        <w:tc>
          <w:tcPr>
            <w:tcW w:w="9199" w:type="dxa"/>
          </w:tcPr>
          <w:p w:rsidR="009329C9" w:rsidRDefault="00B5212B">
            <w:pPr>
              <w:tabs>
                <w:tab w:val="left" w:pos="317"/>
              </w:tabs>
              <w:spacing w:after="0" w:line="240" w:lineRule="auto"/>
              <w:ind w:right="20"/>
              <w:jc w:val="both"/>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Предвидените разходи следва да са в съответствие с разпоредбите на Регламент 1303/2013, Регламент 1304/2013, Регламент 966/2012, ЗУСЕСИФ, ПМС № 189/2016 г., ПМС 161/2016 г., ПМС 162/2016 г.Допустимите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9329C9" w:rsidRDefault="00B5212B">
            <w:pPr>
              <w:tabs>
                <w:tab w:val="left" w:pos="317"/>
              </w:tabs>
              <w:spacing w:after="0" w:line="240" w:lineRule="auto"/>
              <w:ind w:right="20"/>
              <w:jc w:val="both"/>
              <w:rPr>
                <w:rFonts w:ascii="Times New Roman" w:eastAsia="Calibri" w:hAnsi="Times New Roman" w:cs="Times New Roman"/>
                <w:b/>
                <w:sz w:val="23"/>
                <w:szCs w:val="23"/>
                <w:lang w:eastAsia="en-US"/>
              </w:rPr>
            </w:pPr>
            <w:r>
              <w:rPr>
                <w:rFonts w:ascii="Times New Roman" w:eastAsia="Calibri" w:hAnsi="Times New Roman" w:cs="Times New Roman"/>
                <w:sz w:val="23"/>
                <w:szCs w:val="23"/>
                <w:lang w:eastAsia="en-US"/>
              </w:rPr>
              <w:t xml:space="preserve">Съгласно чл. 57, ал. 1 от ЗУСЕСИФ разходите се считат за допустими, </w:t>
            </w:r>
            <w:r>
              <w:rPr>
                <w:rFonts w:ascii="Times New Roman" w:eastAsia="Calibri" w:hAnsi="Times New Roman" w:cs="Times New Roman"/>
                <w:b/>
                <w:sz w:val="23"/>
                <w:szCs w:val="23"/>
                <w:lang w:eastAsia="en-US"/>
              </w:rPr>
              <w:t>ако са налице едновременно следните условия: 1.Разходите са за дейности,</w:t>
            </w:r>
            <w:r>
              <w:rPr>
                <w:rFonts w:ascii="Times New Roman" w:eastAsia="Calibri" w:hAnsi="Times New Roman" w:cs="Times New Roman"/>
                <w:sz w:val="23"/>
                <w:szCs w:val="23"/>
                <w:lang w:eastAsia="en-US"/>
              </w:rPr>
              <w:t xml:space="preserve"> съответстващи на критериите за подбор на операции и се извършват от допустими бенефициенти съгласно съответната програма по чл. 3, ал. 2 от ЗУСЕСИФ;</w:t>
            </w:r>
            <w:r>
              <w:rPr>
                <w:rFonts w:ascii="Times New Roman" w:eastAsia="Calibri" w:hAnsi="Times New Roman" w:cs="Times New Roman"/>
                <w:sz w:val="23"/>
                <w:szCs w:val="23"/>
                <w:lang w:eastAsia="en-US"/>
              </w:rPr>
              <w:br w:type="page"/>
            </w:r>
            <w:r>
              <w:rPr>
                <w:rFonts w:ascii="Times New Roman" w:eastAsia="Calibri" w:hAnsi="Times New Roman" w:cs="Times New Roman"/>
                <w:b/>
                <w:sz w:val="23"/>
                <w:szCs w:val="23"/>
                <w:lang w:eastAsia="en-US"/>
              </w:rPr>
              <w:t>2.Разходите попадат във включени</w:t>
            </w:r>
            <w:r>
              <w:rPr>
                <w:rFonts w:ascii="Times New Roman" w:eastAsia="Calibri" w:hAnsi="Times New Roman" w:cs="Times New Roman"/>
                <w:sz w:val="23"/>
                <w:szCs w:val="23"/>
                <w:lang w:eastAsia="en-US"/>
              </w:rPr>
              <w:t xml:space="preserve"> в документите по чл. 26, ал. 1 от ЗУСЕСИФ и в одобрения проект категории разходи;</w:t>
            </w:r>
            <w:r>
              <w:rPr>
                <w:rFonts w:ascii="Times New Roman" w:eastAsia="Calibri" w:hAnsi="Times New Roman" w:cs="Times New Roman"/>
                <w:b/>
                <w:sz w:val="23"/>
                <w:szCs w:val="23"/>
                <w:lang w:eastAsia="en-US"/>
              </w:rPr>
              <w:t>3.Разходите са за реално</w:t>
            </w:r>
            <w:r>
              <w:rPr>
                <w:rFonts w:ascii="Times New Roman" w:eastAsia="Calibri" w:hAnsi="Times New Roman" w:cs="Times New Roman"/>
                <w:sz w:val="23"/>
                <w:szCs w:val="23"/>
                <w:lang w:eastAsia="en-US"/>
              </w:rPr>
              <w:t xml:space="preserve"> доставени продукти, извършени услуги;</w:t>
            </w:r>
            <w:r>
              <w:rPr>
                <w:rFonts w:ascii="Times New Roman" w:eastAsia="Calibri" w:hAnsi="Times New Roman" w:cs="Times New Roman"/>
                <w:b/>
                <w:sz w:val="23"/>
                <w:szCs w:val="23"/>
                <w:lang w:eastAsia="en-US"/>
              </w:rPr>
              <w:t>4.Разходите са извършени законосъобразно</w:t>
            </w:r>
            <w:r>
              <w:rPr>
                <w:rFonts w:ascii="Times New Roman" w:eastAsia="Calibri" w:hAnsi="Times New Roman" w:cs="Times New Roman"/>
                <w:sz w:val="23"/>
                <w:szCs w:val="23"/>
                <w:lang w:eastAsia="en-US"/>
              </w:rPr>
              <w:t xml:space="preserve"> съгласно приложимото право на ЕС и българското законодателство;</w:t>
            </w:r>
            <w:r>
              <w:rPr>
                <w:rFonts w:ascii="Times New Roman" w:eastAsia="Calibri" w:hAnsi="Times New Roman" w:cs="Times New Roman"/>
                <w:b/>
                <w:sz w:val="23"/>
                <w:szCs w:val="23"/>
                <w:lang w:eastAsia="en-US"/>
              </w:rPr>
              <w:t>5.Разходите са отразени в счетоводната документация</w:t>
            </w:r>
            <w:r>
              <w:rPr>
                <w:rFonts w:ascii="Times New Roman" w:eastAsia="Calibri" w:hAnsi="Times New Roman" w:cs="Times New Roman"/>
                <w:sz w:val="23"/>
                <w:szCs w:val="23"/>
                <w:lang w:eastAsia="en-US"/>
              </w:rPr>
              <w:t xml:space="preserve"> на бенефициента чрез отделни счетоводни аналитични сметки или в отделна счетоводна система; </w:t>
            </w:r>
            <w:r>
              <w:rPr>
                <w:rFonts w:ascii="Times New Roman" w:eastAsia="Calibri" w:hAnsi="Times New Roman" w:cs="Times New Roman"/>
                <w:b/>
                <w:sz w:val="23"/>
                <w:szCs w:val="23"/>
                <w:lang w:eastAsia="en-US"/>
              </w:rPr>
              <w:t>6.За направените разходи е налична одитна следа</w:t>
            </w:r>
            <w:r>
              <w:rPr>
                <w:rFonts w:ascii="Times New Roman" w:eastAsia="Calibri" w:hAnsi="Times New Roman" w:cs="Times New Roman"/>
                <w:sz w:val="23"/>
                <w:szCs w:val="23"/>
                <w:lang w:eastAsia="en-US"/>
              </w:rPr>
              <w:t xml:space="preserve">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w:t>
            </w:r>
            <w:r>
              <w:rPr>
                <w:rFonts w:ascii="Times New Roman" w:eastAsia="Calibri" w:hAnsi="Times New Roman" w:cs="Times New Roman"/>
                <w:sz w:val="23"/>
                <w:szCs w:val="23"/>
                <w:lang w:val="en-US" w:eastAsia="en-US"/>
              </w:rPr>
              <w:t xml:space="preserve">L </w:t>
            </w:r>
            <w:r>
              <w:rPr>
                <w:rFonts w:ascii="Times New Roman" w:eastAsia="Calibri" w:hAnsi="Times New Roman" w:cs="Times New Roman"/>
                <w:sz w:val="23"/>
                <w:szCs w:val="23"/>
                <w:lang w:eastAsia="en-US"/>
              </w:rPr>
              <w:t>138/5 от 13 май 2014 г.) и са спазени изискванията за съхраняване на документите съгласно чл. 140 от Регламент (ЕС) № 1303/2013;</w:t>
            </w:r>
            <w:r>
              <w:rPr>
                <w:rFonts w:ascii="Times New Roman" w:eastAsia="Calibri" w:hAnsi="Times New Roman" w:cs="Times New Roman"/>
                <w:b/>
                <w:sz w:val="23"/>
                <w:szCs w:val="23"/>
                <w:lang w:eastAsia="en-US"/>
              </w:rPr>
              <w:t>7.Разходите са съобразени</w:t>
            </w:r>
            <w:r>
              <w:rPr>
                <w:rFonts w:ascii="Times New Roman" w:eastAsia="Calibri" w:hAnsi="Times New Roman" w:cs="Times New Roman"/>
                <w:sz w:val="23"/>
                <w:szCs w:val="23"/>
                <w:lang w:eastAsia="en-US"/>
              </w:rPr>
              <w:t xml:space="preserve"> с приложимите правила за предоставяне на държавни помощи, ако е приложимо.</w:t>
            </w:r>
          </w:p>
          <w:p w:rsidR="009329C9" w:rsidRDefault="00B5212B">
            <w:pPr>
              <w:tabs>
                <w:tab w:val="left" w:pos="317"/>
              </w:tabs>
              <w:spacing w:after="0" w:line="240" w:lineRule="auto"/>
              <w:ind w:right="20"/>
              <w:jc w:val="both"/>
              <w:rPr>
                <w:rFonts w:ascii="Times New Roman" w:eastAsia="Calibri" w:hAnsi="Times New Roman" w:cs="Times New Roman"/>
                <w:b/>
                <w:bCs/>
                <w:sz w:val="23"/>
                <w:szCs w:val="23"/>
                <w:lang w:eastAsia="en-US"/>
              </w:rPr>
            </w:pPr>
            <w:bookmarkStart w:id="34" w:name="bookmark18"/>
            <w:r>
              <w:rPr>
                <w:rFonts w:ascii="Times New Roman" w:eastAsia="Calibri" w:hAnsi="Times New Roman" w:cs="Times New Roman"/>
                <w:b/>
                <w:bCs/>
                <w:sz w:val="23"/>
                <w:szCs w:val="23"/>
                <w:lang w:eastAsia="en-US"/>
              </w:rPr>
              <w:t>I. Разходи за персонал/участници в изпълнение на дейностите</w:t>
            </w:r>
            <w:bookmarkEnd w:id="34"/>
            <w:r>
              <w:rPr>
                <w:rFonts w:ascii="Times New Roman" w:eastAsia="Calibri" w:hAnsi="Times New Roman" w:cs="Times New Roman"/>
                <w:b/>
                <w:bCs/>
                <w:sz w:val="23"/>
                <w:szCs w:val="23"/>
                <w:lang w:eastAsia="en-US"/>
              </w:rPr>
              <w:t xml:space="preserve">: </w:t>
            </w:r>
            <w:r>
              <w:rPr>
                <w:rFonts w:ascii="Times New Roman" w:eastAsia="Calibri" w:hAnsi="Times New Roman" w:cs="Times New Roman"/>
                <w:sz w:val="23"/>
                <w:szCs w:val="23"/>
                <w:lang w:eastAsia="en-US"/>
              </w:rPr>
              <w:t>1. Разходи за възнаграждения (вкл. допълнително материално стимулиране), както и осигурителните и здравноосигурителните вноски за сметка на осигурителя съгласно националното законодателство. 2. Разходи за командировки, съгласно Наредбата за командировките в страната. 16 Разходи за „пътни" на персонала, включен в точка 1.2.1. Разходи за „пътни“ на персонала, включен в точка 1. 2.2. Разходи за „дневни“ на персонала, включен в точка 1. 2.3. Разходи за „квартирни“ на персонала, включен в точка 1. 2.4. Пътни разходи за лицата от допустимите целеви групи. (извън случаите, в които е предоставен организиран транспорт).</w:t>
            </w:r>
          </w:p>
          <w:p w:rsidR="009329C9" w:rsidRDefault="00B5212B">
            <w:pPr>
              <w:numPr>
                <w:ilvl w:val="1"/>
                <w:numId w:val="22"/>
              </w:numPr>
              <w:tabs>
                <w:tab w:val="left" w:pos="317"/>
              </w:tabs>
              <w:spacing w:after="0" w:line="240" w:lineRule="auto"/>
              <w:ind w:right="20"/>
              <w:jc w:val="both"/>
              <w:rPr>
                <w:rFonts w:ascii="Times New Roman" w:eastAsia="Calibri" w:hAnsi="Times New Roman" w:cs="Times New Roman"/>
                <w:b/>
                <w:bCs/>
                <w:sz w:val="23"/>
                <w:szCs w:val="23"/>
                <w:lang w:eastAsia="en-US"/>
              </w:rPr>
            </w:pPr>
            <w:bookmarkStart w:id="35" w:name="bookmark19"/>
            <w:r>
              <w:rPr>
                <w:rFonts w:ascii="Times New Roman" w:eastAsia="Calibri" w:hAnsi="Times New Roman" w:cs="Times New Roman"/>
                <w:b/>
                <w:bCs/>
                <w:sz w:val="23"/>
                <w:szCs w:val="23"/>
                <w:lang w:eastAsia="en-US"/>
              </w:rPr>
              <w:t>Разходи за материали</w:t>
            </w:r>
            <w:bookmarkEnd w:id="35"/>
            <w:r>
              <w:rPr>
                <w:rFonts w:ascii="Times New Roman" w:eastAsia="Calibri" w:hAnsi="Times New Roman" w:cs="Times New Roman"/>
                <w:b/>
                <w:bCs/>
                <w:sz w:val="23"/>
                <w:szCs w:val="23"/>
                <w:lang w:eastAsia="en-US"/>
              </w:rPr>
              <w:t xml:space="preserve">: </w:t>
            </w:r>
            <w:r>
              <w:rPr>
                <w:rFonts w:ascii="Times New Roman" w:eastAsia="Calibri" w:hAnsi="Times New Roman" w:cs="Times New Roman"/>
                <w:sz w:val="23"/>
                <w:szCs w:val="23"/>
                <w:lang w:eastAsia="en-US"/>
              </w:rPr>
              <w:t>1. Разходи за канцеларски материали и офис консумативи. 2.Разходи за дидактически материали (учебна литература, помагала, учебни и спортни пособия и др.) 3.Разходи за оборудване и обзавеждане (активи на стойност под прага на същественост). 4.Разходи за гориво (за служебен транспорт на организацията-бенефициент заизпълнение на дейности по проекта).</w:t>
            </w:r>
          </w:p>
          <w:p w:rsidR="009329C9" w:rsidRDefault="00B5212B">
            <w:pPr>
              <w:numPr>
                <w:ilvl w:val="1"/>
                <w:numId w:val="22"/>
              </w:numPr>
              <w:tabs>
                <w:tab w:val="left" w:pos="0"/>
                <w:tab w:val="left" w:pos="33"/>
                <w:tab w:val="left" w:pos="367"/>
              </w:tabs>
              <w:spacing w:after="0" w:line="240" w:lineRule="auto"/>
              <w:ind w:left="33" w:right="20" w:firstLine="1"/>
              <w:jc w:val="both"/>
              <w:rPr>
                <w:rFonts w:ascii="Times New Roman" w:eastAsia="Calibri" w:hAnsi="Times New Roman" w:cs="Times New Roman"/>
                <w:b/>
                <w:bCs/>
                <w:sz w:val="23"/>
                <w:szCs w:val="23"/>
                <w:lang w:eastAsia="en-US"/>
              </w:rPr>
            </w:pPr>
            <w:bookmarkStart w:id="36" w:name="bookmark20"/>
            <w:r>
              <w:rPr>
                <w:rFonts w:ascii="Times New Roman" w:eastAsia="Calibri" w:hAnsi="Times New Roman" w:cs="Times New Roman"/>
                <w:b/>
                <w:bCs/>
                <w:sz w:val="23"/>
                <w:szCs w:val="23"/>
                <w:lang w:eastAsia="en-US"/>
              </w:rPr>
              <w:t>Разходи за услуги</w:t>
            </w:r>
            <w:bookmarkEnd w:id="36"/>
            <w:r>
              <w:rPr>
                <w:rFonts w:ascii="Times New Roman" w:eastAsia="Calibri" w:hAnsi="Times New Roman" w:cs="Times New Roman"/>
                <w:b/>
                <w:bCs/>
                <w:sz w:val="23"/>
                <w:szCs w:val="23"/>
                <w:lang w:eastAsia="en-US"/>
              </w:rPr>
              <w:t xml:space="preserve">: </w:t>
            </w:r>
            <w:r>
              <w:rPr>
                <w:rFonts w:ascii="Times New Roman" w:eastAsia="Calibri" w:hAnsi="Times New Roman" w:cs="Times New Roman"/>
                <w:bCs/>
                <w:sz w:val="23"/>
                <w:szCs w:val="23"/>
                <w:lang w:eastAsia="en-US"/>
              </w:rPr>
              <w:t>1.</w:t>
            </w:r>
            <w:r>
              <w:rPr>
                <w:rFonts w:ascii="Times New Roman" w:eastAsia="Calibri" w:hAnsi="Times New Roman" w:cs="Times New Roman"/>
                <w:sz w:val="23"/>
                <w:szCs w:val="23"/>
                <w:lang w:eastAsia="en-US"/>
              </w:rPr>
              <w:t>Разходи за организиран транспорт при изпълнение на дейностите по проекта, където е приложимо. 2. Режийни разходи за помещенията, в които ще се изпълняват дейности по проекта (разходи за електрически ток, студена вода, отопление, почистване и др.). 3. Разходи за изграждане на образователна ИКТ среда (окабеляване на стаи/кабинети, свързаност на сървър с компютри в мрежа и др.) в училищата и детските градини.4. Разходи за застраховки за лицата от допустимите целеви групи, където е приложимо.5. Разходи за хранене в детските градини и училищата.6. Разходи за информация и комуникация.</w:t>
            </w:r>
          </w:p>
          <w:p w:rsidR="009329C9" w:rsidRDefault="00B5212B">
            <w:pPr>
              <w:numPr>
                <w:ilvl w:val="1"/>
                <w:numId w:val="22"/>
              </w:numPr>
              <w:tabs>
                <w:tab w:val="left" w:pos="317"/>
              </w:tabs>
              <w:spacing w:after="0" w:line="240" w:lineRule="auto"/>
              <w:ind w:right="20"/>
              <w:jc w:val="both"/>
              <w:rPr>
                <w:rFonts w:ascii="Times New Roman" w:eastAsia="Calibri" w:hAnsi="Times New Roman" w:cs="Times New Roman"/>
                <w:b/>
                <w:bCs/>
                <w:sz w:val="23"/>
                <w:szCs w:val="23"/>
                <w:lang w:eastAsia="en-US"/>
              </w:rPr>
            </w:pPr>
            <w:r>
              <w:rPr>
                <w:rFonts w:ascii="Times New Roman" w:eastAsia="Calibri" w:hAnsi="Times New Roman" w:cs="Times New Roman"/>
                <w:b/>
                <w:bCs/>
                <w:sz w:val="23"/>
                <w:szCs w:val="23"/>
                <w:lang w:eastAsia="en-US"/>
              </w:rPr>
              <w:t>Разходи за провеждане и участие в мероприятия</w:t>
            </w:r>
            <w:r>
              <w:rPr>
                <w:rFonts w:ascii="Times New Roman" w:eastAsia="Calibri" w:hAnsi="Times New Roman" w:cs="Times New Roman"/>
                <w:bCs/>
                <w:sz w:val="23"/>
                <w:szCs w:val="23"/>
                <w:lang w:eastAsia="en-US"/>
              </w:rPr>
              <w:t>1.</w:t>
            </w:r>
            <w:r>
              <w:rPr>
                <w:rFonts w:ascii="Times New Roman" w:eastAsia="Calibri" w:hAnsi="Times New Roman" w:cs="Times New Roman"/>
                <w:sz w:val="23"/>
                <w:szCs w:val="23"/>
                <w:lang w:eastAsia="en-US"/>
              </w:rPr>
              <w:t>Разходи за организиране и про</w:t>
            </w:r>
            <w:r>
              <w:rPr>
                <w:rFonts w:ascii="Times New Roman" w:eastAsia="Calibri" w:hAnsi="Times New Roman" w:cs="Times New Roman"/>
                <w:sz w:val="23"/>
                <w:szCs w:val="23"/>
                <w:lang w:eastAsia="en-US"/>
              </w:rPr>
              <w:lastRenderedPageBreak/>
              <w:t>веждане на мероприятия за лицата от целевите групи.</w:t>
            </w:r>
            <w:r>
              <w:rPr>
                <w:rFonts w:ascii="Times New Roman" w:eastAsia="Calibri" w:hAnsi="Times New Roman" w:cs="Times New Roman"/>
                <w:b/>
                <w:bCs/>
                <w:sz w:val="23"/>
                <w:szCs w:val="23"/>
                <w:lang w:eastAsia="en-US"/>
              </w:rPr>
              <w:t xml:space="preserve">; </w:t>
            </w:r>
            <w:r>
              <w:rPr>
                <w:rFonts w:ascii="Times New Roman" w:eastAsia="Calibri" w:hAnsi="Times New Roman" w:cs="Times New Roman"/>
                <w:bCs/>
                <w:sz w:val="23"/>
                <w:szCs w:val="23"/>
                <w:lang w:eastAsia="en-US"/>
              </w:rPr>
              <w:t>2.</w:t>
            </w:r>
            <w:r>
              <w:rPr>
                <w:rFonts w:ascii="Times New Roman" w:eastAsia="Calibri" w:hAnsi="Times New Roman" w:cs="Times New Roman"/>
                <w:sz w:val="23"/>
                <w:szCs w:val="23"/>
                <w:lang w:eastAsia="en-US"/>
              </w:rPr>
              <w:t>Разходи за участие в мероприятия на лицата от целевите групи.</w:t>
            </w:r>
          </w:p>
          <w:p w:rsidR="009329C9" w:rsidRDefault="00B5212B">
            <w:pPr>
              <w:numPr>
                <w:ilvl w:val="1"/>
                <w:numId w:val="22"/>
              </w:numPr>
              <w:tabs>
                <w:tab w:val="left" w:pos="317"/>
              </w:tabs>
              <w:spacing w:after="0" w:line="240" w:lineRule="auto"/>
              <w:ind w:right="20"/>
              <w:jc w:val="both"/>
              <w:rPr>
                <w:rFonts w:ascii="Times New Roman" w:eastAsia="Calibri" w:hAnsi="Times New Roman" w:cs="Times New Roman"/>
                <w:b/>
                <w:bCs/>
                <w:sz w:val="23"/>
                <w:szCs w:val="23"/>
                <w:lang w:eastAsia="en-US"/>
              </w:rPr>
            </w:pPr>
            <w:r>
              <w:rPr>
                <w:rFonts w:ascii="Times New Roman" w:eastAsia="Calibri" w:hAnsi="Times New Roman" w:cs="Times New Roman"/>
                <w:b/>
                <w:bCs/>
                <w:sz w:val="23"/>
                <w:szCs w:val="23"/>
                <w:lang w:eastAsia="en-US"/>
              </w:rPr>
              <w:t>Непреки разходи</w:t>
            </w:r>
            <w:r>
              <w:rPr>
                <w:rFonts w:ascii="Times New Roman" w:eastAsia="Calibri" w:hAnsi="Times New Roman" w:cs="Times New Roman"/>
                <w:sz w:val="23"/>
                <w:szCs w:val="23"/>
                <w:lang w:eastAsia="en-US"/>
              </w:rPr>
              <w:t>1. Разходи за възнаграждения на екипа за организация и управление на проекта, вкл. осигурителните и здравно-осигурителните вноски за сметка на осигурителя съгласно националното законодателство. 2. Разходи за командировки на екипа за организация и управление на проекта, съгласно Наредбата за командировките в страната. 3. Разходи за канцеларски материали и офис консумативи. 4. Режийни разходи при ползване на офис за администриране на проекта (разходи за електрически ток, студена вода, отопление и др.). 5. Разходи за наем на офис за администриране на проекта.</w:t>
            </w:r>
          </w:p>
        </w:tc>
      </w:tr>
      <w:tr w:rsidR="009329C9">
        <w:trPr>
          <w:trHeight w:val="838"/>
        </w:trPr>
        <w:tc>
          <w:tcPr>
            <w:tcW w:w="1418" w:type="dxa"/>
            <w:shd w:val="clear" w:color="auto" w:fill="BFBFBF" w:themeFill="background1" w:themeFillShade="BF"/>
          </w:tcPr>
          <w:p w:rsidR="009329C9" w:rsidRDefault="00B5212B">
            <w:pPr>
              <w:spacing w:after="0" w:line="240" w:lineRule="auto"/>
              <w:jc w:val="center"/>
              <w:rPr>
                <w:rFonts w:ascii="Times New Roman" w:eastAsia="Calibri" w:hAnsi="Times New Roman" w:cs="Times New Roman"/>
                <w:b/>
                <w:sz w:val="23"/>
                <w:szCs w:val="23"/>
                <w:lang w:eastAsia="en-US"/>
              </w:rPr>
            </w:pPr>
            <w:r>
              <w:rPr>
                <w:rFonts w:ascii="Times New Roman" w:eastAsia="Calibri" w:hAnsi="Times New Roman" w:cs="Times New Roman"/>
                <w:b/>
                <w:sz w:val="23"/>
                <w:szCs w:val="23"/>
                <w:lang w:eastAsia="en-US"/>
              </w:rPr>
              <w:lastRenderedPageBreak/>
              <w:t>Недопустими</w:t>
            </w:r>
          </w:p>
          <w:p w:rsidR="009329C9" w:rsidRDefault="00B5212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sz w:val="23"/>
                <w:szCs w:val="23"/>
                <w:lang w:eastAsia="en-US"/>
              </w:rPr>
              <w:t>разходи</w:t>
            </w:r>
          </w:p>
        </w:tc>
        <w:tc>
          <w:tcPr>
            <w:tcW w:w="9199" w:type="dxa"/>
          </w:tcPr>
          <w:p w:rsidR="009329C9" w:rsidRDefault="00B5212B">
            <w:pPr>
              <w:tabs>
                <w:tab w:val="left" w:pos="317"/>
              </w:tabs>
              <w:spacing w:after="0" w:line="240" w:lineRule="auto"/>
              <w:ind w:right="20"/>
              <w:jc w:val="both"/>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-разходи, финансирани по други операции, програма или каквато и да е друга финансова схема, произлизаща от националния бюджет, от бюджета на Общността или от друга донорска програма за едни и същи дейности;-глоби, финансови санкции и разходи за разрешаване на спорове;-комисионите и загубите от курсови разлики при обмяна на чужда валута;-разходи за възстановим ДДС;-закупуване на дълготрайни материални активи - нови и втора употреба;-разходите за гаранции, осигурени от банка или от друга финансова институция;- лихви по дългове, с изключение на свързаните с безвъзмездна финансова помощ, предоставени под формата на лихвени субсидии или субсидии за гаранционни такси;-разходи за закупуване на инфраструктура, земя и недвижимо имущество;-разходи за консултантски услуги, свързани с подготовката и/или попълването на документите за кандидатстване за финансова подкрепа.</w:t>
            </w:r>
          </w:p>
          <w:p w:rsidR="009329C9" w:rsidRDefault="00B5212B">
            <w:pPr>
              <w:tabs>
                <w:tab w:val="left" w:pos="317"/>
              </w:tabs>
              <w:spacing w:after="0" w:line="240" w:lineRule="auto"/>
              <w:ind w:right="20"/>
              <w:jc w:val="both"/>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На основание на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9329C9">
        <w:trPr>
          <w:trHeight w:val="838"/>
        </w:trPr>
        <w:tc>
          <w:tcPr>
            <w:tcW w:w="1418" w:type="dxa"/>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b/>
                <w:sz w:val="23"/>
                <w:szCs w:val="23"/>
                <w:lang w:eastAsia="en-US"/>
              </w:rPr>
            </w:pPr>
            <w:r>
              <w:rPr>
                <w:rFonts w:ascii="Times New Roman" w:eastAsia="Calibri" w:hAnsi="Times New Roman" w:cs="Times New Roman"/>
                <w:b/>
                <w:sz w:val="23"/>
                <w:szCs w:val="23"/>
                <w:lang w:eastAsia="en-US"/>
              </w:rPr>
              <w:t>Бюджет на мярката</w:t>
            </w:r>
          </w:p>
        </w:tc>
        <w:tc>
          <w:tcPr>
            <w:tcW w:w="9199" w:type="dxa"/>
          </w:tcPr>
          <w:p w:rsidR="009329C9" w:rsidRDefault="00B5212B">
            <w:pPr>
              <w:autoSpaceDE w:val="0"/>
              <w:autoSpaceDN w:val="0"/>
              <w:adjustRightInd w:val="0"/>
              <w:spacing w:after="0" w:line="240" w:lineRule="auto"/>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Минимален размер на допустимите разходи за един проект – 50 000,00 лв.</w:t>
            </w:r>
          </w:p>
          <w:p w:rsidR="009329C9" w:rsidRDefault="00B5212B">
            <w:pPr>
              <w:autoSpaceDE w:val="0"/>
              <w:autoSpaceDN w:val="0"/>
              <w:adjustRightInd w:val="0"/>
              <w:spacing w:after="0" w:line="240" w:lineRule="auto"/>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Максимален  размер на допустимите разходи за един проект –150 000 евро(293 370,00 лв).</w:t>
            </w:r>
          </w:p>
          <w:p w:rsidR="009329C9" w:rsidRDefault="00B5212B">
            <w:pPr>
              <w:autoSpaceDE w:val="0"/>
              <w:autoSpaceDN w:val="0"/>
              <w:adjustRightInd w:val="0"/>
              <w:spacing w:after="0" w:line="240" w:lineRule="auto"/>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Интензитет на финансовата помощ – 100%;</w:t>
            </w:r>
          </w:p>
          <w:p w:rsidR="009329C9" w:rsidRDefault="00B5212B" w:rsidP="00B5212B">
            <w:pPr>
              <w:autoSpaceDE w:val="0"/>
              <w:autoSpaceDN w:val="0"/>
              <w:adjustRightInd w:val="0"/>
              <w:spacing w:after="0" w:line="240" w:lineRule="auto"/>
              <w:rPr>
                <w:rFonts w:ascii="Times New Roman" w:eastAsia="Calibri" w:hAnsi="Times New Roman" w:cs="Times New Roman"/>
                <w:color w:val="000000"/>
                <w:sz w:val="23"/>
                <w:szCs w:val="23"/>
                <w:lang w:eastAsia="en-US"/>
              </w:rPr>
            </w:pPr>
            <w:r>
              <w:rPr>
                <w:rFonts w:ascii="Times New Roman" w:eastAsia="Calibri" w:hAnsi="Times New Roman" w:cs="Times New Roman"/>
                <w:color w:val="000000"/>
                <w:sz w:val="23"/>
                <w:szCs w:val="23"/>
                <w:lang w:eastAsia="en-US"/>
              </w:rPr>
              <w:t>Общ бюджет на мярката – 340 424,29евро ( 665 812,04 лв.)</w:t>
            </w:r>
          </w:p>
        </w:tc>
      </w:tr>
      <w:tr w:rsidR="009329C9">
        <w:trPr>
          <w:trHeight w:val="569"/>
        </w:trPr>
        <w:tc>
          <w:tcPr>
            <w:tcW w:w="1418" w:type="dxa"/>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 xml:space="preserve">Времетраене на </w:t>
            </w:r>
          </w:p>
          <w:p w:rsidR="009329C9" w:rsidRDefault="00B5212B">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проектите</w:t>
            </w:r>
          </w:p>
        </w:tc>
        <w:tc>
          <w:tcPr>
            <w:tcW w:w="9199" w:type="dxa"/>
          </w:tcPr>
          <w:p w:rsidR="009329C9" w:rsidRDefault="00B5212B">
            <w:pPr>
              <w:tabs>
                <w:tab w:val="left" w:pos="199"/>
              </w:tabs>
              <w:spacing w:after="0" w:line="240" w:lineRule="auto"/>
              <w:jc w:val="both"/>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Периодът на реализиране на стратегията за местно развитие е до 30.06.2023г.</w:t>
            </w:r>
          </w:p>
          <w:p w:rsidR="009329C9" w:rsidRDefault="00B5212B">
            <w:pPr>
              <w:tabs>
                <w:tab w:val="left" w:pos="199"/>
              </w:tabs>
              <w:spacing w:after="0" w:line="240" w:lineRule="auto"/>
              <w:jc w:val="both"/>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Продължителност на един проект – не повече от три години;</w:t>
            </w:r>
          </w:p>
        </w:tc>
      </w:tr>
      <w:tr w:rsidR="009329C9">
        <w:trPr>
          <w:trHeight w:val="569"/>
        </w:trPr>
        <w:tc>
          <w:tcPr>
            <w:tcW w:w="1418" w:type="dxa"/>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Общи критерии за избор на проекти</w:t>
            </w:r>
          </w:p>
        </w:tc>
        <w:tc>
          <w:tcPr>
            <w:tcW w:w="9199" w:type="dxa"/>
          </w:tcPr>
          <w:p w:rsidR="009329C9" w:rsidRDefault="00B5212B">
            <w:pPr>
              <w:tabs>
                <w:tab w:val="left" w:pos="199"/>
              </w:tabs>
              <w:spacing w:after="0" w:line="240" w:lineRule="auto"/>
              <w:jc w:val="both"/>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 xml:space="preserve">Съобразно </w:t>
            </w:r>
            <w:r>
              <w:rPr>
                <w:rFonts w:ascii="Times New Roman" w:eastAsia="Calibri" w:hAnsi="Times New Roman" w:cs="Times New Roman"/>
                <w:b/>
                <w:sz w:val="23"/>
                <w:szCs w:val="23"/>
                <w:lang w:eastAsia="en-US"/>
              </w:rPr>
              <w:t>методологията, предоставена от УО на програмата</w:t>
            </w:r>
            <w:r>
              <w:rPr>
                <w:rFonts w:ascii="Times New Roman" w:eastAsia="Calibri" w:hAnsi="Times New Roman" w:cs="Times New Roman"/>
                <w:sz w:val="23"/>
                <w:szCs w:val="23"/>
                <w:lang w:eastAsia="en-US"/>
              </w:rPr>
              <w:t>. В изпълнение на чл. 37 от ПМС № 161/2016 г. УО на ОП НОИР изготвя указания за прием на проекти.</w:t>
            </w:r>
          </w:p>
          <w:p w:rsidR="009329C9" w:rsidRDefault="00B5212B">
            <w:pPr>
              <w:tabs>
                <w:tab w:val="left" w:pos="199"/>
              </w:tabs>
              <w:spacing w:after="0" w:line="240" w:lineRule="auto"/>
              <w:jc w:val="both"/>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МИГразписва допълнителни специфични критерии при избора на проекти, които отразяват местната идентичност на идентифицираните нужди и избрани приоритети.</w:t>
            </w:r>
          </w:p>
        </w:tc>
      </w:tr>
      <w:tr w:rsidR="009329C9">
        <w:trPr>
          <w:trHeight w:val="951"/>
        </w:trPr>
        <w:tc>
          <w:tcPr>
            <w:tcW w:w="1418" w:type="dxa"/>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b/>
                <w:sz w:val="23"/>
                <w:szCs w:val="23"/>
                <w:lang w:eastAsia="en-US"/>
              </w:rPr>
            </w:pPr>
            <w:r>
              <w:rPr>
                <w:rFonts w:ascii="Times New Roman" w:eastAsia="Calibri" w:hAnsi="Times New Roman" w:cs="Times New Roman"/>
                <w:b/>
                <w:sz w:val="23"/>
                <w:szCs w:val="23"/>
                <w:lang w:eastAsia="en-US"/>
              </w:rPr>
              <w:t>Допълнителни критерии за избор на проекти</w:t>
            </w:r>
          </w:p>
        </w:tc>
        <w:tc>
          <w:tcPr>
            <w:tcW w:w="9199" w:type="dxa"/>
          </w:tcPr>
          <w:tbl>
            <w:tblPr>
              <w:tblStyle w:val="TableGrid5"/>
              <w:tblW w:w="0" w:type="auto"/>
              <w:tblLayout w:type="fixed"/>
              <w:tblLook w:val="04A0" w:firstRow="1" w:lastRow="0" w:firstColumn="1" w:lastColumn="0" w:noHBand="0" w:noVBand="1"/>
            </w:tblPr>
            <w:tblGrid>
              <w:gridCol w:w="7966"/>
              <w:gridCol w:w="993"/>
            </w:tblGrid>
            <w:tr w:rsidR="009329C9">
              <w:trPr>
                <w:trHeight w:val="310"/>
              </w:trPr>
              <w:tc>
                <w:tcPr>
                  <w:tcW w:w="7966" w:type="dxa"/>
                </w:tcPr>
                <w:p w:rsidR="009329C9" w:rsidRDefault="00B5212B">
                  <w:pP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ТЕХНИЧЕСКА ОЦЕНКА И КЛАСИРАНЕ</w:t>
                  </w:r>
                </w:p>
              </w:tc>
              <w:tc>
                <w:tcPr>
                  <w:tcW w:w="993" w:type="dxa"/>
                </w:tcPr>
                <w:p w:rsidR="009329C9" w:rsidRDefault="00B5212B">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ТОЧКИ</w:t>
                  </w:r>
                </w:p>
              </w:tc>
            </w:tr>
            <w:tr w:rsidR="009329C9">
              <w:tc>
                <w:tcPr>
                  <w:tcW w:w="7966" w:type="dxa"/>
                </w:tcPr>
                <w:p w:rsidR="009329C9" w:rsidRDefault="00B5212B">
                  <w:pPr>
                    <w:keepNext/>
                    <w:keepLines/>
                    <w:tabs>
                      <w:tab w:val="left" w:pos="167"/>
                    </w:tabs>
                    <w:spacing w:after="0" w:line="240" w:lineRule="auto"/>
                    <w:contextualSpacing/>
                    <w:jc w:val="both"/>
                    <w:outlineLvl w:val="5"/>
                    <w:rPr>
                      <w:rFonts w:ascii="Times New Roman" w:eastAsia="Times New Roman" w:hAnsi="Times New Roman" w:cs="Times New Roman"/>
                      <w:iCs/>
                      <w:color w:val="000000"/>
                      <w:sz w:val="23"/>
                      <w:szCs w:val="23"/>
                      <w:lang w:eastAsia="en-US"/>
                    </w:rPr>
                  </w:pPr>
                  <w:r>
                    <w:rPr>
                      <w:rFonts w:ascii="Times New Roman" w:eastAsia="Times New Roman" w:hAnsi="Times New Roman" w:cs="Times New Roman"/>
                      <w:iCs/>
                      <w:color w:val="000000"/>
                      <w:sz w:val="23"/>
                      <w:szCs w:val="23"/>
                      <w:lang w:eastAsia="en-US"/>
                    </w:rPr>
                    <w:t>1.Свързаност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993" w:type="dxa"/>
                </w:tcPr>
                <w:p w:rsidR="009329C9" w:rsidRDefault="00B5212B">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20</w:t>
                  </w:r>
                </w:p>
              </w:tc>
            </w:tr>
            <w:tr w:rsidR="009329C9">
              <w:tc>
                <w:tcPr>
                  <w:tcW w:w="7966" w:type="dxa"/>
                </w:tcPr>
                <w:p w:rsidR="009329C9" w:rsidRDefault="00B5212B">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lang w:eastAsia="en-US"/>
                    </w:rPr>
                  </w:pPr>
                  <w:r>
                    <w:rPr>
                      <w:rFonts w:ascii="Times New Roman" w:eastAsia="Times New Roman" w:hAnsi="Times New Roman" w:cs="Times New Roman"/>
                      <w:iCs/>
                      <w:color w:val="000000"/>
                      <w:sz w:val="23"/>
                      <w:szCs w:val="23"/>
                      <w:lang w:eastAsia="en-US"/>
                    </w:rPr>
                    <w:t xml:space="preserve">2.Проектът е с гарантирана устойчивост след приключването му </w:t>
                  </w:r>
                </w:p>
              </w:tc>
              <w:tc>
                <w:tcPr>
                  <w:tcW w:w="993" w:type="dxa"/>
                </w:tcPr>
                <w:p w:rsidR="009329C9" w:rsidRDefault="00B5212B">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w:t>
                  </w:r>
                </w:p>
              </w:tc>
            </w:tr>
            <w:tr w:rsidR="009329C9">
              <w:tc>
                <w:tcPr>
                  <w:tcW w:w="7966" w:type="dxa"/>
                </w:tcPr>
                <w:p w:rsidR="009329C9" w:rsidRDefault="00B5212B">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lang w:eastAsia="en-US"/>
                    </w:rPr>
                  </w:pPr>
                  <w:r>
                    <w:rPr>
                      <w:rFonts w:ascii="Times New Roman" w:eastAsia="Times New Roman" w:hAnsi="Times New Roman" w:cs="Times New Roman"/>
                      <w:iCs/>
                      <w:color w:val="000000"/>
                      <w:sz w:val="23"/>
                      <w:szCs w:val="23"/>
                      <w:lang w:eastAsia="en-US"/>
                    </w:rPr>
                    <w:t>3.При планиране на проекта и извършено проучване сред представителите на целевите групи</w:t>
                  </w:r>
                </w:p>
              </w:tc>
              <w:tc>
                <w:tcPr>
                  <w:tcW w:w="993" w:type="dxa"/>
                </w:tcPr>
                <w:p w:rsidR="009329C9" w:rsidRDefault="00B5212B">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20</w:t>
                  </w:r>
                </w:p>
              </w:tc>
            </w:tr>
            <w:tr w:rsidR="009329C9">
              <w:tc>
                <w:tcPr>
                  <w:tcW w:w="7966" w:type="dxa"/>
                </w:tcPr>
                <w:p w:rsidR="009329C9" w:rsidRDefault="00B5212B">
                  <w:pPr>
                    <w:keepNext/>
                    <w:keepLines/>
                    <w:tabs>
                      <w:tab w:val="left" w:pos="434"/>
                    </w:tabs>
                    <w:spacing w:after="0" w:line="240" w:lineRule="auto"/>
                    <w:contextualSpacing/>
                    <w:jc w:val="both"/>
                    <w:outlineLvl w:val="5"/>
                    <w:rPr>
                      <w:rFonts w:ascii="Times New Roman" w:eastAsia="Times New Roman" w:hAnsi="Times New Roman" w:cs="Times New Roman"/>
                      <w:iCs/>
                      <w:color w:val="000000"/>
                      <w:sz w:val="23"/>
                      <w:szCs w:val="23"/>
                      <w:lang w:eastAsia="en-US"/>
                    </w:rPr>
                  </w:pPr>
                  <w:r>
                    <w:rPr>
                      <w:rFonts w:ascii="Times New Roman" w:eastAsia="Times New Roman" w:hAnsi="Times New Roman" w:cs="Times New Roman"/>
                      <w:iCs/>
                      <w:color w:val="000000"/>
                      <w:sz w:val="23"/>
                      <w:szCs w:val="23"/>
                      <w:lang w:eastAsia="en-US"/>
                    </w:rPr>
                    <w:t>4. Проектът обхваща целеви групи от 2 и повече населени места</w:t>
                  </w:r>
                </w:p>
                <w:p w:rsidR="009329C9" w:rsidRDefault="00B5212B">
                  <w:pPr>
                    <w:keepNext/>
                    <w:keepLines/>
                    <w:numPr>
                      <w:ilvl w:val="0"/>
                      <w:numId w:val="23"/>
                    </w:numPr>
                    <w:spacing w:after="0" w:line="240" w:lineRule="auto"/>
                    <w:contextualSpacing/>
                    <w:jc w:val="both"/>
                    <w:outlineLvl w:val="5"/>
                    <w:rPr>
                      <w:rFonts w:ascii="Times New Roman" w:eastAsia="Times New Roman" w:hAnsi="Times New Roman" w:cs="Times New Roman"/>
                      <w:iCs/>
                      <w:color w:val="000000"/>
                      <w:sz w:val="23"/>
                      <w:szCs w:val="23"/>
                      <w:lang w:eastAsia="en-US"/>
                    </w:rPr>
                  </w:pPr>
                  <w:r>
                    <w:rPr>
                      <w:rFonts w:ascii="Times New Roman" w:eastAsia="Times New Roman" w:hAnsi="Times New Roman" w:cs="Times New Roman"/>
                      <w:iCs/>
                      <w:color w:val="000000"/>
                      <w:sz w:val="23"/>
                      <w:szCs w:val="23"/>
                      <w:lang w:eastAsia="en-US"/>
                    </w:rPr>
                    <w:t>2 населени места – 5 т.</w:t>
                  </w:r>
                </w:p>
                <w:p w:rsidR="009329C9" w:rsidRDefault="00B5212B">
                  <w:pPr>
                    <w:keepNext/>
                    <w:keepLines/>
                    <w:numPr>
                      <w:ilvl w:val="0"/>
                      <w:numId w:val="23"/>
                    </w:numPr>
                    <w:spacing w:after="0" w:line="240" w:lineRule="auto"/>
                    <w:contextualSpacing/>
                    <w:jc w:val="both"/>
                    <w:outlineLvl w:val="5"/>
                    <w:rPr>
                      <w:rFonts w:ascii="Times New Roman" w:eastAsia="Times New Roman" w:hAnsi="Times New Roman" w:cs="Times New Roman"/>
                      <w:iCs/>
                      <w:color w:val="000000"/>
                      <w:sz w:val="23"/>
                      <w:szCs w:val="23"/>
                      <w:lang w:eastAsia="en-US"/>
                    </w:rPr>
                  </w:pPr>
                  <w:r>
                    <w:rPr>
                      <w:rFonts w:ascii="Times New Roman" w:eastAsia="Times New Roman" w:hAnsi="Times New Roman" w:cs="Times New Roman"/>
                      <w:iCs/>
                      <w:color w:val="000000"/>
                      <w:sz w:val="23"/>
                      <w:szCs w:val="23"/>
                      <w:lang w:eastAsia="en-US"/>
                    </w:rPr>
                    <w:t>3 населени места – 10 т.</w:t>
                  </w:r>
                </w:p>
                <w:p w:rsidR="009329C9" w:rsidRDefault="00B5212B">
                  <w:pPr>
                    <w:keepNext/>
                    <w:keepLines/>
                    <w:numPr>
                      <w:ilvl w:val="0"/>
                      <w:numId w:val="23"/>
                    </w:numPr>
                    <w:spacing w:after="0" w:line="240" w:lineRule="auto"/>
                    <w:contextualSpacing/>
                    <w:jc w:val="both"/>
                    <w:outlineLvl w:val="5"/>
                    <w:rPr>
                      <w:rFonts w:ascii="Times New Roman" w:eastAsia="Times New Roman" w:hAnsi="Times New Roman" w:cs="Times New Roman"/>
                      <w:iCs/>
                      <w:color w:val="000000"/>
                      <w:sz w:val="23"/>
                      <w:szCs w:val="23"/>
                      <w:lang w:eastAsia="en-US"/>
                    </w:rPr>
                  </w:pPr>
                  <w:r>
                    <w:rPr>
                      <w:rFonts w:ascii="Times New Roman" w:eastAsia="Times New Roman" w:hAnsi="Times New Roman" w:cs="Times New Roman"/>
                      <w:iCs/>
                      <w:color w:val="000000"/>
                      <w:sz w:val="23"/>
                      <w:szCs w:val="23"/>
                      <w:lang w:eastAsia="en-US"/>
                    </w:rPr>
                    <w:t>4 и повече – 20 т.</w:t>
                  </w:r>
                </w:p>
              </w:tc>
              <w:tc>
                <w:tcPr>
                  <w:tcW w:w="993" w:type="dxa"/>
                </w:tcPr>
                <w:p w:rsidR="009329C9" w:rsidRDefault="00B5212B">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20</w:t>
                  </w:r>
                </w:p>
              </w:tc>
            </w:tr>
            <w:tr w:rsidR="009329C9">
              <w:tc>
                <w:tcPr>
                  <w:tcW w:w="7966" w:type="dxa"/>
                </w:tcPr>
                <w:p w:rsidR="009329C9" w:rsidRDefault="00B5212B">
                  <w:pPr>
                    <w:autoSpaceDE w:val="0"/>
                    <w:autoSpaceDN w:val="0"/>
                    <w:adjustRightInd w:val="0"/>
                    <w:spacing w:after="0" w:line="240" w:lineRule="auto"/>
                    <w:contextualSpacing/>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5.Проекти, осигуряващи общо подобряване и модернизация на образователната  среда</w:t>
                  </w:r>
                </w:p>
              </w:tc>
              <w:tc>
                <w:tcPr>
                  <w:tcW w:w="993" w:type="dxa"/>
                </w:tcPr>
                <w:p w:rsidR="009329C9" w:rsidRDefault="00B5212B">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w:t>
                  </w:r>
                </w:p>
              </w:tc>
            </w:tr>
            <w:tr w:rsidR="009329C9">
              <w:tc>
                <w:tcPr>
                  <w:tcW w:w="7966" w:type="dxa"/>
                </w:tcPr>
                <w:p w:rsidR="009329C9" w:rsidRDefault="00B5212B">
                  <w:pPr>
                    <w:spacing w:after="0" w:line="240" w:lineRule="auto"/>
                    <w:contextualSpacing/>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 xml:space="preserve">6.Проектът е свързан с други цели и приоритети от ОП НОИР, които не са включени в конкретната мярка или с други проекти по ОПНОИР, реализирани на територията като подобряване на околната среда за уязвими групи, подобряване на семейната и жилищна среда, вкл. за децата и др. </w:t>
                  </w:r>
                </w:p>
              </w:tc>
              <w:tc>
                <w:tcPr>
                  <w:tcW w:w="993" w:type="dxa"/>
                </w:tcPr>
                <w:p w:rsidR="009329C9" w:rsidRDefault="00B5212B">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w:t>
                  </w:r>
                </w:p>
              </w:tc>
            </w:tr>
            <w:tr w:rsidR="009329C9">
              <w:tc>
                <w:tcPr>
                  <w:tcW w:w="7966" w:type="dxa"/>
                </w:tcPr>
                <w:p w:rsidR="009329C9" w:rsidRDefault="00B5212B">
                  <w:pPr>
                    <w:spacing w:after="0" w:line="240" w:lineRule="auto"/>
                    <w:rPr>
                      <w:rFonts w:ascii="Times New Roman" w:eastAsia="Times New Roman" w:hAnsi="Times New Roman" w:cs="Times New Roman"/>
                      <w:b/>
                      <w:sz w:val="23"/>
                      <w:szCs w:val="23"/>
                    </w:rPr>
                  </w:pPr>
                  <w:r>
                    <w:rPr>
                      <w:rFonts w:ascii="Times New Roman" w:eastAsia="Times New Roman" w:hAnsi="Times New Roman" w:cs="Times New Roman"/>
                      <w:b/>
                      <w:sz w:val="23"/>
                      <w:szCs w:val="23"/>
                    </w:rPr>
                    <w:t>ОБЩО</w:t>
                  </w:r>
                </w:p>
              </w:tc>
              <w:tc>
                <w:tcPr>
                  <w:tcW w:w="993" w:type="dxa"/>
                </w:tcPr>
                <w:p w:rsidR="009329C9" w:rsidRDefault="00B5212B">
                  <w:pPr>
                    <w:spacing w:after="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100</w:t>
                  </w:r>
                </w:p>
              </w:tc>
            </w:tr>
          </w:tbl>
          <w:p w:rsidR="009329C9" w:rsidRDefault="009329C9">
            <w:pPr>
              <w:tabs>
                <w:tab w:val="left" w:pos="238"/>
              </w:tabs>
              <w:spacing w:after="386" w:line="413" w:lineRule="exact"/>
              <w:ind w:left="60" w:right="20"/>
              <w:jc w:val="both"/>
              <w:rPr>
                <w:rFonts w:ascii="Times New Roman" w:eastAsia="Calibri" w:hAnsi="Times New Roman" w:cs="Times New Roman"/>
                <w:sz w:val="23"/>
                <w:szCs w:val="23"/>
                <w:lang w:eastAsia="en-US"/>
              </w:rPr>
            </w:pPr>
          </w:p>
        </w:tc>
      </w:tr>
    </w:tbl>
    <w:p w:rsidR="009329C9" w:rsidRDefault="00B5212B">
      <w:pPr>
        <w:pStyle w:val="2"/>
        <w:rPr>
          <w:rFonts w:ascii="Times New Roman" w:eastAsia="Times New Roman" w:hAnsi="Times New Roman" w:cs="Times New Roman"/>
          <w:b/>
          <w:color w:val="auto"/>
          <w:sz w:val="24"/>
          <w:szCs w:val="24"/>
          <w:lang w:eastAsia="en-US"/>
        </w:rPr>
      </w:pPr>
      <w:r>
        <w:rPr>
          <w:rFonts w:ascii="Times New Roman" w:hAnsi="Times New Roman" w:cs="Times New Roman"/>
          <w:b/>
          <w:i/>
          <w:iCs/>
          <w:color w:val="auto"/>
          <w:sz w:val="24"/>
          <w:szCs w:val="24"/>
        </w:rPr>
        <w:lastRenderedPageBreak/>
        <w:t>ОПРЧР (ЕСФ</w:t>
      </w:r>
      <w:r>
        <w:rPr>
          <w:rFonts w:ascii="Times New Roman" w:hAnsi="Times New Roman" w:cs="Times New Roman"/>
          <w:b/>
          <w:iCs/>
          <w:color w:val="auto"/>
          <w:sz w:val="24"/>
          <w:szCs w:val="24"/>
        </w:rPr>
        <w:t>)</w:t>
      </w:r>
    </w:p>
    <w:tbl>
      <w:tblPr>
        <w:tblStyle w:val="TableGrid5"/>
        <w:tblW w:w="10349" w:type="dxa"/>
        <w:tblInd w:w="-176" w:type="dxa"/>
        <w:tblLayout w:type="fixed"/>
        <w:tblLook w:val="04A0" w:firstRow="1" w:lastRow="0" w:firstColumn="1" w:lastColumn="0" w:noHBand="0" w:noVBand="1"/>
      </w:tblPr>
      <w:tblGrid>
        <w:gridCol w:w="1560"/>
        <w:gridCol w:w="5954"/>
        <w:gridCol w:w="1275"/>
        <w:gridCol w:w="1560"/>
      </w:tblGrid>
      <w:tr w:rsidR="009329C9">
        <w:tc>
          <w:tcPr>
            <w:tcW w:w="1560" w:type="dxa"/>
            <w:shd w:val="clear" w:color="auto" w:fill="D9D9D9" w:themeFill="background1" w:themeFillShade="D9"/>
          </w:tcPr>
          <w:p w:rsidR="009329C9" w:rsidRDefault="009329C9">
            <w:pPr>
              <w:pStyle w:val="3"/>
              <w:spacing w:line="240" w:lineRule="auto"/>
              <w:outlineLvl w:val="2"/>
              <w:rPr>
                <w:rFonts w:ascii="Times New Roman" w:hAnsi="Times New Roman" w:cs="Times New Roman"/>
                <w:sz w:val="24"/>
                <w:szCs w:val="24"/>
                <w:lang w:eastAsia="en-US"/>
              </w:rPr>
            </w:pPr>
          </w:p>
        </w:tc>
        <w:tc>
          <w:tcPr>
            <w:tcW w:w="8789" w:type="dxa"/>
            <w:gridSpan w:val="3"/>
            <w:shd w:val="clear" w:color="auto" w:fill="D9D9D9" w:themeFill="background1" w:themeFillShade="D9"/>
          </w:tcPr>
          <w:p w:rsidR="009329C9" w:rsidRDefault="00B5212B">
            <w:pPr>
              <w:pStyle w:val="3"/>
              <w:spacing w:line="240" w:lineRule="auto"/>
              <w:jc w:val="center"/>
              <w:outlineLvl w:val="2"/>
              <w:rPr>
                <w:rFonts w:ascii="Times New Roman" w:hAnsi="Times New Roman" w:cs="Times New Roman"/>
                <w:sz w:val="24"/>
                <w:szCs w:val="24"/>
                <w:lang w:eastAsia="en-US"/>
              </w:rPr>
            </w:pPr>
            <w:r>
              <w:rPr>
                <w:rFonts w:ascii="Times New Roman" w:hAnsi="Times New Roman" w:cs="Times New Roman"/>
                <w:color w:val="auto"/>
                <w:sz w:val="24"/>
                <w:szCs w:val="24"/>
                <w:lang w:eastAsia="en-US"/>
              </w:rPr>
              <w:t>Общи условия по стратегията за ВОМР от ОПРЧР</w:t>
            </w:r>
          </w:p>
        </w:tc>
      </w:tr>
      <w:tr w:rsidR="009329C9">
        <w:tc>
          <w:tcPr>
            <w:tcW w:w="1560" w:type="dxa"/>
            <w:shd w:val="clear" w:color="auto" w:fill="D9D9D9" w:themeFill="background1" w:themeFillShade="D9"/>
          </w:tcPr>
          <w:p w:rsidR="009329C9" w:rsidRDefault="00B5212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Водещи принципи:</w:t>
            </w:r>
          </w:p>
        </w:tc>
        <w:tc>
          <w:tcPr>
            <w:tcW w:w="8789" w:type="dxa"/>
            <w:gridSpan w:val="3"/>
          </w:tcPr>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b/>
                <w:color w:val="000000"/>
                <w:sz w:val="24"/>
                <w:szCs w:val="24"/>
                <w:lang w:eastAsia="en-US"/>
              </w:rPr>
              <w:t xml:space="preserve">Съответствие - </w:t>
            </w:r>
            <w:r>
              <w:rPr>
                <w:rFonts w:ascii="Times New Roman" w:eastAsia="Calibri" w:hAnsi="Times New Roman" w:cs="Times New Roman"/>
                <w:color w:val="000000"/>
                <w:sz w:val="24"/>
                <w:szCs w:val="24"/>
                <w:lang w:eastAsia="en-US"/>
              </w:rPr>
              <w:t>със специфичните цели на програмата и релевантните национални и европейски стратегически документи и с приоритетите на стратегиите за местно развитие;</w:t>
            </w:r>
            <w:r>
              <w:rPr>
                <w:rFonts w:ascii="Times New Roman" w:eastAsia="Calibri" w:hAnsi="Times New Roman" w:cs="Times New Roman"/>
                <w:b/>
                <w:color w:val="000000"/>
                <w:sz w:val="24"/>
                <w:szCs w:val="24"/>
                <w:lang w:eastAsia="en-US"/>
              </w:rPr>
              <w:t xml:space="preserve">Финансиране, основано на нуждите - </w:t>
            </w:r>
            <w:r>
              <w:rPr>
                <w:rFonts w:ascii="Times New Roman" w:eastAsia="Calibri" w:hAnsi="Times New Roman" w:cs="Times New Roman"/>
                <w:color w:val="000000"/>
                <w:sz w:val="24"/>
                <w:szCs w:val="24"/>
                <w:lang w:eastAsia="en-US"/>
              </w:rPr>
              <w:t xml:space="preserve">избраните мерки трябва да отговарят на нуждите и потребностите на целевите групи; </w:t>
            </w:r>
            <w:r>
              <w:rPr>
                <w:rFonts w:ascii="Times New Roman" w:eastAsia="Calibri" w:hAnsi="Times New Roman" w:cs="Times New Roman"/>
                <w:b/>
                <w:color w:val="000000"/>
                <w:sz w:val="24"/>
                <w:szCs w:val="24"/>
                <w:lang w:eastAsia="en-US"/>
              </w:rPr>
              <w:t xml:space="preserve">Спазване на принципите за добро финансово управление - </w:t>
            </w:r>
            <w:r>
              <w:rPr>
                <w:rFonts w:ascii="Times New Roman" w:eastAsia="Calibri" w:hAnsi="Times New Roman" w:cs="Times New Roman"/>
                <w:color w:val="000000"/>
                <w:sz w:val="24"/>
                <w:szCs w:val="24"/>
                <w:lang w:eastAsia="en-US"/>
              </w:rPr>
              <w:t xml:space="preserve">да се гарантира, че отпуснатите средства ще се разходват, спазвайки принципите за икономичност, ефективност и ефикасност.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b/>
                <w:color w:val="000000"/>
                <w:sz w:val="24"/>
                <w:szCs w:val="24"/>
                <w:lang w:eastAsia="en-US"/>
              </w:rPr>
              <w:t xml:space="preserve">Координация, допълняемост и синергия - </w:t>
            </w:r>
            <w:r>
              <w:rPr>
                <w:rFonts w:ascii="Times New Roman" w:eastAsia="Calibri" w:hAnsi="Times New Roman" w:cs="Times New Roman"/>
                <w:color w:val="000000"/>
                <w:sz w:val="24"/>
                <w:szCs w:val="24"/>
                <w:lang w:eastAsia="en-US"/>
              </w:rPr>
              <w:t xml:space="preserve">да бъде търсена максимална координация, допълняемост и синергия с други програми и инструменти; </w:t>
            </w:r>
            <w:r>
              <w:rPr>
                <w:rFonts w:ascii="Times New Roman" w:eastAsia="Calibri" w:hAnsi="Times New Roman" w:cs="Times New Roman"/>
                <w:b/>
                <w:color w:val="000000"/>
                <w:sz w:val="24"/>
                <w:szCs w:val="24"/>
                <w:lang w:eastAsia="en-US"/>
              </w:rPr>
              <w:t xml:space="preserve">Устойчивост на инвестициите - </w:t>
            </w:r>
            <w:r>
              <w:rPr>
                <w:rFonts w:ascii="Times New Roman" w:eastAsia="Calibri" w:hAnsi="Times New Roman" w:cs="Times New Roman"/>
                <w:color w:val="000000"/>
                <w:sz w:val="24"/>
                <w:szCs w:val="24"/>
                <w:lang w:eastAsia="en-US"/>
              </w:rPr>
              <w:t>да се планира осигуряване на устойчивост на постигнатите резултати и след приключване изпълнението на проектите</w:t>
            </w:r>
            <w:r>
              <w:rPr>
                <w:rFonts w:ascii="Times New Roman" w:eastAsia="Calibri" w:hAnsi="Times New Roman" w:cs="Times New Roman"/>
                <w:b/>
                <w:color w:val="000000"/>
                <w:sz w:val="24"/>
                <w:szCs w:val="24"/>
                <w:lang w:eastAsia="en-US"/>
              </w:rPr>
              <w:t>;Избягване на двойно финансиране</w:t>
            </w:r>
            <w:r>
              <w:rPr>
                <w:rFonts w:ascii="Times New Roman" w:eastAsia="Calibri" w:hAnsi="Times New Roman" w:cs="Times New Roman"/>
                <w:color w:val="000000"/>
                <w:sz w:val="24"/>
                <w:szCs w:val="24"/>
                <w:lang w:eastAsia="en-US"/>
              </w:rPr>
              <w:t xml:space="preserve"> –не е допустимо едни и същи представители на целевите групи да бъдат включвани в едни и същи дейности или да получават едни и същи услуги, финансирани от различни източници; </w:t>
            </w:r>
            <w:r>
              <w:rPr>
                <w:rFonts w:ascii="Times New Roman" w:eastAsia="Calibri" w:hAnsi="Times New Roman" w:cs="Times New Roman"/>
                <w:b/>
                <w:color w:val="000000"/>
                <w:sz w:val="24"/>
                <w:szCs w:val="24"/>
                <w:lang w:eastAsia="en-US"/>
              </w:rPr>
              <w:t xml:space="preserve">Съответствие с хоризонталните принципи </w:t>
            </w:r>
            <w:r>
              <w:rPr>
                <w:rFonts w:ascii="Times New Roman" w:eastAsia="Calibri" w:hAnsi="Times New Roman" w:cs="Times New Roman"/>
                <w:color w:val="000000"/>
                <w:sz w:val="24"/>
                <w:szCs w:val="24"/>
                <w:lang w:eastAsia="en-US"/>
              </w:rPr>
              <w:t>- дейностите в мерките да са в съответствие с хоризонталните принципи по ОП РЧР</w:t>
            </w:r>
            <w:r>
              <w:rPr>
                <w:rFonts w:ascii="Times New Roman" w:eastAsia="Calibri" w:hAnsi="Times New Roman" w:cs="Times New Roman"/>
                <w:b/>
                <w:color w:val="000000"/>
                <w:sz w:val="24"/>
                <w:szCs w:val="24"/>
                <w:lang w:eastAsia="en-US"/>
              </w:rPr>
              <w:t>; Недопустимост на дейности</w:t>
            </w:r>
            <w:r>
              <w:rPr>
                <w:rFonts w:ascii="Times New Roman" w:eastAsia="Calibri" w:hAnsi="Times New Roman" w:cs="Times New Roman"/>
                <w:color w:val="000000"/>
                <w:sz w:val="24"/>
                <w:szCs w:val="24"/>
                <w:lang w:eastAsia="en-US"/>
              </w:rPr>
              <w:t>;</w:t>
            </w:r>
          </w:p>
        </w:tc>
      </w:tr>
      <w:tr w:rsidR="009329C9">
        <w:tc>
          <w:tcPr>
            <w:tcW w:w="1560" w:type="dxa"/>
            <w:shd w:val="clear" w:color="auto" w:fill="D9D9D9" w:themeFill="background1" w:themeFillShade="D9"/>
          </w:tcPr>
          <w:p w:rsidR="009329C9" w:rsidRDefault="00B5212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Допустими разходи</w:t>
            </w:r>
          </w:p>
        </w:tc>
        <w:tc>
          <w:tcPr>
            <w:tcW w:w="8789" w:type="dxa"/>
            <w:gridSpan w:val="3"/>
          </w:tcPr>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Съгласно глава 5, раздел I от ЗУСЕСИФ, за да бъдат допустими разходите трябва да отговарят едновременно на следните условия: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2. разходите попадат във включени в документите по чл. 26, ал. 1 и в одобрения проект категории разходи;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3. разходите са за реално доставени продукти, извършени услуги и строителни дейности;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4. разходите са извършени законосъобразно съгласно приложимото право на Европейския съюз и българското законодателство;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7. разходите са съобразени с приложимите правила за предоставяне на държавни помощи.</w:t>
            </w:r>
          </w:p>
        </w:tc>
      </w:tr>
      <w:tr w:rsidR="009329C9">
        <w:tc>
          <w:tcPr>
            <w:tcW w:w="1560" w:type="dxa"/>
            <w:shd w:val="clear" w:color="auto" w:fill="D9D9D9" w:themeFill="background1" w:themeFillShade="D9"/>
          </w:tcPr>
          <w:p w:rsidR="009329C9" w:rsidRDefault="00B5212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Недопустими </w:t>
            </w:r>
          </w:p>
          <w:p w:rsidR="009329C9" w:rsidRDefault="00B5212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разходи</w:t>
            </w:r>
          </w:p>
        </w:tc>
        <w:tc>
          <w:tcPr>
            <w:tcW w:w="8789" w:type="dxa"/>
            <w:gridSpan w:val="3"/>
          </w:tcPr>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lastRenderedPageBreak/>
              <w:t xml:space="preserve">- глоби, финансови санкции и разходи за разрешаване на спорове;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комисионите и загубите от курсови разлики при обмяна на чужда валута;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данък върху добавената стойност, освен когато не е възстановим;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закупуване на дълготрайни материални активи - втора употреба;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субсидиране на лихва по одобрени схеми за държавни помощи и разноските за финансови транзакции;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разходи за закупуване на инфраструктура, земя и недвижимо имущество;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9329C9" w:rsidRDefault="00B5212B">
            <w:pPr>
              <w:spacing w:after="0" w:line="240" w:lineRule="auto"/>
              <w:rPr>
                <w:rFonts w:ascii="Times New Roman" w:eastAsia="Calibri" w:hAnsi="Times New Roman" w:cs="Times New Roman"/>
                <w:b/>
                <w:lang w:eastAsia="en-US"/>
              </w:rPr>
            </w:pPr>
            <w:r>
              <w:rPr>
                <w:rFonts w:ascii="Times New Roman" w:eastAsia="Calibri" w:hAnsi="Times New Roman" w:cs="Times New Roman"/>
                <w:sz w:val="24"/>
                <w:szCs w:val="24"/>
                <w:lang w:eastAsia="en-US"/>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9329C9">
        <w:tc>
          <w:tcPr>
            <w:tcW w:w="1560" w:type="dxa"/>
            <w:shd w:val="clear" w:color="auto" w:fill="D9D9D9" w:themeFill="background1" w:themeFillShade="D9"/>
          </w:tcPr>
          <w:p w:rsidR="009329C9" w:rsidRDefault="00B5212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lastRenderedPageBreak/>
              <w:t>Режим на минимална помощ</w:t>
            </w:r>
          </w:p>
        </w:tc>
        <w:tc>
          <w:tcPr>
            <w:tcW w:w="8789" w:type="dxa"/>
            <w:gridSpan w:val="3"/>
          </w:tcPr>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Мерките по ОП РЧР ще се изпълняват в съответствие с правилата за минимална помощ (правилото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deminimis, публикуван в Официален вестник на ЕС L 352 от 24.12.2013г.</w:t>
            </w:r>
          </w:p>
        </w:tc>
      </w:tr>
      <w:tr w:rsidR="009329C9">
        <w:trPr>
          <w:trHeight w:val="1984"/>
        </w:trPr>
        <w:tc>
          <w:tcPr>
            <w:tcW w:w="1560" w:type="dxa"/>
            <w:shd w:val="clear" w:color="auto" w:fill="D9D9D9" w:themeFill="background1" w:themeFillShade="D9"/>
          </w:tcPr>
          <w:p w:rsidR="009329C9" w:rsidRDefault="00B5212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Демаркация</w:t>
            </w:r>
          </w:p>
        </w:tc>
        <w:tc>
          <w:tcPr>
            <w:tcW w:w="8789" w:type="dxa"/>
            <w:gridSpan w:val="3"/>
          </w:tcPr>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val="en-US" w:eastAsia="en-US"/>
              </w:rPr>
            </w:pPr>
            <w:r>
              <w:rPr>
                <w:rFonts w:ascii="Times New Roman" w:eastAsia="Calibri" w:hAnsi="Times New Roman" w:cs="Times New Roman"/>
                <w:color w:val="000000"/>
                <w:sz w:val="24"/>
                <w:szCs w:val="24"/>
                <w:lang w:eastAsia="en-US"/>
              </w:rPr>
              <w:t>С цел избягване на препокриване на сферите на подкрепа и двойното финансиране на проекти, както и за максимално увеличаване на полезните взаимодействия между фондовете чрез допълняемост между тях, се спазват правилата на ОПРЧР за</w:t>
            </w:r>
            <w:r>
              <w:rPr>
                <w:rFonts w:ascii="Times New Roman" w:eastAsia="Calibri" w:hAnsi="Times New Roman" w:cs="Times New Roman"/>
                <w:b/>
                <w:bCs/>
                <w:color w:val="000000"/>
                <w:sz w:val="24"/>
                <w:szCs w:val="24"/>
                <w:lang w:eastAsia="en-US"/>
              </w:rPr>
              <w:t xml:space="preserve">Демаркация, </w:t>
            </w:r>
            <w:r>
              <w:rPr>
                <w:rFonts w:ascii="Times New Roman" w:eastAsia="Calibri" w:hAnsi="Times New Roman" w:cs="Times New Roman"/>
                <w:bCs/>
                <w:color w:val="000000"/>
                <w:sz w:val="24"/>
                <w:szCs w:val="24"/>
                <w:lang w:eastAsia="en-US"/>
              </w:rPr>
              <w:t xml:space="preserve">описани в т. </w:t>
            </w:r>
            <w:r>
              <w:rPr>
                <w:rFonts w:ascii="Times New Roman" w:eastAsia="Calibri" w:hAnsi="Times New Roman" w:cs="Times New Roman"/>
                <w:bCs/>
                <w:color w:val="000000"/>
                <w:sz w:val="24"/>
                <w:szCs w:val="24"/>
                <w:lang w:val="en-US" w:eastAsia="en-US"/>
              </w:rPr>
              <w:t>VI</w:t>
            </w:r>
            <w:r>
              <w:rPr>
                <w:rFonts w:ascii="Times New Roman" w:eastAsia="Calibri" w:hAnsi="Times New Roman" w:cs="Times New Roman"/>
                <w:bCs/>
                <w:color w:val="000000"/>
                <w:sz w:val="24"/>
                <w:szCs w:val="24"/>
                <w:lang w:eastAsia="en-US"/>
              </w:rPr>
              <w:t xml:space="preserve"> от „Указания от УО на ОП РЧР за прилагането на подхода ВОМР с ресурси от ОП РЧР“(актуализирани за втори прием на стратегии за ВОМР). По отношение на недопускане на двойно финансиране с мерки от оперативните програми ОПНОИР, ОПИК и ОПОС е задължително следването на демаркацията с тези програми, както е описана в Раздел 8 на ОП РЧР 2014 – 2020.</w:t>
            </w:r>
          </w:p>
        </w:tc>
      </w:tr>
      <w:tr w:rsidR="009329C9">
        <w:trPr>
          <w:trHeight w:val="1984"/>
        </w:trPr>
        <w:tc>
          <w:tcPr>
            <w:tcW w:w="1560" w:type="dxa"/>
            <w:shd w:val="clear" w:color="auto" w:fill="D9D9D9" w:themeFill="background1" w:themeFillShade="D9"/>
          </w:tcPr>
          <w:p w:rsidR="009329C9" w:rsidRDefault="00B5212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Общи </w:t>
            </w:r>
          </w:p>
          <w:p w:rsidR="009329C9" w:rsidRDefault="00B5212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изисквания към </w:t>
            </w:r>
          </w:p>
          <w:p w:rsidR="009329C9" w:rsidRDefault="00B5212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кандидатите</w:t>
            </w:r>
          </w:p>
        </w:tc>
        <w:tc>
          <w:tcPr>
            <w:tcW w:w="8789" w:type="dxa"/>
            <w:gridSpan w:val="3"/>
          </w:tcPr>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-Да отговаря на изискванията за предоставяне на минимални помощи, в съответствие с приложимото законодателство;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Да разполага с финансов капацитет, който се оценява по предоставена от УО на ОП РЧР методика за оценка на финансовия капацитет;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Когато кандидатът е община и тя кандидатства с партньор/и или партньор по проекта е община, тя трябва да представи Решение на Общинския съвет за подаване на проектно предложение по конкретната процедура и Решение на Общинския съвет за одобряване на споразумение за общинско сътрудничество с партньора за кандидатстването по проекта, съгласно чл. 59 и сл. от ЗМСМА; </w:t>
            </w:r>
          </w:p>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Кандидатите могат да участват в партньорство в зависимост от спецификата на обявената мярка. </w:t>
            </w:r>
          </w:p>
          <w:p w:rsidR="009329C9" w:rsidRDefault="00B5212B">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Съгласно чл.131, т.3 от Регламент (ЕС) 966/2012 г. изискванията за доказване на финансов капацитет на кандидата не се отнасят за публични органи.</w:t>
            </w:r>
          </w:p>
          <w:p w:rsidR="009329C9" w:rsidRDefault="00B5212B">
            <w:pPr>
              <w:autoSpaceDE w:val="0"/>
              <w:autoSpaceDN w:val="0"/>
              <w:adjustRightInd w:val="0"/>
              <w:spacing w:after="0" w:line="240" w:lineRule="auto"/>
              <w:rPr>
                <w:rFonts w:ascii="Times New Roman" w:eastAsia="Calibri" w:hAnsi="Times New Roman" w:cs="Times New Roman"/>
                <w:i/>
                <w:color w:val="000000"/>
                <w:lang w:eastAsia="en-US"/>
              </w:rPr>
            </w:pPr>
            <w:r>
              <w:rPr>
                <w:rFonts w:ascii="Times New Roman" w:eastAsia="Times New Roman" w:hAnsi="Times New Roman" w:cs="Times New Roman"/>
                <w:sz w:val="24"/>
                <w:szCs w:val="24"/>
                <w:lang w:eastAsia="en-US"/>
              </w:rPr>
              <w:t>Допустими са само кандидати със седалище и постоянен адрес или адрес на управление  на територията на МИГ „Свиленград Ареал“.</w:t>
            </w:r>
          </w:p>
        </w:tc>
      </w:tr>
      <w:tr w:rsidR="009329C9">
        <w:trPr>
          <w:trHeight w:val="1263"/>
        </w:trPr>
        <w:tc>
          <w:tcPr>
            <w:tcW w:w="1560" w:type="dxa"/>
            <w:shd w:val="clear" w:color="auto" w:fill="D9D9D9" w:themeFill="background1" w:themeFillShade="D9"/>
          </w:tcPr>
          <w:p w:rsidR="009329C9" w:rsidRDefault="00B5212B">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Общи </w:t>
            </w:r>
          </w:p>
          <w:p w:rsidR="009329C9" w:rsidRDefault="00B5212B">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критерии за избор на проекти по ОП РЧР</w:t>
            </w:r>
          </w:p>
        </w:tc>
        <w:tc>
          <w:tcPr>
            <w:tcW w:w="8789" w:type="dxa"/>
            <w:gridSpan w:val="3"/>
          </w:tcPr>
          <w:p w:rsidR="009329C9" w:rsidRDefault="00B5212B">
            <w:pPr>
              <w:autoSpaceDE w:val="0"/>
              <w:autoSpaceDN w:val="0"/>
              <w:adjustRightInd w:val="0"/>
              <w:spacing w:after="0" w:line="240" w:lineRule="auto"/>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Обща информация:</w:t>
            </w:r>
          </w:p>
          <w:p w:rsidR="009329C9" w:rsidRDefault="00B5212B">
            <w:pPr>
              <w:autoSpaceDE w:val="0"/>
              <w:autoSpaceDN w:val="0"/>
              <w:adjustRightInd w:val="0"/>
              <w:spacing w:after="0" w:line="240" w:lineRule="auto"/>
              <w:rPr>
                <w:rFonts w:ascii="Times New Roman" w:eastAsia="Calibri" w:hAnsi="Times New Roman" w:cs="Times New Roman"/>
                <w:bCs/>
                <w:color w:val="000000"/>
                <w:sz w:val="23"/>
                <w:szCs w:val="23"/>
                <w:lang w:eastAsia="en-US"/>
              </w:rPr>
            </w:pPr>
            <w:r>
              <w:rPr>
                <w:rFonts w:ascii="Times New Roman" w:eastAsia="Calibri" w:hAnsi="Times New Roman" w:cs="Times New Roman"/>
                <w:bCs/>
                <w:color w:val="000000"/>
                <w:sz w:val="24"/>
                <w:szCs w:val="24"/>
                <w:lang w:eastAsia="en-US"/>
              </w:rPr>
              <w:t>Тези критерии са задължителни за всички мерки от ОП РЧР, включени в стратегията за ВОМР. В отделните мерки са включен специфични за територията допълнителни критерии за мярката</w:t>
            </w:r>
            <w:r>
              <w:rPr>
                <w:rFonts w:ascii="Times New Roman" w:eastAsia="Calibri" w:hAnsi="Times New Roman" w:cs="Times New Roman"/>
                <w:bCs/>
                <w:color w:val="000000"/>
                <w:sz w:val="23"/>
                <w:szCs w:val="23"/>
                <w:lang w:eastAsia="en-US"/>
              </w:rPr>
              <w:t>.</w:t>
            </w:r>
          </w:p>
          <w:p w:rsidR="009329C9" w:rsidRDefault="00B5212B">
            <w:pPr>
              <w:autoSpaceDE w:val="0"/>
              <w:autoSpaceDN w:val="0"/>
              <w:adjustRightInd w:val="0"/>
              <w:spacing w:after="0" w:line="240" w:lineRule="auto"/>
              <w:rPr>
                <w:rFonts w:ascii="Times New Roman" w:eastAsia="Calibri" w:hAnsi="Times New Roman" w:cs="Times New Roman"/>
                <w:bCs/>
                <w:color w:val="000000"/>
                <w:sz w:val="23"/>
                <w:szCs w:val="23"/>
                <w:lang w:eastAsia="en-US"/>
              </w:rPr>
            </w:pPr>
            <w:r>
              <w:rPr>
                <w:rFonts w:ascii="Times New Roman" w:eastAsia="Calibri" w:hAnsi="Times New Roman" w:cs="Times New Roman"/>
                <w:bCs/>
                <w:color w:val="000000"/>
                <w:sz w:val="23"/>
                <w:szCs w:val="23"/>
                <w:lang w:eastAsia="en-US"/>
              </w:rPr>
              <w:t>Ако общият брой получени точки за всеки от разделите 1 и 2 в долната таблица е по-</w:t>
            </w:r>
            <w:r>
              <w:rPr>
                <w:rFonts w:ascii="Times New Roman" w:eastAsia="Calibri" w:hAnsi="Times New Roman" w:cs="Times New Roman"/>
                <w:bCs/>
                <w:color w:val="000000"/>
                <w:sz w:val="23"/>
                <w:szCs w:val="23"/>
                <w:lang w:eastAsia="en-US"/>
              </w:rPr>
              <w:lastRenderedPageBreak/>
              <w:t xml:space="preserve">малко от 20 % от максималния брой точки за съответния раздел, проектното предложение се предлага за отхвърляне. </w:t>
            </w:r>
          </w:p>
          <w:p w:rsidR="009329C9" w:rsidRDefault="00B5212B">
            <w:pPr>
              <w:autoSpaceDE w:val="0"/>
              <w:autoSpaceDN w:val="0"/>
              <w:adjustRightInd w:val="0"/>
              <w:spacing w:after="0" w:line="240" w:lineRule="auto"/>
              <w:rPr>
                <w:rFonts w:ascii="Times New Roman" w:eastAsia="Calibri" w:hAnsi="Times New Roman" w:cs="Times New Roman"/>
                <w:bCs/>
                <w:color w:val="000000"/>
                <w:sz w:val="23"/>
                <w:szCs w:val="23"/>
                <w:lang w:eastAsia="en-US"/>
              </w:rPr>
            </w:pPr>
            <w:r>
              <w:rPr>
                <w:rFonts w:ascii="Times New Roman" w:eastAsia="Calibri" w:hAnsi="Times New Roman" w:cs="Times New Roman"/>
                <w:bCs/>
                <w:color w:val="000000"/>
                <w:sz w:val="23"/>
                <w:szCs w:val="23"/>
                <w:lang w:eastAsia="en-US"/>
              </w:rPr>
              <w:t xml:space="preserve">Ако общият брой получени точки за всеки от разделите 3 и 4 е по-малко от 30 % от максималния брой точки за съответния раздел, проектното предложение се предлага за отхвърляне. </w:t>
            </w:r>
          </w:p>
          <w:p w:rsidR="009329C9" w:rsidRDefault="00B5212B">
            <w:pPr>
              <w:autoSpaceDE w:val="0"/>
              <w:autoSpaceDN w:val="0"/>
              <w:adjustRightInd w:val="0"/>
              <w:spacing w:after="0" w:line="240" w:lineRule="auto"/>
              <w:rPr>
                <w:rFonts w:ascii="Times New Roman" w:eastAsia="Calibri" w:hAnsi="Times New Roman" w:cs="Times New Roman"/>
                <w:bCs/>
                <w:sz w:val="23"/>
                <w:szCs w:val="23"/>
                <w:lang w:eastAsia="en-US"/>
              </w:rPr>
            </w:pPr>
            <w:r>
              <w:rPr>
                <w:rFonts w:ascii="Times New Roman" w:eastAsia="Calibri" w:hAnsi="Times New Roman" w:cs="Times New Roman"/>
                <w:bCs/>
                <w:sz w:val="23"/>
                <w:szCs w:val="23"/>
                <w:lang w:eastAsia="en-US"/>
              </w:rPr>
              <w:t xml:space="preserve">За да бъде предложено за финансиране едно проектно предложение, общата крайна оценка на етап техническа и финансова оценка трябва да е равна на или по-голяма от 60 т. </w:t>
            </w:r>
          </w:p>
          <w:p w:rsidR="009329C9" w:rsidRDefault="00B5212B">
            <w:pPr>
              <w:autoSpaceDE w:val="0"/>
              <w:autoSpaceDN w:val="0"/>
              <w:adjustRightInd w:val="0"/>
              <w:spacing w:after="0" w:line="240" w:lineRule="auto"/>
              <w:rPr>
                <w:rFonts w:ascii="Times New Roman" w:eastAsia="Calibri" w:hAnsi="Times New Roman" w:cs="Times New Roman"/>
                <w:b/>
                <w:bCs/>
                <w:color w:val="FF0000"/>
                <w:sz w:val="23"/>
                <w:szCs w:val="23"/>
                <w:lang w:eastAsia="en-US"/>
              </w:rPr>
            </w:pPr>
            <w:r>
              <w:rPr>
                <w:rFonts w:ascii="Times New Roman" w:eastAsia="Calibri" w:hAnsi="Times New Roman" w:cs="Times New Roman"/>
                <w:b/>
                <w:bCs/>
                <w:color w:val="000000"/>
                <w:sz w:val="23"/>
                <w:szCs w:val="23"/>
                <w:lang w:eastAsia="en-US"/>
              </w:rPr>
              <w:t>Критерии:</w:t>
            </w: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b/>
                <w:bCs/>
                <w:color w:val="000000"/>
                <w:sz w:val="24"/>
                <w:szCs w:val="24"/>
                <w:lang w:eastAsia="en-US"/>
              </w:rPr>
              <w:lastRenderedPageBreak/>
              <w:t xml:space="preserve">Раздел </w:t>
            </w:r>
          </w:p>
        </w:tc>
        <w:tc>
          <w:tcPr>
            <w:tcW w:w="1275"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Pr>
                <w:rFonts w:ascii="Times New Roman" w:eastAsia="Calibri" w:hAnsi="Times New Roman" w:cs="Times New Roman"/>
                <w:b/>
                <w:bCs/>
                <w:color w:val="000000"/>
                <w:sz w:val="24"/>
                <w:szCs w:val="24"/>
                <w:lang w:eastAsia="en-US"/>
              </w:rPr>
              <w:t>Скала на оценка</w:t>
            </w:r>
          </w:p>
        </w:tc>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 xml:space="preserve">Максимален брой </w:t>
            </w:r>
          </w:p>
          <w:p w:rsidR="009329C9" w:rsidRDefault="00B5212B">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Pr>
                <w:rFonts w:ascii="Times New Roman" w:eastAsia="Calibri" w:hAnsi="Times New Roman" w:cs="Times New Roman"/>
                <w:b/>
                <w:bCs/>
                <w:color w:val="000000"/>
                <w:sz w:val="24"/>
                <w:szCs w:val="24"/>
                <w:lang w:eastAsia="en-US"/>
              </w:rPr>
              <w:t>точки</w:t>
            </w:r>
          </w:p>
        </w:tc>
      </w:tr>
      <w:tr w:rsidR="009329C9">
        <w:trPr>
          <w:trHeight w:val="354"/>
        </w:trPr>
        <w:tc>
          <w:tcPr>
            <w:tcW w:w="7514" w:type="dxa"/>
            <w:gridSpan w:val="2"/>
            <w:shd w:val="clear" w:color="auto" w:fill="A6A6A6" w:themeFill="background1" w:themeFillShade="A6"/>
          </w:tcPr>
          <w:tbl>
            <w:tblPr>
              <w:tblW w:w="0" w:type="auto"/>
              <w:tblLayout w:type="fixed"/>
              <w:tblLook w:val="04A0" w:firstRow="1" w:lastRow="0" w:firstColumn="1" w:lastColumn="0" w:noHBand="0" w:noVBand="1"/>
            </w:tblPr>
            <w:tblGrid>
              <w:gridCol w:w="3153"/>
            </w:tblGrid>
            <w:tr w:rsidR="009329C9">
              <w:trPr>
                <w:trHeight w:val="107"/>
              </w:trPr>
              <w:tc>
                <w:tcPr>
                  <w:tcW w:w="3153" w:type="dxa"/>
                </w:tcPr>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b/>
                      <w:bCs/>
                      <w:color w:val="000000"/>
                      <w:sz w:val="24"/>
                      <w:szCs w:val="24"/>
                      <w:lang w:eastAsia="en-US"/>
                    </w:rPr>
                    <w:t>1. Оперативен капацитет</w:t>
                  </w:r>
                </w:p>
              </w:tc>
            </w:tr>
          </w:tbl>
          <w:p w:rsidR="009329C9" w:rsidRDefault="009329C9">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c>
          <w:tcPr>
            <w:tcW w:w="1275" w:type="dxa"/>
            <w:shd w:val="clear" w:color="auto" w:fill="A6A6A6" w:themeFill="background1" w:themeFillShade="A6"/>
          </w:tcPr>
          <w:p w:rsidR="009329C9" w:rsidRDefault="009329C9">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c>
          <w:tcPr>
            <w:tcW w:w="1560" w:type="dxa"/>
            <w:shd w:val="clear" w:color="auto" w:fill="A6A6A6" w:themeFill="background1" w:themeFillShade="A6"/>
          </w:tcPr>
          <w:p w:rsidR="009329C9" w:rsidRDefault="00B5212B">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10</w:t>
            </w: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1.1 Опит на кандидата и партньора/партньорите в управлението на проекти и/или опит в изпълнение на дейности, като тези включени в проектното предложение през последните 5 години: (изброяват се дейностите)</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1.1 А Опит на кандидата в управлението на проекти и/или опит в изпълнение на дейности, като тези включени в проектното предложение през последните 5 години</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1.1. Б Опит на партньора/партньорите в управлението на проекти и/или опит в изпълнение на дейности, подобни на тези включени в проектното предложение през последните 5 години</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 xml:space="preserve">1.2. Опит на законния представител на кандидата (управител, прокурист и др.)/собственика на капитала на организацията </w:t>
            </w:r>
          </w:p>
          <w:p w:rsidR="009329C9" w:rsidRDefault="00B5212B">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в организация,управление/изпълнение на проекти и/или в дейности като тези, включени в проектното предложение и/или управленски опит.</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r>
      <w:tr w:rsidR="009329C9">
        <w:trPr>
          <w:trHeight w:val="354"/>
        </w:trPr>
        <w:tc>
          <w:tcPr>
            <w:tcW w:w="7514" w:type="dxa"/>
            <w:gridSpan w:val="2"/>
            <w:shd w:val="clear" w:color="auto" w:fill="A6A6A6" w:themeFill="background1" w:themeFillShade="A6"/>
          </w:tcPr>
          <w:p w:rsidR="009329C9" w:rsidRDefault="00B5212B">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2. Съответствие</w:t>
            </w:r>
          </w:p>
        </w:tc>
        <w:tc>
          <w:tcPr>
            <w:tcW w:w="1275" w:type="dxa"/>
            <w:shd w:val="clear" w:color="auto" w:fill="A6A6A6" w:themeFill="background1" w:themeFillShade="A6"/>
          </w:tcPr>
          <w:p w:rsidR="009329C9" w:rsidRDefault="009329C9">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560" w:type="dxa"/>
            <w:shd w:val="clear" w:color="auto" w:fill="A6A6A6" w:themeFill="background1" w:themeFillShade="A6"/>
          </w:tcPr>
          <w:p w:rsidR="009329C9" w:rsidRDefault="00B5212B">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15</w:t>
            </w:r>
          </w:p>
        </w:tc>
      </w:tr>
      <w:tr w:rsidR="009329C9">
        <w:trPr>
          <w:trHeight w:val="933"/>
        </w:trPr>
        <w:tc>
          <w:tcPr>
            <w:tcW w:w="7514" w:type="dxa"/>
            <w:gridSpan w:val="2"/>
            <w:shd w:val="clear" w:color="auto" w:fill="D9D9D9" w:themeFill="background1" w:themeFillShade="D9"/>
          </w:tcPr>
          <w:p w:rsidR="009329C9" w:rsidRDefault="00B5212B">
            <w:pPr>
              <w:autoSpaceDE w:val="0"/>
              <w:autoSpaceDN w:val="0"/>
              <w:adjustRightInd w:val="0"/>
              <w:spacing w:after="0"/>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2.1 Описание и обосновка на целите на проекта (оценява се връзката между заложените цели и целите на процедурата, нуждите на целевите групи, както и предвидените резултати)</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2.2 Описание на целевите групи по проекта и техните нужди</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r>
      <w:tr w:rsidR="009329C9">
        <w:trPr>
          <w:trHeight w:val="354"/>
        </w:trPr>
        <w:tc>
          <w:tcPr>
            <w:tcW w:w="7514" w:type="dxa"/>
            <w:gridSpan w:val="2"/>
            <w:shd w:val="clear" w:color="auto" w:fill="A6A6A6" w:themeFill="background1" w:themeFillShade="A6"/>
          </w:tcPr>
          <w:p w:rsidR="009329C9" w:rsidRDefault="00B5212B">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3. Методика и организация</w:t>
            </w:r>
          </w:p>
        </w:tc>
        <w:tc>
          <w:tcPr>
            <w:tcW w:w="1275" w:type="dxa"/>
            <w:shd w:val="clear" w:color="auto" w:fill="A6A6A6" w:themeFill="background1" w:themeFillShade="A6"/>
          </w:tcPr>
          <w:p w:rsidR="009329C9" w:rsidRDefault="009329C9">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560" w:type="dxa"/>
            <w:shd w:val="clear" w:color="auto" w:fill="A6A6A6" w:themeFill="background1" w:themeFillShade="A6"/>
          </w:tcPr>
          <w:p w:rsidR="009329C9" w:rsidRDefault="00B5212B">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30</w:t>
            </w: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3.1 Съответствие на дейностите с целите и очакваните резултати</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3.2 Яснота на изпълнение на дейностите</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r>
      <w:tr w:rsidR="009329C9">
        <w:trPr>
          <w:trHeight w:val="354"/>
        </w:trPr>
        <w:tc>
          <w:tcPr>
            <w:tcW w:w="7514" w:type="dxa"/>
            <w:gridSpan w:val="2"/>
            <w:shd w:val="clear" w:color="auto" w:fill="A6A6A6" w:themeFill="background1" w:themeFillShade="A6"/>
          </w:tcPr>
          <w:p w:rsidR="009329C9" w:rsidRDefault="00B5212B">
            <w:pPr>
              <w:autoSpaceDE w:val="0"/>
              <w:autoSpaceDN w:val="0"/>
              <w:adjustRightInd w:val="0"/>
              <w:spacing w:after="0" w:line="240" w:lineRule="auto"/>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4. Бюджет и ефективност на разходите - Ефективност, ефикасност и икономичност на разходите и структурираност на бюджета</w:t>
            </w:r>
          </w:p>
        </w:tc>
        <w:tc>
          <w:tcPr>
            <w:tcW w:w="1275" w:type="dxa"/>
            <w:shd w:val="clear" w:color="auto" w:fill="A6A6A6" w:themeFill="background1" w:themeFillShade="A6"/>
          </w:tcPr>
          <w:p w:rsidR="009329C9" w:rsidRDefault="009329C9">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560" w:type="dxa"/>
            <w:shd w:val="clear" w:color="auto" w:fill="A6A6A6" w:themeFill="background1" w:themeFillShade="A6"/>
          </w:tcPr>
          <w:p w:rsidR="009329C9" w:rsidRDefault="00B5212B">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15</w:t>
            </w:r>
          </w:p>
        </w:tc>
      </w:tr>
      <w:tr w:rsidR="009329C9">
        <w:trPr>
          <w:trHeight w:val="354"/>
        </w:trPr>
        <w:tc>
          <w:tcPr>
            <w:tcW w:w="7514" w:type="dxa"/>
            <w:gridSpan w:val="2"/>
            <w:shd w:val="clear" w:color="auto" w:fill="A6A6A6" w:themeFill="background1" w:themeFillShade="A6"/>
          </w:tcPr>
          <w:p w:rsidR="009329C9" w:rsidRDefault="00B5212B">
            <w:pPr>
              <w:autoSpaceDE w:val="0"/>
              <w:autoSpaceDN w:val="0"/>
              <w:adjustRightInd w:val="0"/>
              <w:spacing w:after="0" w:line="240" w:lineRule="auto"/>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ОБЩО:</w:t>
            </w:r>
          </w:p>
        </w:tc>
        <w:tc>
          <w:tcPr>
            <w:tcW w:w="1275" w:type="dxa"/>
            <w:shd w:val="clear" w:color="auto" w:fill="A6A6A6" w:themeFill="background1" w:themeFillShade="A6"/>
          </w:tcPr>
          <w:p w:rsidR="009329C9" w:rsidRDefault="009329C9">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560" w:type="dxa"/>
            <w:shd w:val="clear" w:color="auto" w:fill="A6A6A6" w:themeFill="background1" w:themeFillShade="A6"/>
          </w:tcPr>
          <w:p w:rsidR="009329C9" w:rsidRDefault="00B5212B">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70</w:t>
            </w:r>
          </w:p>
        </w:tc>
      </w:tr>
      <w:tr w:rsidR="009329C9">
        <w:trPr>
          <w:trHeight w:val="354"/>
        </w:trPr>
        <w:tc>
          <w:tcPr>
            <w:tcW w:w="7514" w:type="dxa"/>
            <w:gridSpan w:val="2"/>
            <w:shd w:val="clear" w:color="auto" w:fill="A6A6A6" w:themeFill="background1" w:themeFillShade="A6"/>
          </w:tcPr>
          <w:p w:rsidR="009329C9" w:rsidRDefault="00B5212B">
            <w:pPr>
              <w:autoSpaceDE w:val="0"/>
              <w:autoSpaceDN w:val="0"/>
              <w:adjustRightInd w:val="0"/>
              <w:spacing w:after="0" w:line="240" w:lineRule="auto"/>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Специфични за територията на МИГ допълнителни критерии -  посочени са в таблиците по-долу за всяка мярка поотделно.</w:t>
            </w:r>
          </w:p>
        </w:tc>
        <w:tc>
          <w:tcPr>
            <w:tcW w:w="1275" w:type="dxa"/>
            <w:shd w:val="clear" w:color="auto" w:fill="A6A6A6" w:themeFill="background1" w:themeFillShade="A6"/>
          </w:tcPr>
          <w:p w:rsidR="009329C9" w:rsidRDefault="009329C9">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560" w:type="dxa"/>
            <w:shd w:val="clear" w:color="auto" w:fill="A6A6A6" w:themeFill="background1" w:themeFillShade="A6"/>
          </w:tcPr>
          <w:p w:rsidR="009329C9" w:rsidRDefault="00B5212B">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30</w:t>
            </w:r>
          </w:p>
        </w:tc>
      </w:tr>
      <w:tr w:rsidR="009329C9">
        <w:trPr>
          <w:trHeight w:val="278"/>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Общо:</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c>
          <w:tcPr>
            <w:tcW w:w="1560" w:type="dxa"/>
            <w:shd w:val="clear" w:color="auto" w:fill="D9D9D9" w:themeFill="background1" w:themeFillShade="D9"/>
          </w:tcPr>
          <w:p w:rsidR="009329C9" w:rsidRDefault="00B5212B">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100</w:t>
            </w:r>
          </w:p>
        </w:tc>
      </w:tr>
    </w:tbl>
    <w:p w:rsidR="009329C9" w:rsidRDefault="009329C9"/>
    <w:p w:rsidR="009329C9" w:rsidRDefault="009329C9"/>
    <w:p w:rsidR="009329C9" w:rsidRDefault="009329C9"/>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647"/>
      </w:tblGrid>
      <w:tr w:rsidR="009329C9">
        <w:trPr>
          <w:trHeight w:val="169"/>
        </w:trPr>
        <w:tc>
          <w:tcPr>
            <w:tcW w:w="10349" w:type="dxa"/>
            <w:gridSpan w:val="2"/>
            <w:shd w:val="clear" w:color="auto" w:fill="D9D9D9" w:themeFill="background1" w:themeFillShade="D9"/>
          </w:tcPr>
          <w:p w:rsidR="009329C9" w:rsidRDefault="00B5212B">
            <w:pPr>
              <w:pStyle w:val="3"/>
              <w:spacing w:before="0"/>
              <w:jc w:val="center"/>
              <w:rPr>
                <w:rFonts w:ascii="Times New Roman" w:eastAsia="Times New Roman" w:hAnsi="Times New Roman" w:cs="Times New Roman"/>
                <w:sz w:val="28"/>
                <w:szCs w:val="28"/>
              </w:rPr>
            </w:pPr>
            <w:r>
              <w:rPr>
                <w:rFonts w:ascii="Times New Roman" w:eastAsia="Calibri" w:hAnsi="Times New Roman" w:cs="Times New Roman"/>
                <w:color w:val="auto"/>
                <w:sz w:val="28"/>
                <w:szCs w:val="28"/>
                <w:lang w:eastAsia="en-US"/>
              </w:rPr>
              <w:lastRenderedPageBreak/>
              <w:t xml:space="preserve">МЯРКА 1.1 </w:t>
            </w:r>
            <w:r>
              <w:rPr>
                <w:rFonts w:ascii="Times New Roman" w:eastAsia="Times New Roman" w:hAnsi="Times New Roman" w:cs="Times New Roman"/>
                <w:color w:val="auto"/>
                <w:sz w:val="28"/>
                <w:szCs w:val="28"/>
              </w:rPr>
              <w:t>Достъп до заетост</w:t>
            </w:r>
          </w:p>
        </w:tc>
      </w:tr>
      <w:tr w:rsidR="009329C9">
        <w:trPr>
          <w:trHeight w:val="169"/>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Цел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мярката</w:t>
            </w:r>
          </w:p>
        </w:tc>
        <w:tc>
          <w:tcPr>
            <w:tcW w:w="8647" w:type="dxa"/>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Целта на мярката е да съдейства за включване или реинтегриране в пазара на труда на безработни и неактивни лица и създаване на нови работни места. Мярката насърчава развитието на устойчива и качествена заетост на цялата територия на МИГ и подкрепя мобилността на работната сила, както и повишаването квалификацията на населението. Тази цел ще бъде постигната чрез комбинация от дейности за осигуряване на заетост, придобиване на нови умения, включително на работното място, както и предоставяне на разнообразни стимули за работодателите за разкриване на нови работни места. Процедурата ще постави акцент върху интеграцията на различни  уязвими групи на пазара на труда, 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на цялата територия.Мяркатае насочена и към придобиването на знания и създаването на подходящи умения на целевите групи според спецификите на регионалния трудов пазар и потребностите на работодателите от работна сила с определени характеристики. Инвестициите са насочени към постигане на дългосрочни ефекти и реално включване в заетост, осигуряване на по-голяма конкурентоспособност и успешна интеграция на пазара на труда.</w:t>
            </w:r>
          </w:p>
          <w:p w:rsidR="009329C9" w:rsidRDefault="00B5212B">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В съответствие с </w:t>
            </w:r>
            <w:r>
              <w:rPr>
                <w:rFonts w:ascii="Times New Roman" w:eastAsia="Times New Roman" w:hAnsi="Times New Roman" w:cs="Times New Roman"/>
                <w:b/>
                <w:sz w:val="24"/>
                <w:szCs w:val="24"/>
              </w:rPr>
              <w:t>Тематична цел 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Насърчаване на устойчивата и качествена заетост и подкрепа за мобилността на работната сила”</w:t>
            </w:r>
            <w:r>
              <w:rPr>
                <w:rFonts w:ascii="Times New Roman" w:eastAsia="Times New Roman" w:hAnsi="Times New Roman" w:cs="Times New Roman"/>
                <w:sz w:val="24"/>
                <w:szCs w:val="24"/>
              </w:rPr>
              <w:t xml:space="preserve"> и </w:t>
            </w:r>
            <w:r>
              <w:rPr>
                <w:rFonts w:ascii="Times New Roman" w:eastAsia="Times New Roman" w:hAnsi="Times New Roman" w:cs="Times New Roman"/>
                <w:b/>
                <w:sz w:val="24"/>
                <w:szCs w:val="24"/>
              </w:rPr>
              <w:t>Тематична цел 10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Инвестиции в образованието, обучението, включително професионалното обучение за придобиване на умения и ученето през целия живот”</w:t>
            </w:r>
          </w:p>
        </w:tc>
      </w:tr>
      <w:tr w:rsidR="009329C9">
        <w:trPr>
          <w:trHeight w:val="169"/>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highlight w:val="yellow"/>
                <w:lang w:eastAsia="en-US"/>
              </w:rPr>
            </w:pPr>
            <w:r>
              <w:rPr>
                <w:rFonts w:ascii="Times New Roman" w:eastAsia="Calibri" w:hAnsi="Times New Roman" w:cs="Times New Roman"/>
                <w:b/>
                <w:sz w:val="24"/>
                <w:szCs w:val="24"/>
                <w:lang w:eastAsia="en-US"/>
              </w:rPr>
              <w:t>Обхват на мярката</w:t>
            </w:r>
          </w:p>
        </w:tc>
        <w:tc>
          <w:tcPr>
            <w:tcW w:w="8647" w:type="dxa"/>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Дейностите по тази мярка се реализират в рамките на </w:t>
            </w:r>
            <w:r>
              <w:rPr>
                <w:rFonts w:ascii="Times New Roman" w:eastAsia="Times New Roman" w:hAnsi="Times New Roman" w:cs="Times New Roman"/>
                <w:b/>
                <w:sz w:val="24"/>
                <w:szCs w:val="24"/>
              </w:rPr>
              <w:t>Приоритетна ос 1</w:t>
            </w:r>
            <w:r>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w:t>
            </w:r>
            <w:r>
              <w:rPr>
                <w:rFonts w:ascii="Times New Roman" w:eastAsia="Times New Roman" w:hAnsi="Times New Roman" w:cs="Times New Roman"/>
                <w:sz w:val="24"/>
                <w:szCs w:val="24"/>
              </w:rPr>
              <w:t>на ОП РЧР 2014 - 2020г. и обхващат следните инвестиционни приоритети и специфични цели:</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Инвестиционен приоритет 1.</w:t>
            </w:r>
            <w:r>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1:</w:t>
            </w:r>
            <w:r>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на възраст между 30 и 54 г.</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2:</w:t>
            </w:r>
            <w:r>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с ниско образование на възраст между 30 и 54 г., вкл.</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3:</w:t>
            </w:r>
            <w:r>
              <w:rPr>
                <w:rFonts w:ascii="Times New Roman" w:eastAsia="Times New Roman" w:hAnsi="Times New Roman" w:cs="Times New Roman"/>
                <w:sz w:val="24"/>
                <w:szCs w:val="24"/>
              </w:rPr>
              <w:t xml:space="preserve"> Увеличаване броя на започналите работа безработни или неактивните лица над 54 годишна възраст.</w:t>
            </w:r>
          </w:p>
          <w:p w:rsidR="009329C9" w:rsidRDefault="00B5212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Целеви групи: </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Икономически неактивни лица, извън образование и обучение, в т.ч. обезкуражени лица; търсещи работа безработни лица и групи в неравностойно положение на пазара на труда. Възрастова група – от 30 и 54 г. вкл.;</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Същите като в специфична цел 1 по-горе, но с ниско образование (под средно)</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Същите групи като в специфична цел 1 по-горе, но на възраст над 54 г</w:t>
            </w:r>
          </w:p>
          <w:p w:rsidR="009329C9" w:rsidRDefault="00B5212B">
            <w:pPr>
              <w:spacing w:after="0"/>
              <w:rPr>
                <w:rFonts w:ascii="Times New Roman" w:eastAsia="Calibri" w:hAnsi="Times New Roman" w:cs="Times New Roman"/>
                <w:bCs/>
                <w:sz w:val="24"/>
                <w:szCs w:val="24"/>
                <w:lang w:eastAsia="en-US"/>
              </w:rPr>
            </w:pPr>
            <w:r>
              <w:rPr>
                <w:rFonts w:ascii="Times New Roman" w:eastAsia="Calibri" w:hAnsi="Times New Roman" w:cs="Times New Roman"/>
                <w:b/>
                <w:sz w:val="24"/>
                <w:szCs w:val="24"/>
                <w:lang w:eastAsia="en-US"/>
              </w:rPr>
              <w:t>Съответствие със спецификите на територията</w:t>
            </w:r>
            <w:r>
              <w:rPr>
                <w:rFonts w:ascii="Times New Roman" w:eastAsia="Calibri" w:hAnsi="Times New Roman" w:cs="Times New Roman"/>
                <w:sz w:val="24"/>
                <w:szCs w:val="24"/>
                <w:lang w:eastAsia="en-US"/>
              </w:rPr>
              <w:t xml:space="preserve">: Въпреки че безработицата в </w:t>
            </w:r>
            <w:r>
              <w:rPr>
                <w:rFonts w:ascii="Times New Roman" w:eastAsia="Calibri" w:hAnsi="Times New Roman" w:cs="Times New Roman"/>
                <w:sz w:val="24"/>
                <w:szCs w:val="24"/>
                <w:lang w:eastAsia="en-US"/>
              </w:rPr>
              <w:lastRenderedPageBreak/>
              <w:t xml:space="preserve">община Свиленград като цяло намалява - </w:t>
            </w:r>
            <w:r>
              <w:rPr>
                <w:rFonts w:ascii="Times New Roman" w:eastAsia="Times New Roman" w:hAnsi="Times New Roman" w:cs="Times New Roman"/>
                <w:sz w:val="24"/>
                <w:szCs w:val="24"/>
                <w:lang w:val="be-BY" w:eastAsia="en-US"/>
              </w:rPr>
              <w:t xml:space="preserve">равнището  на безработица е 8,6 %, а през 2014 г. е било  9,3%., тя продължава да е основен проблем за големи групи от населението. </w:t>
            </w:r>
            <w:r>
              <w:rPr>
                <w:rFonts w:ascii="Times New Roman" w:eastAsia="Calibri" w:hAnsi="Times New Roman" w:cs="Times New Roman"/>
                <w:bCs/>
                <w:sz w:val="24"/>
                <w:szCs w:val="24"/>
                <w:lang w:eastAsia="en-US"/>
              </w:rPr>
              <w:t xml:space="preserve">Разпределението на безработните лица се отличава с нарастване на дела им с увеличаване на възрастта. С най-голям дял са възрастовите групи над 55 г., до 54 г. и до 49 г.. Друга целева група са регистрираните продължително безработни, които са с относителен дял от 23,2% или почти една четвърт от всички безработни – те са  специфична група в неравностойно положение на пазара на труда, за която е характерна загубата на трудови навици, демотивация и десоциализация. Освен тях, като най-уязвими на пазара на труда са и лицата с ниско образование, ниска квалификация или без квалификация, като  </w:t>
            </w:r>
            <w:r>
              <w:rPr>
                <w:rFonts w:ascii="Times New Roman" w:eastAsia="Calibri" w:hAnsi="Times New Roman" w:cs="Times New Roman"/>
                <w:sz w:val="24"/>
                <w:szCs w:val="24"/>
                <w:lang w:eastAsia="en-US"/>
              </w:rPr>
              <w:t>най-голям е относителният дял на тези без квалификация – 33% и с основно и по-ниско образование – 25%, като техният брой и относителен дял се увеличават. По данни на ДБТ-Свиленград, преобладаващ е броят на безработните без образование от ромски произход, липсва и заинтересованост сред работодателите за наемане на регистрирани от ромски произход.</w:t>
            </w:r>
            <w:r>
              <w:rPr>
                <w:rFonts w:ascii="Times New Roman" w:eastAsia="Calibri" w:hAnsi="Times New Roman" w:cs="Times New Roman"/>
                <w:bCs/>
                <w:sz w:val="24"/>
                <w:szCs w:val="24"/>
                <w:lang w:eastAsia="en-US"/>
              </w:rPr>
              <w:t xml:space="preserve"> Изброените групи са и сред най-застрашените от социално изключване</w:t>
            </w:r>
          </w:p>
        </w:tc>
      </w:tr>
      <w:tr w:rsidR="009329C9">
        <w:trPr>
          <w:trHeight w:val="1159"/>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Допустими кандидати</w:t>
            </w:r>
          </w:p>
        </w:tc>
        <w:tc>
          <w:tcPr>
            <w:tcW w:w="8647" w:type="dxa"/>
            <w:shd w:val="clear" w:color="auto" w:fill="auto"/>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общини;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неправителствени организации;</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читалища регистрирани по Закона за читалищата</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Изборът на допустимите кандидати е съобразен със спецификите на регионалния трудов пазар и потребностите им като работодатели от работна сила с определени характеристики.</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rPr>
          <w:trHeight w:val="420"/>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8647" w:type="dxa"/>
            <w:shd w:val="clear" w:color="auto" w:fill="auto"/>
          </w:tcPr>
          <w:p w:rsidR="009329C9" w:rsidRDefault="00B5212B">
            <w:pPr>
              <w:numPr>
                <w:ilvl w:val="0"/>
                <w:numId w:val="24"/>
              </w:numPr>
              <w:autoSpaceDE w:val="0"/>
              <w:autoSpaceDN w:val="0"/>
              <w:adjustRightInd w:val="0"/>
              <w:spacing w:after="0"/>
              <w:ind w:left="318" w:hanging="284"/>
              <w:contextualSpacing/>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 xml:space="preserve">Предоставяне на посреднически услуги на пазара на труда, активиране на неактивни лица, организиране и участие в трудови борси и др. подкрепящи услуги за заетост </w:t>
            </w:r>
          </w:p>
          <w:p w:rsidR="009329C9" w:rsidRDefault="00B5212B">
            <w:pPr>
              <w:numPr>
                <w:ilvl w:val="0"/>
                <w:numId w:val="24"/>
              </w:numPr>
              <w:autoSpaceDE w:val="0"/>
              <w:autoSpaceDN w:val="0"/>
              <w:adjustRightInd w:val="0"/>
              <w:spacing w:after="0"/>
              <w:ind w:left="318"/>
              <w:contextualSpacing/>
              <w:rPr>
                <w:rFonts w:ascii="Times New Roman" w:eastAsia="Calibri" w:hAnsi="Times New Roman" w:cs="Times New Roman"/>
                <w:sz w:val="23"/>
                <w:szCs w:val="23"/>
                <w:lang w:eastAsia="en-US"/>
              </w:rPr>
            </w:pPr>
            <w:r>
              <w:rPr>
                <w:rFonts w:ascii="Times New Roman" w:eastAsia="Calibri" w:hAnsi="Times New Roman" w:cs="Times New Roman"/>
                <w:sz w:val="24"/>
                <w:szCs w:val="24"/>
                <w:lang w:eastAsia="en-US"/>
              </w:rPr>
              <w:t xml:space="preserve">Осигуряване на заетост на </w:t>
            </w:r>
            <w:r>
              <w:rPr>
                <w:rFonts w:ascii="Times New Roman" w:eastAsia="Calibri" w:hAnsi="Times New Roman" w:cs="Times New Roman"/>
                <w:bCs/>
                <w:sz w:val="24"/>
                <w:szCs w:val="24"/>
                <w:lang w:eastAsia="en-US"/>
              </w:rPr>
              <w:t>безработни и/или неактивни лица за период до 12 месеца</w:t>
            </w:r>
          </w:p>
          <w:p w:rsidR="009329C9" w:rsidRDefault="00B5212B">
            <w:pPr>
              <w:numPr>
                <w:ilvl w:val="0"/>
                <w:numId w:val="24"/>
              </w:numPr>
              <w:autoSpaceDE w:val="0"/>
              <w:autoSpaceDN w:val="0"/>
              <w:adjustRightInd w:val="0"/>
              <w:spacing w:after="0"/>
              <w:ind w:left="318"/>
              <w:contextualSpacing/>
              <w:rPr>
                <w:rFonts w:ascii="Times New Roman" w:eastAsia="Calibri" w:hAnsi="Times New Roman" w:cs="Times New Roman"/>
                <w:sz w:val="23"/>
                <w:szCs w:val="23"/>
                <w:lang w:eastAsia="en-US"/>
              </w:rPr>
            </w:pPr>
            <w:r>
              <w:rPr>
                <w:rFonts w:ascii="Times New Roman" w:eastAsia="Calibri" w:hAnsi="Times New Roman" w:cs="Times New Roman"/>
                <w:bCs/>
                <w:sz w:val="24"/>
                <w:szCs w:val="24"/>
                <w:lang w:eastAsia="en-US"/>
              </w:rPr>
              <w:t>Осигуряване на придобиване на нови професионални знания и умения по време на работа, вкл.  обучение в ключови компетентности съгласно Европейската квалификационна рамка по: Ключова компетентност 2 „Общуване на чужди езици”, Ключова компетентност 4 „Дигитална компетентност;</w:t>
            </w:r>
          </w:p>
          <w:p w:rsidR="009329C9" w:rsidRDefault="00B5212B">
            <w:pPr>
              <w:numPr>
                <w:ilvl w:val="0"/>
                <w:numId w:val="24"/>
              </w:numPr>
              <w:autoSpaceDE w:val="0"/>
              <w:autoSpaceDN w:val="0"/>
              <w:adjustRightInd w:val="0"/>
              <w:spacing w:after="0"/>
              <w:ind w:left="318"/>
              <w:contextualSpacing/>
              <w:rPr>
                <w:rFonts w:ascii="Times New Roman" w:eastAsia="Calibri" w:hAnsi="Times New Roman" w:cs="Times New Roman"/>
                <w:sz w:val="23"/>
                <w:szCs w:val="23"/>
                <w:lang w:eastAsia="en-US"/>
              </w:rPr>
            </w:pPr>
            <w:r>
              <w:rPr>
                <w:rFonts w:ascii="Times New Roman" w:eastAsia="Calibri" w:hAnsi="Times New Roman" w:cs="Times New Roman"/>
                <w:sz w:val="24"/>
                <w:szCs w:val="24"/>
                <w:lang w:eastAsia="en-US"/>
              </w:rPr>
              <w:t>Предоставяне на стимули за насърчаване на мобилността на търсещи работа лица от групите в неравностойно положение на пазара на труда</w:t>
            </w:r>
            <w:r>
              <w:rPr>
                <w:rFonts w:ascii="Times New Roman" w:eastAsia="Calibri" w:hAnsi="Times New Roman" w:cs="Times New Roman"/>
                <w:bCs/>
                <w:sz w:val="24"/>
                <w:szCs w:val="24"/>
                <w:lang w:eastAsia="en-US"/>
              </w:rPr>
              <w:t>, вкл. и на такива от отдалечени и изолирани малки населени места</w:t>
            </w:r>
          </w:p>
          <w:p w:rsidR="009329C9" w:rsidRDefault="00B5212B">
            <w:pPr>
              <w:numPr>
                <w:ilvl w:val="0"/>
                <w:numId w:val="24"/>
              </w:numPr>
              <w:autoSpaceDE w:val="0"/>
              <w:autoSpaceDN w:val="0"/>
              <w:adjustRightInd w:val="0"/>
              <w:spacing w:after="0"/>
              <w:ind w:left="318"/>
              <w:contextualSpacing/>
              <w:rPr>
                <w:rFonts w:ascii="Times New Roman" w:eastAsia="Calibri" w:hAnsi="Times New Roman" w:cs="Times New Roman"/>
                <w:sz w:val="23"/>
                <w:szCs w:val="23"/>
                <w:lang w:eastAsia="en-US"/>
              </w:rPr>
            </w:pPr>
            <w:r>
              <w:rPr>
                <w:rFonts w:ascii="Times New Roman" w:eastAsia="Calibri" w:hAnsi="Times New Roman" w:cs="Times New Roman"/>
                <w:bCs/>
                <w:sz w:val="24"/>
                <w:szCs w:val="24"/>
                <w:lang w:eastAsia="en-US"/>
              </w:rPr>
              <w:t>Предоставяне на стимули за работодателите при откриването на нови работни места, в т.ч. инвестиции за подобряване качеството на работните места и оборудване и адаптиране на нови работни места</w:t>
            </w:r>
          </w:p>
          <w:p w:rsidR="009329C9" w:rsidRDefault="00B5212B">
            <w:pPr>
              <w:numPr>
                <w:ilvl w:val="0"/>
                <w:numId w:val="24"/>
              </w:numPr>
              <w:autoSpaceDE w:val="0"/>
              <w:autoSpaceDN w:val="0"/>
              <w:adjustRightInd w:val="0"/>
              <w:spacing w:after="0"/>
              <w:ind w:left="318"/>
              <w:contextualSpacing/>
              <w:rPr>
                <w:rFonts w:ascii="Times New Roman" w:eastAsia="Calibri" w:hAnsi="Times New Roman" w:cs="Times New Roman"/>
                <w:sz w:val="23"/>
                <w:szCs w:val="23"/>
                <w:lang w:eastAsia="en-US"/>
              </w:rPr>
            </w:pPr>
            <w:r>
              <w:rPr>
                <w:rFonts w:ascii="Times New Roman" w:eastAsia="Calibri" w:hAnsi="Times New Roman" w:cs="Times New Roman"/>
                <w:bCs/>
                <w:sz w:val="24"/>
                <w:szCs w:val="24"/>
                <w:lang w:eastAsia="en-US"/>
              </w:rPr>
              <w:t>Работа с работодателите и с обществеността за преодоляване на дискриминационни нагласи при наемането на представители на уязвими групи лица, вкл. и дейности по информиране и публичност</w:t>
            </w:r>
          </w:p>
        </w:tc>
      </w:tr>
      <w:tr w:rsidR="009329C9">
        <w:trPr>
          <w:trHeight w:val="169"/>
        </w:trPr>
        <w:tc>
          <w:tcPr>
            <w:tcW w:w="1702"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разходи</w:t>
            </w:r>
          </w:p>
        </w:tc>
        <w:tc>
          <w:tcPr>
            <w:tcW w:w="8647" w:type="dxa"/>
            <w:shd w:val="clear" w:color="auto" w:fill="auto"/>
          </w:tcPr>
          <w:p w:rsidR="009329C9" w:rsidRDefault="00B5212B">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Допустимите разходи се определят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w:t>
            </w:r>
            <w:r>
              <w:rPr>
                <w:rFonts w:ascii="Times New Roman" w:eastAsia="Calibri" w:hAnsi="Times New Roman" w:cs="Times New Roman"/>
                <w:color w:val="000000"/>
                <w:sz w:val="24"/>
                <w:szCs w:val="24"/>
                <w:lang w:eastAsia="en-US"/>
              </w:rPr>
              <w:lastRenderedPageBreak/>
              <w:t>ложимото национално законодателство за финансовата рамка 2014 – 2020 г.</w:t>
            </w:r>
          </w:p>
          <w:p w:rsidR="009329C9" w:rsidRDefault="00B5212B">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Включително:</w:t>
            </w:r>
          </w:p>
          <w:p w:rsidR="009329C9" w:rsidRDefault="00B5212B">
            <w:pPr>
              <w:tabs>
                <w:tab w:val="left" w:pos="175"/>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1.Разходи за наемане на безработни или неактивни лица за 12 месеца на нови работни места или съществуващи работни места</w:t>
            </w:r>
          </w:p>
          <w:p w:rsidR="009329C9" w:rsidRDefault="00B5212B">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2.Разходи за възнаграждения и осигурителни вноски при заетост за период до12 месеца</w:t>
            </w:r>
          </w:p>
          <w:p w:rsidR="009329C9" w:rsidRDefault="00B5212B">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3.Разходи за обучения за професионална квалификация или ключови компетентности</w:t>
            </w:r>
          </w:p>
          <w:p w:rsidR="009329C9" w:rsidRDefault="00B5212B">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4.Разходи за организация и управление до 10 на сто от общите допустими разходи по проекта</w:t>
            </w:r>
          </w:p>
          <w:p w:rsidR="009329C9" w:rsidRDefault="00B5212B">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5.Разходи за дейности, свързани с публичност и информираност</w:t>
            </w:r>
          </w:p>
        </w:tc>
      </w:tr>
      <w:tr w:rsidR="009329C9">
        <w:trPr>
          <w:trHeight w:val="169"/>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Недопустими разходи</w:t>
            </w:r>
          </w:p>
        </w:tc>
        <w:tc>
          <w:tcPr>
            <w:tcW w:w="8647" w:type="dxa"/>
            <w:shd w:val="clear" w:color="auto" w:fill="auto"/>
          </w:tcPr>
          <w:p w:rsidR="009329C9" w:rsidRDefault="00B5212B">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Недопустими са всички разходи, изброени в общите условия по ОПРЧР в стратегията за ВОМР в таблицата по-горе.</w:t>
            </w:r>
          </w:p>
        </w:tc>
      </w:tr>
      <w:tr w:rsidR="009329C9">
        <w:trPr>
          <w:trHeight w:val="1313"/>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Финансови параметри на проектите</w:t>
            </w:r>
          </w:p>
        </w:tc>
        <w:tc>
          <w:tcPr>
            <w:tcW w:w="8647" w:type="dxa"/>
            <w:shd w:val="clear" w:color="auto" w:fill="auto"/>
          </w:tcPr>
          <w:p w:rsidR="009329C9" w:rsidRDefault="00B5212B">
            <w:pPr>
              <w:spacing w:after="0"/>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евроили 39 116 лв</w:t>
            </w:r>
          </w:p>
          <w:p w:rsidR="009329C9" w:rsidRDefault="00B5212B">
            <w:pPr>
              <w:spacing w:after="0"/>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 xml:space="preserve">Максималният размер на общите допустими разходи за един проект е в размер на левовата равностойност на </w:t>
            </w:r>
            <w:r>
              <w:rPr>
                <w:rFonts w:ascii="Times New Roman" w:eastAsia="Calibri" w:hAnsi="Times New Roman" w:cs="Times New Roman"/>
                <w:sz w:val="24"/>
                <w:szCs w:val="24"/>
                <w:lang w:val="en-US" w:eastAsia="en-US"/>
              </w:rPr>
              <w:t>1</w:t>
            </w:r>
            <w:r>
              <w:rPr>
                <w:rFonts w:ascii="Times New Roman" w:eastAsia="Calibri" w:hAnsi="Times New Roman" w:cs="Times New Roman"/>
                <w:sz w:val="24"/>
                <w:szCs w:val="24"/>
                <w:lang w:eastAsia="en-US"/>
              </w:rPr>
              <w:t>2</w:t>
            </w:r>
            <w:r>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eastAsia="en-US"/>
              </w:rPr>
              <w:t> 000 евро или 234 696 лв.</w:t>
            </w:r>
          </w:p>
        </w:tc>
      </w:tr>
      <w:tr w:rsidR="009329C9">
        <w:trPr>
          <w:trHeight w:val="1085"/>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3"/>
                <w:szCs w:val="23"/>
                <w:lang w:eastAsia="en-US"/>
              </w:rPr>
            </w:pPr>
            <w:r>
              <w:rPr>
                <w:rFonts w:ascii="Times New Roman" w:eastAsia="Calibri" w:hAnsi="Times New Roman" w:cs="Times New Roman"/>
                <w:b/>
                <w:sz w:val="23"/>
                <w:szCs w:val="23"/>
                <w:lang w:eastAsia="en-US"/>
              </w:rPr>
              <w:t xml:space="preserve">Интензитет и размер на финансовата помощ в % </w:t>
            </w:r>
          </w:p>
        </w:tc>
        <w:tc>
          <w:tcPr>
            <w:tcW w:w="8647"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9329C9" w:rsidRDefault="009329C9">
            <w:pPr>
              <w:spacing w:after="0"/>
              <w:jc w:val="both"/>
              <w:rPr>
                <w:rFonts w:ascii="Times New Roman" w:eastAsia="Calibri" w:hAnsi="Times New Roman" w:cs="Times New Roman"/>
                <w:sz w:val="24"/>
                <w:szCs w:val="24"/>
                <w:lang w:eastAsia="en-US"/>
              </w:rPr>
            </w:pPr>
          </w:p>
          <w:p w:rsidR="009329C9" w:rsidRDefault="00B5212B" w:rsidP="000C0519">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Общ бюджет  на мярката –</w:t>
            </w:r>
            <w:r w:rsidR="000C0519">
              <w:rPr>
                <w:rFonts w:ascii="Times New Roman" w:eastAsia="Calibri" w:hAnsi="Times New Roman" w:cs="Times New Roman"/>
                <w:sz w:val="24"/>
                <w:szCs w:val="24"/>
                <w:lang w:eastAsia="en-US"/>
              </w:rPr>
              <w:t xml:space="preserve"> 524 196,31</w:t>
            </w:r>
            <w:r>
              <w:rPr>
                <w:rFonts w:ascii="Times New Roman" w:eastAsia="Calibri" w:hAnsi="Times New Roman" w:cs="Times New Roman"/>
                <w:sz w:val="24"/>
                <w:szCs w:val="24"/>
                <w:lang w:eastAsia="en-US"/>
              </w:rPr>
              <w:t xml:space="preserve"> лв.</w:t>
            </w:r>
          </w:p>
        </w:tc>
      </w:tr>
      <w:tr w:rsidR="009329C9">
        <w:trPr>
          <w:trHeight w:val="1085"/>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Допълнителни</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критерии за избор на проекти</w:t>
            </w:r>
          </w:p>
        </w:tc>
        <w:tc>
          <w:tcPr>
            <w:tcW w:w="8647"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484"/>
              <w:gridCol w:w="1146"/>
            </w:tblGrid>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ТОЧКИ</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пазара на труда на територията</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групи</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9329C9" w:rsidRDefault="00B5212B">
                  <w:pPr>
                    <w:keepNext/>
                    <w:keepLines/>
                    <w:numPr>
                      <w:ilvl w:val="0"/>
                      <w:numId w:val="23"/>
                    </w:numPr>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2 населени места – 2 т.</w:t>
                  </w:r>
                </w:p>
                <w:p w:rsidR="009329C9" w:rsidRDefault="00B5212B">
                  <w:pPr>
                    <w:keepNext/>
                    <w:keepLines/>
                    <w:numPr>
                      <w:ilvl w:val="0"/>
                      <w:numId w:val="23"/>
                    </w:numPr>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3 населени места – 4 т.</w:t>
                  </w:r>
                </w:p>
                <w:p w:rsidR="009329C9" w:rsidRDefault="00B5212B">
                  <w:pPr>
                    <w:keepNext/>
                    <w:keepLines/>
                    <w:numPr>
                      <w:ilvl w:val="0"/>
                      <w:numId w:val="23"/>
                    </w:numPr>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4 и повече – 6 т.</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autoSpaceDE w:val="0"/>
                    <w:autoSpaceDN w:val="0"/>
                    <w:adjustRightInd w:val="0"/>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Проекти, осигуряващи общо подобряване на работната среда и свързани с модернизация на работните места</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като подобряване на околната среда за уязвими групи, подобряване на семейната и жилищна среда, вкл. за децата и др. </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r>
          </w:tbl>
          <w:p w:rsidR="009329C9" w:rsidRDefault="009329C9">
            <w:pPr>
              <w:spacing w:after="0"/>
              <w:jc w:val="both"/>
              <w:rPr>
                <w:rFonts w:ascii="Times New Roman" w:eastAsia="Calibri" w:hAnsi="Times New Roman" w:cs="Times New Roman"/>
                <w:sz w:val="24"/>
                <w:szCs w:val="24"/>
                <w:lang w:eastAsia="en-US"/>
              </w:rPr>
            </w:pPr>
          </w:p>
        </w:tc>
      </w:tr>
    </w:tbl>
    <w:p w:rsidR="009329C9" w:rsidRDefault="009329C9"/>
    <w:p w:rsidR="009329C9" w:rsidRDefault="00B5212B">
      <w:r>
        <w:rPr>
          <w:b/>
          <w:bCs/>
        </w:rP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789"/>
      </w:tblGrid>
      <w:tr w:rsidR="009329C9">
        <w:trPr>
          <w:trHeight w:val="169"/>
        </w:trPr>
        <w:tc>
          <w:tcPr>
            <w:tcW w:w="10349"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sz w:val="28"/>
                <w:szCs w:val="28"/>
                <w:lang w:eastAsia="en-US"/>
              </w:rPr>
            </w:pPr>
            <w:r>
              <w:rPr>
                <w:rFonts w:ascii="Times New Roman" w:eastAsia="Calibri" w:hAnsi="Times New Roman" w:cs="Times New Roman"/>
                <w:color w:val="auto"/>
                <w:sz w:val="28"/>
                <w:szCs w:val="28"/>
                <w:lang w:eastAsia="en-US"/>
              </w:rPr>
              <w:lastRenderedPageBreak/>
              <w:t>МЯРКА 1.3  Устойчиво интегриране на пазара на труда на младите хора</w:t>
            </w:r>
          </w:p>
        </w:tc>
      </w:tr>
      <w:tr w:rsidR="009329C9">
        <w:trPr>
          <w:trHeight w:val="416"/>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Цел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мярката</w:t>
            </w:r>
          </w:p>
        </w:tc>
        <w:tc>
          <w:tcPr>
            <w:tcW w:w="8789" w:type="dxa"/>
            <w:shd w:val="clear" w:color="auto" w:fill="auto"/>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Целта на мярката е подпомагане на младите хора до 29-годишна възраст вкл., които не участват в заетост, образование или обучение за намиране на работа, адаптация и повишаване на конкурентоспособността им за трайно включване в пазара на труда. Ще се финансират дейности, насочени към включването на тази група в пазара на труда (в т.ч. посреднически услуги, обучения за придобиване на професионална квалификация или ключови компетентности, стимули за работодателите за наемане на работа, финансиране на географска мобилност и др.). Мярката 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в цялата територия на МИГ.</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Процедурата съответства на </w:t>
            </w:r>
            <w:r>
              <w:rPr>
                <w:rFonts w:ascii="Times New Roman" w:eastAsia="Calibri" w:hAnsi="Times New Roman" w:cs="Times New Roman"/>
                <w:b/>
                <w:sz w:val="24"/>
                <w:szCs w:val="24"/>
                <w:lang w:eastAsia="en-US"/>
              </w:rPr>
              <w:t xml:space="preserve">Тематична цел  </w:t>
            </w:r>
            <w:r>
              <w:rPr>
                <w:rFonts w:ascii="Times New Roman" w:eastAsia="Calibri" w:hAnsi="Times New Roman" w:cs="Times New Roman"/>
                <w:sz w:val="24"/>
                <w:szCs w:val="24"/>
                <w:u w:val="single"/>
                <w:lang w:eastAsia="en-US"/>
              </w:rPr>
              <w:t>„Насърчаване на устойчивата и качествена заетост и подкрепа за мобилността на работната сила”</w:t>
            </w:r>
            <w:r>
              <w:rPr>
                <w:rFonts w:ascii="Times New Roman" w:eastAsia="Calibri" w:hAnsi="Times New Roman" w:cs="Times New Roman"/>
                <w:sz w:val="24"/>
                <w:szCs w:val="24"/>
                <w:lang w:eastAsia="en-US"/>
              </w:rPr>
              <w:t xml:space="preserve"> и </w:t>
            </w:r>
            <w:r>
              <w:rPr>
                <w:rFonts w:ascii="Times New Roman" w:eastAsia="Calibri" w:hAnsi="Times New Roman" w:cs="Times New Roman"/>
                <w:b/>
                <w:sz w:val="24"/>
                <w:szCs w:val="24"/>
                <w:lang w:eastAsia="en-US"/>
              </w:rPr>
              <w:t>Тематична цел 10</w:t>
            </w:r>
            <w:r>
              <w:rPr>
                <w:rFonts w:ascii="Times New Roman" w:eastAsia="Calibri" w:hAnsi="Times New Roman" w:cs="Times New Roman"/>
                <w:sz w:val="24"/>
                <w:szCs w:val="24"/>
                <w:u w:val="single"/>
                <w:lang w:eastAsia="en-US"/>
              </w:rPr>
              <w:t>„Инвестиции в образованието, обучението, включително професионалното обучение за придобиване на умения и ученето през целия живот”</w:t>
            </w:r>
          </w:p>
        </w:tc>
      </w:tr>
      <w:tr w:rsidR="009329C9">
        <w:trPr>
          <w:trHeight w:val="7204"/>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highlight w:val="yellow"/>
                <w:lang w:eastAsia="en-US"/>
              </w:rPr>
            </w:pPr>
            <w:r>
              <w:rPr>
                <w:rFonts w:ascii="Times New Roman" w:eastAsia="Calibri" w:hAnsi="Times New Roman" w:cs="Times New Roman"/>
                <w:b/>
                <w:sz w:val="24"/>
                <w:szCs w:val="24"/>
                <w:lang w:eastAsia="en-US"/>
              </w:rPr>
              <w:t>Обхват на мярката</w:t>
            </w:r>
          </w:p>
        </w:tc>
        <w:tc>
          <w:tcPr>
            <w:tcW w:w="8789" w:type="dxa"/>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Дейностите по тази мярка съответстват на </w:t>
            </w:r>
            <w:r>
              <w:rPr>
                <w:rFonts w:ascii="Times New Roman" w:eastAsia="Times New Roman" w:hAnsi="Times New Roman" w:cs="Times New Roman"/>
                <w:b/>
                <w:sz w:val="24"/>
                <w:szCs w:val="24"/>
              </w:rPr>
              <w:t>Приоритетна ос 1</w:t>
            </w:r>
            <w:r>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на ОП РЧР 2014 - 2020г. и обхваща следните инвестиционни приоритети и специфични цели </w:t>
            </w:r>
            <w:r>
              <w:rPr>
                <w:rFonts w:ascii="Times New Roman" w:eastAsia="Times New Roman" w:hAnsi="Times New Roman" w:cs="Times New Roman"/>
                <w:sz w:val="24"/>
                <w:szCs w:val="24"/>
              </w:rPr>
              <w:t>(СЦ):</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Инвестиционен приоритет 3</w:t>
            </w:r>
            <w:r>
              <w:rPr>
                <w:rFonts w:ascii="Times New Roman" w:eastAsia="Times New Roman" w:hAnsi="Times New Roman" w:cs="Times New Roman"/>
                <w:sz w:val="24"/>
                <w:szCs w:val="24"/>
              </w:rPr>
              <w:t xml:space="preserve"> „Устойчиво интегриране на пазара на труда на младите хора, в частност тези, които не са ангажирани с трудова дейност, образование или обучение, включително младите хора, изложени на риск от социално изключване, и младите хора от маргинализирани общности, включително чрез прилагане на гаранция за младежта“ (с финансиране от ЕСФ)</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3</w:t>
            </w:r>
            <w:r>
              <w:rPr>
                <w:rFonts w:ascii="Times New Roman" w:eastAsia="Times New Roman" w:hAnsi="Times New Roman" w:cs="Times New Roman"/>
                <w:sz w:val="24"/>
                <w:szCs w:val="24"/>
              </w:rPr>
              <w:t xml:space="preserve"> Увеличаване броя на включените в обучение, в заетост или в самостоятелна заетост безработни младежи извън образование или обучение на възраст до 29 г. вкл., които са със завършено средно или висше образование</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Целеви групи:</w:t>
            </w:r>
            <w:r>
              <w:rPr>
                <w:rFonts w:ascii="Times New Roman" w:eastAsia="Times New Roman" w:hAnsi="Times New Roman" w:cs="Times New Roman"/>
                <w:sz w:val="24"/>
                <w:szCs w:val="24"/>
              </w:rPr>
              <w:t xml:space="preserve"> Търсещи работа безработни младежи от 15 до 29 г. вкл. със завършено средно или висше образование</w:t>
            </w:r>
          </w:p>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b/>
                <w:bCs/>
                <w:sz w:val="24"/>
                <w:szCs w:val="24"/>
                <w:lang w:eastAsia="en-US"/>
              </w:rPr>
              <w:t>Съответствие със спецификите на територията:</w:t>
            </w:r>
            <w:r>
              <w:rPr>
                <w:rFonts w:ascii="Times New Roman" w:eastAsia="Calibri" w:hAnsi="Times New Roman" w:cs="Times New Roman"/>
                <w:bCs/>
                <w:sz w:val="24"/>
                <w:szCs w:val="24"/>
                <w:lang w:eastAsia="en-US"/>
              </w:rPr>
              <w:t>Нараства броят на безработните до 29 годишна възраст, които формират т.нар. „младежка“ безработица – около 21,8% от всички безработни, показател, който е по-висок от средния за областта и за страната. Липсата на трудови навици и стаж, както и неактуалната професионална квалификация на част от младите хора са сред основните причини за неравностойното им положение на трудовия пазар. От друга страна, предлагането на професии за специалисти с висше образование продължава да е изключително ограничено, което кара голяма част от образованите младежи да се насочат към други по-големи градове в страната. Трайното включване на тази възрастова група в пазара на труда е от съществено значение за подобряване на демографската и социално-икономическата картина на територията на МИГ и ще играе важна роля за бъдещото й развитие.</w:t>
            </w:r>
          </w:p>
        </w:tc>
      </w:tr>
      <w:tr w:rsidR="009329C9">
        <w:trPr>
          <w:trHeight w:val="1252"/>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кандидати</w:t>
            </w:r>
          </w:p>
        </w:tc>
        <w:tc>
          <w:tcPr>
            <w:tcW w:w="8789" w:type="dxa"/>
            <w:shd w:val="clear" w:color="auto" w:fill="auto"/>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общини;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неправителствени организации;</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читалища регистрирани по Закона за Читалищата</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Изборът на допустимите кандидати е съобразен със спецификите на регионалния </w:t>
            </w:r>
            <w:r>
              <w:rPr>
                <w:rFonts w:ascii="Times New Roman" w:eastAsia="Calibri" w:hAnsi="Times New Roman" w:cs="Times New Roman"/>
                <w:sz w:val="24"/>
                <w:szCs w:val="24"/>
                <w:lang w:eastAsia="en-US"/>
              </w:rPr>
              <w:lastRenderedPageBreak/>
              <w:t>трудов пазар и потребностите им като работодатели от работна сила с определе-ни характеристики.</w:t>
            </w:r>
          </w:p>
          <w:p w:rsidR="009329C9" w:rsidRDefault="00B5212B">
            <w:pPr>
              <w:spacing w:after="0"/>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rPr>
          <w:trHeight w:val="980"/>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Допустими дейности</w:t>
            </w:r>
          </w:p>
        </w:tc>
        <w:tc>
          <w:tcPr>
            <w:tcW w:w="8789" w:type="dxa"/>
            <w:shd w:val="clear" w:color="auto" w:fill="auto"/>
          </w:tcPr>
          <w:p w:rsidR="009329C9" w:rsidRDefault="00B5212B">
            <w:pPr>
              <w:numPr>
                <w:ilvl w:val="0"/>
                <w:numId w:val="25"/>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Дейности за активиране на икономически неактивни младежи извън образование или обучение на възраст до 29 г. вкл., които са със завършено средно или висше образование за включването им в пазара на труда, вкл. информационни кампании и събития</w:t>
            </w:r>
          </w:p>
          <w:p w:rsidR="009329C9" w:rsidRDefault="00B5212B">
            <w:pPr>
              <w:numPr>
                <w:ilvl w:val="0"/>
                <w:numId w:val="25"/>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Осигуряване на заетост за безработни младежи извън образование или обучение на възраст до 29 г. вкл., които са със завършено средно или висше образование за срок до 12 месеца</w:t>
            </w:r>
          </w:p>
          <w:p w:rsidR="009329C9" w:rsidRDefault="00B5212B">
            <w:pPr>
              <w:numPr>
                <w:ilvl w:val="0"/>
                <w:numId w:val="25"/>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Осигуряване на придобиване на нови професионални знания и умения по време на работа, вкл.  обучение в ключови компетентности съгласно Европейската квалификационна рамка по: Ключова компетентност 2 „Общуване на чужди езици”, Ключова компетентност 4 „Дигитална компетентност;</w:t>
            </w:r>
          </w:p>
          <w:p w:rsidR="009329C9" w:rsidRDefault="00B5212B">
            <w:pPr>
              <w:numPr>
                <w:ilvl w:val="0"/>
                <w:numId w:val="25"/>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color w:val="000000"/>
                <w:sz w:val="23"/>
                <w:szCs w:val="23"/>
                <w:lang w:eastAsia="en-US"/>
              </w:rPr>
              <w:t>- Предоставяне на стимули за насърчаване на географската мобилност на младежите с цел работа</w:t>
            </w:r>
            <w:r>
              <w:rPr>
                <w:rFonts w:ascii="Times New Roman" w:eastAsia="Calibri" w:hAnsi="Times New Roman" w:cs="Times New Roman"/>
                <w:sz w:val="24"/>
                <w:szCs w:val="24"/>
                <w:lang w:eastAsia="en-US"/>
              </w:rPr>
              <w:t>, вкл. и на такива от отдалечени и изолирани малки населени места</w:t>
            </w:r>
          </w:p>
          <w:p w:rsidR="009329C9" w:rsidRDefault="00B5212B">
            <w:pPr>
              <w:numPr>
                <w:ilvl w:val="0"/>
                <w:numId w:val="25"/>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Предоставяне на стимули на работодатели за наемането на безработни младежи и откриване на нови работни места, в т.ч. инвестиции за подобряване качеството на работните места и оборудване и адаптиране на нови работни места</w:t>
            </w:r>
          </w:p>
        </w:tc>
      </w:tr>
      <w:tr w:rsidR="009329C9">
        <w:trPr>
          <w:trHeight w:val="169"/>
        </w:trPr>
        <w:tc>
          <w:tcPr>
            <w:tcW w:w="1560" w:type="dxa"/>
            <w:shd w:val="clear" w:color="auto" w:fill="D9D9D9" w:themeFill="background1" w:themeFillShade="D9"/>
          </w:tcPr>
          <w:p w:rsidR="009329C9" w:rsidRDefault="00B5212B">
            <w:pPr>
              <w:jc w:val="center"/>
              <w:rPr>
                <w:rFonts w:ascii="Times New Roman" w:eastAsia="Calibri" w:hAnsi="Times New Roman" w:cs="Times New Roman"/>
                <w:b/>
                <w:lang w:eastAsia="en-US"/>
              </w:rPr>
            </w:pPr>
            <w:r>
              <w:rPr>
                <w:rFonts w:ascii="Times New Roman" w:eastAsia="Calibri" w:hAnsi="Times New Roman" w:cs="Times New Roman"/>
                <w:b/>
                <w:lang w:eastAsia="en-US"/>
              </w:rPr>
              <w:t>Допустими разходи</w:t>
            </w:r>
          </w:p>
        </w:tc>
        <w:tc>
          <w:tcPr>
            <w:tcW w:w="8789" w:type="dxa"/>
            <w:shd w:val="clear" w:color="auto" w:fill="auto"/>
          </w:tcPr>
          <w:p w:rsidR="009329C9" w:rsidRDefault="00B5212B">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Допустимите разходи се определят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w:t>
            </w:r>
          </w:p>
          <w:p w:rsidR="009329C9" w:rsidRDefault="00B5212B">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Включително:</w:t>
            </w:r>
          </w:p>
          <w:p w:rsidR="009329C9" w:rsidRDefault="00B5212B">
            <w:pPr>
              <w:pStyle w:val="af4"/>
              <w:numPr>
                <w:ilvl w:val="0"/>
                <w:numId w:val="26"/>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Разходи за наемане на безработни или неактивни лица за 12 месеца на нови работни места или съществуващи работни места</w:t>
            </w:r>
          </w:p>
          <w:p w:rsidR="009329C9" w:rsidRDefault="00B5212B">
            <w:pPr>
              <w:pStyle w:val="af4"/>
              <w:numPr>
                <w:ilvl w:val="0"/>
                <w:numId w:val="26"/>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Разходи за възнаграждения и осигурителни вноски при заетост за период до 12 месеца</w:t>
            </w:r>
          </w:p>
          <w:p w:rsidR="009329C9" w:rsidRDefault="00B5212B">
            <w:pPr>
              <w:pStyle w:val="af4"/>
              <w:numPr>
                <w:ilvl w:val="0"/>
                <w:numId w:val="26"/>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Разходи за обучения за професионална квалификация или ключови компетентности</w:t>
            </w:r>
          </w:p>
          <w:p w:rsidR="009329C9" w:rsidRDefault="00B5212B">
            <w:pPr>
              <w:pStyle w:val="af4"/>
              <w:numPr>
                <w:ilvl w:val="0"/>
                <w:numId w:val="26"/>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Разходи за организация и управление до 10 на сто от общите допустими разходи по проекта</w:t>
            </w:r>
          </w:p>
          <w:p w:rsidR="009329C9" w:rsidRDefault="00B5212B">
            <w:pPr>
              <w:pStyle w:val="af4"/>
              <w:numPr>
                <w:ilvl w:val="0"/>
                <w:numId w:val="26"/>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Разходи за дейности, свързани с публичност и информираност</w:t>
            </w:r>
          </w:p>
        </w:tc>
      </w:tr>
      <w:tr w:rsidR="009329C9">
        <w:trPr>
          <w:trHeight w:val="169"/>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Недопустими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lang w:eastAsia="en-US"/>
              </w:rPr>
              <w:t>разходи</w:t>
            </w:r>
          </w:p>
        </w:tc>
        <w:tc>
          <w:tcPr>
            <w:tcW w:w="8789" w:type="dxa"/>
            <w:shd w:val="clear" w:color="auto" w:fill="auto"/>
          </w:tcPr>
          <w:p w:rsidR="009329C9" w:rsidRDefault="00B5212B">
            <w:pPr>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Недопустими са всички разходи, изброени в общите условия по ОПРЧР за стратегията за ВОМР в таблицата по-горе.</w:t>
            </w:r>
          </w:p>
        </w:tc>
      </w:tr>
      <w:tr w:rsidR="009329C9">
        <w:trPr>
          <w:trHeight w:val="169"/>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Финансови параметри на проектите</w:t>
            </w:r>
          </w:p>
        </w:tc>
        <w:tc>
          <w:tcPr>
            <w:tcW w:w="8789" w:type="dxa"/>
            <w:shd w:val="clear" w:color="auto" w:fill="auto"/>
          </w:tcPr>
          <w:p w:rsidR="009329C9" w:rsidRDefault="00B5212B">
            <w:pPr>
              <w:spacing w:after="0"/>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10 000 евроили 19 558 лв.</w:t>
            </w:r>
          </w:p>
          <w:p w:rsidR="009329C9" w:rsidRDefault="00B5212B">
            <w:pPr>
              <w:spacing w:after="0"/>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35 000 евро.Или 68 453 лв.</w:t>
            </w:r>
          </w:p>
        </w:tc>
      </w:tr>
      <w:tr w:rsidR="009329C9">
        <w:trPr>
          <w:trHeight w:val="1085"/>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Интензитет и размер на финансовата помощ  </w:t>
            </w:r>
          </w:p>
        </w:tc>
        <w:tc>
          <w:tcPr>
            <w:tcW w:w="8789"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9329C9" w:rsidRDefault="009329C9">
            <w:pPr>
              <w:spacing w:after="0"/>
              <w:jc w:val="both"/>
              <w:rPr>
                <w:rFonts w:ascii="Times New Roman" w:eastAsia="Calibri" w:hAnsi="Times New Roman" w:cs="Times New Roman"/>
                <w:sz w:val="24"/>
                <w:szCs w:val="24"/>
                <w:lang w:eastAsia="en-US"/>
              </w:rPr>
            </w:pPr>
          </w:p>
          <w:p w:rsidR="009329C9" w:rsidRDefault="00B5212B" w:rsidP="000A54C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Общ бюджет  на мярката –1</w:t>
            </w:r>
            <w:r w:rsidR="000A54C1">
              <w:rPr>
                <w:rFonts w:ascii="Times New Roman" w:eastAsia="Calibri" w:hAnsi="Times New Roman" w:cs="Times New Roman"/>
                <w:sz w:val="24"/>
                <w:szCs w:val="24"/>
                <w:lang w:eastAsia="en-US"/>
              </w:rPr>
              <w:t>53 734,34</w:t>
            </w:r>
            <w:r>
              <w:rPr>
                <w:rFonts w:ascii="Times New Roman" w:eastAsia="Calibri" w:hAnsi="Times New Roman" w:cs="Times New Roman"/>
                <w:sz w:val="24"/>
                <w:szCs w:val="24"/>
                <w:lang w:eastAsia="en-US"/>
              </w:rPr>
              <w:t xml:space="preserve"> лв.</w:t>
            </w:r>
          </w:p>
        </w:tc>
      </w:tr>
      <w:tr w:rsidR="009329C9">
        <w:trPr>
          <w:trHeight w:val="1085"/>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Критерии за избор на проекти</w:t>
            </w:r>
          </w:p>
        </w:tc>
        <w:tc>
          <w:tcPr>
            <w:tcW w:w="8789"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484"/>
              <w:gridCol w:w="1146"/>
            </w:tblGrid>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ТОЧКИ</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включването на младежите в пазара на труда</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групи</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9329C9" w:rsidRDefault="00B5212B">
                  <w:pPr>
                    <w:keepNext/>
                    <w:keepLines/>
                    <w:numPr>
                      <w:ilvl w:val="0"/>
                      <w:numId w:val="23"/>
                    </w:numPr>
                    <w:spacing w:after="0"/>
                    <w:ind w:left="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2 населени места – 2 т.</w:t>
                  </w:r>
                </w:p>
                <w:p w:rsidR="009329C9" w:rsidRDefault="00B5212B">
                  <w:pPr>
                    <w:keepNext/>
                    <w:keepLines/>
                    <w:numPr>
                      <w:ilvl w:val="0"/>
                      <w:numId w:val="23"/>
                    </w:numPr>
                    <w:spacing w:after="0"/>
                    <w:ind w:left="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3 населени места – 4 т.</w:t>
                  </w:r>
                </w:p>
                <w:p w:rsidR="009329C9" w:rsidRDefault="00B5212B">
                  <w:pPr>
                    <w:keepNext/>
                    <w:keepLines/>
                    <w:numPr>
                      <w:ilvl w:val="0"/>
                      <w:numId w:val="23"/>
                    </w:numPr>
                    <w:spacing w:after="0"/>
                    <w:ind w:left="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4 и повече – 6 т.</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autoSpaceDE w:val="0"/>
                    <w:autoSpaceDN w:val="0"/>
                    <w:adjustRightInd w:val="0"/>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Проекти, осигуряващи нови работни места</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r>
          </w:tbl>
          <w:p w:rsidR="009329C9" w:rsidRDefault="009329C9">
            <w:pPr>
              <w:spacing w:after="0"/>
              <w:jc w:val="both"/>
              <w:rPr>
                <w:rFonts w:ascii="Times New Roman" w:eastAsia="Calibri" w:hAnsi="Times New Roman" w:cs="Times New Roman"/>
                <w:sz w:val="24"/>
                <w:szCs w:val="24"/>
                <w:lang w:eastAsia="en-US"/>
              </w:rPr>
            </w:pPr>
          </w:p>
        </w:tc>
      </w:tr>
    </w:tbl>
    <w:p w:rsidR="009329C9" w:rsidRDefault="009329C9">
      <w:pPr>
        <w:spacing w:after="0"/>
        <w:rPr>
          <w:rFonts w:ascii="Times New Roman" w:eastAsia="Calibri" w:hAnsi="Times New Roman" w:cs="Times New Roman"/>
          <w:sz w:val="24"/>
          <w:szCs w:val="24"/>
          <w:lang w:eastAsia="en-US"/>
        </w:rPr>
      </w:pPr>
    </w:p>
    <w:p w:rsidR="009329C9" w:rsidRDefault="009329C9">
      <w:pPr>
        <w:spacing w:after="0"/>
        <w:rPr>
          <w:rFonts w:ascii="Times New Roman" w:eastAsia="Calibri" w:hAnsi="Times New Roman" w:cs="Times New Roman"/>
          <w:sz w:val="24"/>
          <w:szCs w:val="24"/>
          <w:lang w:eastAsia="en-US"/>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072"/>
      </w:tblGrid>
      <w:tr w:rsidR="009329C9">
        <w:trPr>
          <w:trHeight w:val="169"/>
        </w:trPr>
        <w:tc>
          <w:tcPr>
            <w:tcW w:w="10491"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МЯРКА 2.1 Социално-икономическа интеграция на маргинализирани общности като</w:t>
            </w:r>
          </w:p>
          <w:p w:rsidR="009329C9" w:rsidRDefault="00B5212B">
            <w:pPr>
              <w:pStyle w:val="3"/>
              <w:spacing w:before="0"/>
              <w:jc w:val="center"/>
              <w:rPr>
                <w:rFonts w:ascii="Times New Roman" w:eastAsia="Calibri" w:hAnsi="Times New Roman" w:cs="Times New Roman"/>
                <w:b w:val="0"/>
                <w:sz w:val="24"/>
                <w:szCs w:val="24"/>
                <w:lang w:eastAsia="en-US"/>
              </w:rPr>
            </w:pPr>
            <w:r>
              <w:rPr>
                <w:rFonts w:ascii="Times New Roman" w:eastAsia="Calibri" w:hAnsi="Times New Roman" w:cs="Times New Roman"/>
                <w:color w:val="auto"/>
                <w:sz w:val="24"/>
                <w:szCs w:val="24"/>
                <w:lang w:eastAsia="en-US"/>
              </w:rPr>
              <w:t>ромите</w:t>
            </w:r>
          </w:p>
        </w:tc>
      </w:tr>
      <w:tr w:rsidR="009329C9">
        <w:trPr>
          <w:trHeight w:val="169"/>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Цел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мярката</w:t>
            </w:r>
          </w:p>
        </w:tc>
        <w:tc>
          <w:tcPr>
            <w:tcW w:w="9072" w:type="dxa"/>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Подобряване на условията на живот на територията на МИГ, насърчаване на социалното включване и устойчива интеграция на социално изключени роми, хора живеещи в риск и бедност. Мярката цели и да се създадат условия за преодоляване на негативни стереотипи, недопускане на неравно третиране и подкрепа за реализацията на основните икономически, социални и културни права. По мярката ще бъдат подпомогнати най-уязвимите и маргинализираните групи, които ще получат достъп до интегрирани мерки и услуги, свързани с преодоляването на комплексните проблеми, породени от липсата на заетост, на достъп до социални и здравни услуги и др. Тази мярка ще подпомогне нуждаещите се от социална подкрепа и ще предостави нови възможности за подобряване на доходите и стандарта на живот на местните общности.В съответствие с </w:t>
            </w:r>
            <w:r>
              <w:rPr>
                <w:rFonts w:ascii="Times New Roman" w:eastAsia="Times New Roman" w:hAnsi="Times New Roman" w:cs="Times New Roman"/>
                <w:b/>
                <w:sz w:val="24"/>
                <w:szCs w:val="24"/>
              </w:rPr>
              <w:t>Тематична цел № 9</w:t>
            </w:r>
            <w:r>
              <w:rPr>
                <w:rFonts w:ascii="Times New Roman" w:eastAsia="Times New Roman" w:hAnsi="Times New Roman" w:cs="Times New Roman"/>
                <w:sz w:val="24"/>
                <w:szCs w:val="24"/>
                <w:u w:val="single"/>
              </w:rPr>
              <w:t>„Насърчаване на социалното приобщаване, борба с бедността и всяка форма на дискриминация”</w:t>
            </w:r>
          </w:p>
        </w:tc>
      </w:tr>
      <w:tr w:rsidR="009329C9">
        <w:trPr>
          <w:trHeight w:val="169"/>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highlight w:val="yellow"/>
                <w:lang w:eastAsia="en-US"/>
              </w:rPr>
            </w:pPr>
            <w:r>
              <w:rPr>
                <w:rFonts w:ascii="Times New Roman" w:eastAsia="Calibri" w:hAnsi="Times New Roman" w:cs="Times New Roman"/>
                <w:b/>
                <w:sz w:val="24"/>
                <w:szCs w:val="24"/>
                <w:lang w:eastAsia="en-US"/>
              </w:rPr>
              <w:t>Обхват на мярката</w:t>
            </w:r>
          </w:p>
        </w:tc>
        <w:tc>
          <w:tcPr>
            <w:tcW w:w="9072" w:type="dxa"/>
            <w:shd w:val="clear" w:color="auto" w:fill="auto"/>
          </w:tcPr>
          <w:p w:rsidR="009329C9" w:rsidRDefault="00B5212B">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Дейностите съответстват на: </w:t>
            </w:r>
            <w:r>
              <w:rPr>
                <w:rFonts w:ascii="Times New Roman" w:eastAsia="Times New Roman" w:hAnsi="Times New Roman" w:cs="Times New Roman"/>
                <w:b/>
                <w:sz w:val="24"/>
                <w:szCs w:val="24"/>
              </w:rPr>
              <w:t xml:space="preserve">ПРИОРИТЕТНА ОС 2 </w:t>
            </w:r>
            <w:r>
              <w:rPr>
                <w:rFonts w:ascii="Times New Roman" w:eastAsia="Times New Roman" w:hAnsi="Times New Roman" w:cs="Times New Roman"/>
                <w:sz w:val="24"/>
                <w:szCs w:val="24"/>
                <w:u w:val="single"/>
              </w:rPr>
              <w:t xml:space="preserve">Намаляване на бедността и насърчаване на социалното включване“,  </w:t>
            </w:r>
            <w:r>
              <w:rPr>
                <w:rFonts w:ascii="Times New Roman" w:eastAsia="Times New Roman" w:hAnsi="Times New Roman" w:cs="Times New Roman"/>
                <w:b/>
                <w:sz w:val="24"/>
                <w:szCs w:val="24"/>
              </w:rPr>
              <w:t>Инвестиционен приоритет 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Социално-икономическа интеграция на маргинализирани общности като ромите”</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Специфична цел: </w:t>
            </w:r>
            <w:r>
              <w:rPr>
                <w:rFonts w:ascii="Times New Roman" w:eastAsia="Times New Roman" w:hAnsi="Times New Roman" w:cs="Times New Roman"/>
                <w:sz w:val="24"/>
                <w:szCs w:val="24"/>
              </w:rPr>
              <w:t>Увеличаване на броя на лицата от уязвими етнически общности, включени в заетост, образование, обучение, социални и здравни услуги с фокус върху ромите, мигранти, участници с произход от други държави</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Целеви групи:</w:t>
            </w:r>
            <w:r>
              <w:rPr>
                <w:rFonts w:ascii="Times New Roman" w:eastAsia="Times New Roman" w:hAnsi="Times New Roman" w:cs="Times New Roman"/>
                <w:sz w:val="24"/>
                <w:szCs w:val="24"/>
              </w:rPr>
              <w:t xml:space="preserve"> Представителите на ромската общност; хора в риск и/или жертва на дискриминация; хора, населяващи територии, в т.ч. с ниска гъстота на населението, селски и изолирани райони, части от населени места, в които е налице концентрация на проблеми, създаващи риск от бедност, социално изключване и маргинализация </w:t>
            </w:r>
            <w:r>
              <w:rPr>
                <w:rFonts w:ascii="Times New Roman" w:eastAsia="Times New Roman" w:hAnsi="Times New Roman" w:cs="Times New Roman"/>
                <w:sz w:val="24"/>
                <w:szCs w:val="24"/>
              </w:rPr>
              <w:lastRenderedPageBreak/>
              <w:t>(висока безработица, ниски доходи, ограничен достъп до публични услуги, териториална сегрегация, пространствена изолация и др.).</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Целевите групи, включени в тази мярка са пълнолетни представители на ромската общност, за разлика от целевата група, посочена в мярката на ОП НОИР, която включва учащи се в предучилищно и училищно образование от ромски произход.</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Съответствие със спецификите на територията:</w:t>
            </w:r>
            <w:r>
              <w:rPr>
                <w:rFonts w:ascii="Times New Roman" w:eastAsia="Calibri" w:hAnsi="Times New Roman" w:cs="Times New Roman"/>
                <w:sz w:val="24"/>
                <w:szCs w:val="24"/>
                <w:lang w:eastAsia="en-US"/>
              </w:rPr>
              <w:t xml:space="preserve">Ромският етнос е идентифициран като рискова група и е втори по численост на територията на МИГ, като към него са се самоопределили относителен дял от 8,01%, като за област Хасково този дял е 7.0%.  Продължава обаче тенденцията част от ромите да се самоопределят като българи, турци или други, така че броят им в действителност е по-голям. </w:t>
            </w:r>
            <w:r>
              <w:rPr>
                <w:rFonts w:ascii="Times New Roman" w:eastAsia="Times New Roman" w:hAnsi="Times New Roman" w:cs="Times New Roman"/>
                <w:sz w:val="24"/>
                <w:szCs w:val="24"/>
              </w:rPr>
              <w:t xml:space="preserve">Значителна част от родените през последните години деца са от ромски произход – за територията на МИГ относителният дял на децата и младежите от ромски произход на възраст 0-19 год. е 37.35%, като за сравнение тази възрастова група при гражданите, самоопределили се като българи е с относителен дял 14.92%. </w:t>
            </w:r>
            <w:r>
              <w:rPr>
                <w:rFonts w:ascii="Times New Roman" w:eastAsia="Calibri" w:hAnsi="Times New Roman" w:cs="Times New Roman"/>
                <w:sz w:val="24"/>
                <w:szCs w:val="24"/>
                <w:lang w:eastAsia="en-US"/>
              </w:rPr>
              <w:t>В ромските общности са налице различни фактори, пораждащи бедност и социално изключване –ниско образование или липса на професионални умения, липса на трудови навици за част от тях, ограничени възможности за заетост, лоши битови условия, липса на достъп до здравни, социални и образователни услуги. Преобладаващ е броят на безработни от ромски произход, голяма част от тях получават и социални помощи по чл. 9 от ППЗСП. Акумулирането на икономически, образователни и етнокултурни рискови фактори застрашава и децата в тези семейства, които рискуват да повторят модела на социална изолация на своите родителите.</w:t>
            </w:r>
          </w:p>
        </w:tc>
      </w:tr>
      <w:tr w:rsidR="009329C9">
        <w:trPr>
          <w:trHeight w:val="562"/>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Допустими кандидати</w:t>
            </w:r>
          </w:p>
        </w:tc>
        <w:tc>
          <w:tcPr>
            <w:tcW w:w="9072" w:type="dxa"/>
            <w:shd w:val="clear" w:color="auto" w:fill="auto"/>
          </w:tcPr>
          <w:p w:rsidR="009329C9" w:rsidRDefault="00B5212B">
            <w:pPr>
              <w:tabs>
                <w:tab w:val="left" w:pos="315"/>
              </w:tabs>
              <w:spacing w:after="0" w:line="240" w:lineRule="auto"/>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Доставчици на социални и здравни услуги; община Свиленград; неправителствени организации; Читалища регистрирани по Закона за Читалищата</w:t>
            </w:r>
          </w:p>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Основни бенефициенти по мярката са община Свиленград, доставчиците на социални и здравни услуги, както и читалищата регистрирани по Закона за Читалищата, които имат богат опит в прилагането и изпълнението на подобни дейности за включването на маргинализирани общности като ромите в заетост, обучение и социални дейности. Участието  на НПО цели да активизира местната общност в посока на по-добро обществено приемане на ромската интеграция от цялото население на територията на МИГ. </w:t>
            </w: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rPr>
          <w:trHeight w:val="567"/>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9072" w:type="dxa"/>
            <w:shd w:val="clear" w:color="auto" w:fill="auto"/>
          </w:tcPr>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Основите дейности</w:t>
            </w:r>
            <w:r>
              <w:rPr>
                <w:rFonts w:ascii="Times New Roman" w:eastAsia="Calibri" w:hAnsi="Times New Roman" w:cs="Times New Roman"/>
                <w:sz w:val="24"/>
                <w:szCs w:val="24"/>
                <w:lang w:eastAsia="en-US"/>
              </w:rPr>
              <w:t xml:space="preserve"> по тази мярка ще бъдат по </w:t>
            </w:r>
            <w:r>
              <w:rPr>
                <w:rFonts w:ascii="Times New Roman" w:eastAsia="Calibri" w:hAnsi="Times New Roman" w:cs="Times New Roman"/>
                <w:b/>
                <w:sz w:val="24"/>
                <w:szCs w:val="24"/>
                <w:lang w:eastAsia="en-US"/>
              </w:rPr>
              <w:t xml:space="preserve">Направление „Подобряване достъпа до заетост” </w:t>
            </w:r>
            <w:r>
              <w:rPr>
                <w:rFonts w:ascii="Times New Roman" w:eastAsia="Calibri" w:hAnsi="Times New Roman" w:cs="Times New Roman"/>
                <w:sz w:val="24"/>
                <w:szCs w:val="24"/>
                <w:lang w:eastAsia="en-US"/>
              </w:rPr>
              <w:t>– активиране на икономически неактивни лица; посредничество за намиране на работа; професионално информиране и консултиране; психологическо подпомагане; мотивационно обучение; предоставяне на обучение; включване в стажуване, чиракуване, заетост в т.ч. в сферата на социалната икономика; насърчаване на самостоятелната заетост и др.;</w:t>
            </w:r>
          </w:p>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 xml:space="preserve">Задължителни </w:t>
            </w:r>
            <w:r>
              <w:rPr>
                <w:rFonts w:ascii="Times New Roman" w:eastAsia="Calibri" w:hAnsi="Times New Roman" w:cs="Times New Roman"/>
                <w:sz w:val="24"/>
                <w:szCs w:val="24"/>
                <w:lang w:eastAsia="en-US"/>
              </w:rPr>
              <w:t>са дейностите</w:t>
            </w:r>
            <w:r>
              <w:rPr>
                <w:rFonts w:ascii="Times New Roman" w:eastAsia="Calibri" w:hAnsi="Times New Roman" w:cs="Times New Roman"/>
                <w:b/>
                <w:sz w:val="24"/>
                <w:szCs w:val="24"/>
                <w:lang w:eastAsia="en-US"/>
              </w:rPr>
              <w:t xml:space="preserve"> по </w:t>
            </w:r>
            <w:r>
              <w:rPr>
                <w:rFonts w:ascii="Times New Roman" w:eastAsia="Calibri" w:hAnsi="Times New Roman" w:cs="Times New Roman"/>
                <w:b/>
                <w:bCs/>
                <w:iCs/>
                <w:sz w:val="24"/>
                <w:szCs w:val="24"/>
                <w:lang w:eastAsia="en-US"/>
              </w:rPr>
              <w:t xml:space="preserve">Направление „Подобряване достъпа до социални и здравни услуги” </w:t>
            </w:r>
            <w:r>
              <w:rPr>
                <w:rFonts w:ascii="Times New Roman" w:eastAsia="Calibri" w:hAnsi="Times New Roman" w:cs="Times New Roman"/>
                <w:sz w:val="24"/>
                <w:szCs w:val="24"/>
                <w:lang w:eastAsia="en-US"/>
              </w:rPr>
              <w:t xml:space="preserve">– подобряване достъпа до и предоставяне на качествени социални и здравни услуги, в т.ч. интегриранимеждусекторни услуги, съгласно специфичните потребности на целевата група; предоставяне на индивидуални консултации и социално-здравна медиация на представителите на целевите групи; повишаване информираността относно социалните и здравните им права; насърчаване сем. планиране и отговорното родителство; повишаване здравната култура и др.; </w:t>
            </w:r>
          </w:p>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Допълнителните дейности</w:t>
            </w:r>
            <w:r>
              <w:rPr>
                <w:rFonts w:ascii="Times New Roman" w:eastAsia="Calibri" w:hAnsi="Times New Roman" w:cs="Times New Roman"/>
                <w:sz w:val="24"/>
                <w:szCs w:val="24"/>
                <w:lang w:eastAsia="en-US"/>
              </w:rPr>
              <w:t xml:space="preserve"> са допустими по другите направления на мярката:</w:t>
            </w:r>
          </w:p>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bCs/>
                <w:iCs/>
                <w:sz w:val="24"/>
                <w:szCs w:val="24"/>
                <w:lang w:eastAsia="en-US"/>
              </w:rPr>
              <w:t>Направление „Подобряване достъпа до образование”</w:t>
            </w:r>
            <w:r>
              <w:rPr>
                <w:rFonts w:ascii="Times New Roman" w:eastAsia="Calibri" w:hAnsi="Times New Roman" w:cs="Times New Roman"/>
                <w:b/>
                <w:bCs/>
                <w:sz w:val="24"/>
                <w:szCs w:val="24"/>
                <w:lang w:eastAsia="en-US"/>
              </w:rPr>
              <w:t xml:space="preserve">– </w:t>
            </w:r>
            <w:r>
              <w:rPr>
                <w:rFonts w:ascii="Times New Roman" w:eastAsia="Calibri" w:hAnsi="Times New Roman" w:cs="Times New Roman"/>
                <w:sz w:val="24"/>
                <w:szCs w:val="24"/>
                <w:lang w:eastAsia="en-US"/>
              </w:rPr>
              <w:t>превенция на ранното отпадане от училище; интеграция в образователната система на деца и младежи; подоб</w:t>
            </w:r>
            <w:r>
              <w:rPr>
                <w:rFonts w:ascii="Times New Roman" w:eastAsia="Calibri" w:hAnsi="Times New Roman" w:cs="Times New Roman"/>
                <w:sz w:val="24"/>
                <w:szCs w:val="24"/>
                <w:lang w:eastAsia="en-US"/>
              </w:rPr>
              <w:lastRenderedPageBreak/>
              <w:t xml:space="preserve">ряване достъпа до образователни услуги за ранно детско развитие; ограмотяване на възрастни; </w:t>
            </w:r>
          </w:p>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bCs/>
                <w:iCs/>
                <w:sz w:val="24"/>
                <w:szCs w:val="24"/>
                <w:lang w:eastAsia="en-US"/>
              </w:rPr>
              <w:t xml:space="preserve">Направление „Развитие на местните общности и преодоляване на негативните стереотипи” </w:t>
            </w:r>
            <w:r>
              <w:rPr>
                <w:rFonts w:ascii="Times New Roman" w:eastAsia="Calibri" w:hAnsi="Times New Roman" w:cs="Times New Roman"/>
                <w:sz w:val="24"/>
                <w:szCs w:val="24"/>
                <w:lang w:eastAsia="en-US"/>
              </w:rPr>
              <w:t>– планиране, управление, наблюдение и оценка на инициативи за социално-икономическа интеграция на социално изключени хора, групи и маргинализирани общности и за общностно развитие; общностни дейности за промяна на практики, имащи негативно влияние върху социалното включване; подкрепа за включване на целевите групи в процесите на формиране и изпълнение на национални и местни политики; инициативи за преодоляване на стереотипи; инициативи за популяризиране на културната идентичност на етнически общности, вкл. в сферата на традиционните дейности и талантите (занаяти и изкуства).</w:t>
            </w:r>
          </w:p>
        </w:tc>
      </w:tr>
      <w:tr w:rsidR="009329C9">
        <w:trPr>
          <w:trHeight w:val="169"/>
        </w:trPr>
        <w:tc>
          <w:tcPr>
            <w:tcW w:w="1419"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Допустими разходи</w:t>
            </w:r>
          </w:p>
        </w:tc>
        <w:tc>
          <w:tcPr>
            <w:tcW w:w="9072" w:type="dxa"/>
            <w:shd w:val="clear" w:color="auto" w:fill="auto"/>
          </w:tcPr>
          <w:p w:rsidR="009329C9" w:rsidRDefault="00B5212B">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Допустимите разходи се определят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w:t>
            </w:r>
          </w:p>
        </w:tc>
      </w:tr>
      <w:tr w:rsidR="009329C9">
        <w:trPr>
          <w:trHeight w:val="169"/>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Недопустими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разходи</w:t>
            </w:r>
          </w:p>
        </w:tc>
        <w:tc>
          <w:tcPr>
            <w:tcW w:w="9072" w:type="dxa"/>
            <w:shd w:val="clear" w:color="auto" w:fill="auto"/>
          </w:tcPr>
          <w:p w:rsidR="009329C9" w:rsidRDefault="00B5212B">
            <w:pPr>
              <w:autoSpaceDE w:val="0"/>
              <w:autoSpaceDN w:val="0"/>
              <w:adjustRightInd w:val="0"/>
              <w:spacing w:after="0" w:line="240" w:lineRule="auto"/>
              <w:jc w:val="both"/>
              <w:rPr>
                <w:rFonts w:ascii="Times New Roman" w:eastAsia="Calibri" w:hAnsi="Times New Roman" w:cs="Times New Roman"/>
                <w:color w:val="000000"/>
                <w:sz w:val="23"/>
                <w:szCs w:val="23"/>
                <w:lang w:eastAsia="en-US"/>
              </w:rPr>
            </w:pPr>
            <w:r>
              <w:rPr>
                <w:rFonts w:ascii="Times New Roman" w:eastAsia="Calibri" w:hAnsi="Times New Roman" w:cs="Times New Roman"/>
                <w:color w:val="000000"/>
                <w:sz w:val="23"/>
                <w:szCs w:val="23"/>
                <w:lang w:eastAsia="en-US"/>
              </w:rPr>
              <w:t>Недопустими са всички разходи, изброени в общите условия по ОП РЧР за стратегията за ВОМР, изброени в таблицата по-горе</w:t>
            </w:r>
          </w:p>
        </w:tc>
      </w:tr>
      <w:tr w:rsidR="009329C9">
        <w:trPr>
          <w:trHeight w:val="169"/>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Финансови параметри на проектите</w:t>
            </w:r>
          </w:p>
        </w:tc>
        <w:tc>
          <w:tcPr>
            <w:tcW w:w="9072" w:type="dxa"/>
            <w:shd w:val="clear" w:color="auto" w:fill="auto"/>
          </w:tcPr>
          <w:p w:rsidR="009329C9" w:rsidRDefault="00B5212B">
            <w:pPr>
              <w:spacing w:after="0" w:line="240" w:lineRule="auto"/>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евроили 39 116 лв</w:t>
            </w:r>
          </w:p>
          <w:p w:rsidR="009329C9" w:rsidRDefault="00B5212B">
            <w:pPr>
              <w:spacing w:after="0" w:line="240" w:lineRule="auto"/>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w:t>
            </w:r>
            <w:r>
              <w:rPr>
                <w:rFonts w:ascii="Times New Roman" w:eastAsia="Calibri" w:hAnsi="Times New Roman" w:cs="Times New Roman"/>
                <w:sz w:val="24"/>
                <w:szCs w:val="24"/>
                <w:lang w:val="en-US" w:eastAsia="en-US"/>
              </w:rPr>
              <w:t>1</w:t>
            </w:r>
            <w:r>
              <w:rPr>
                <w:rFonts w:ascii="Times New Roman" w:eastAsia="Calibri" w:hAnsi="Times New Roman" w:cs="Times New Roman"/>
                <w:sz w:val="24"/>
                <w:szCs w:val="24"/>
                <w:lang w:eastAsia="en-US"/>
              </w:rPr>
              <w:t>2</w:t>
            </w:r>
            <w:r>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eastAsia="en-US"/>
              </w:rPr>
              <w:t> 000 евро.Или 234 696 лв</w:t>
            </w:r>
          </w:p>
        </w:tc>
      </w:tr>
      <w:tr w:rsidR="009329C9">
        <w:trPr>
          <w:trHeight w:val="902"/>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Интензитет и размер на БФП</w:t>
            </w:r>
          </w:p>
        </w:tc>
        <w:tc>
          <w:tcPr>
            <w:tcW w:w="9072" w:type="dxa"/>
            <w:shd w:val="clear" w:color="auto" w:fill="auto"/>
          </w:tcPr>
          <w:p w:rsidR="009329C9" w:rsidRDefault="00B5212B">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9329C9" w:rsidRDefault="00B5212B" w:rsidP="000A54C1">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Общ бюджет на мярката -</w:t>
            </w:r>
            <w:r w:rsidR="000A54C1">
              <w:rPr>
                <w:rFonts w:ascii="Times New Roman" w:eastAsia="Calibri" w:hAnsi="Times New Roman" w:cs="Times New Roman"/>
                <w:sz w:val="24"/>
                <w:szCs w:val="24"/>
                <w:lang w:eastAsia="en-US"/>
              </w:rPr>
              <w:t>409 491,29</w:t>
            </w:r>
            <w:r>
              <w:rPr>
                <w:rFonts w:ascii="Times New Roman" w:eastAsia="Calibri" w:hAnsi="Times New Roman" w:cs="Times New Roman"/>
                <w:sz w:val="24"/>
                <w:szCs w:val="24"/>
                <w:lang w:eastAsia="en-US"/>
              </w:rPr>
              <w:t xml:space="preserve"> лв.</w:t>
            </w:r>
          </w:p>
        </w:tc>
      </w:tr>
      <w:tr w:rsidR="009329C9">
        <w:trPr>
          <w:trHeight w:val="562"/>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Критерии за избор на проекти</w:t>
            </w:r>
          </w:p>
        </w:tc>
        <w:tc>
          <w:tcPr>
            <w:tcW w:w="9072"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680"/>
              <w:gridCol w:w="1134"/>
            </w:tblGrid>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ТОЧКИ</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Дейностите по проекта са в съответствие с общинските и областни документи за интеграция на ромите, както и на други социални стратегии на местно ниво</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Проектът включва интегриран подход за преодоляване на дискриминацията, вкл. и на отрицателните обществени нагласи</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434"/>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9329C9" w:rsidRDefault="00B5212B">
                  <w:pPr>
                    <w:keepNext/>
                    <w:keepLines/>
                    <w:numPr>
                      <w:ilvl w:val="0"/>
                      <w:numId w:val="23"/>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2 населени места – 2 т.</w:t>
                  </w:r>
                </w:p>
                <w:p w:rsidR="009329C9" w:rsidRDefault="00B5212B">
                  <w:pPr>
                    <w:keepNext/>
                    <w:keepLines/>
                    <w:numPr>
                      <w:ilvl w:val="0"/>
                      <w:numId w:val="23"/>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3 населени места – 4 т.</w:t>
                  </w:r>
                </w:p>
                <w:p w:rsidR="009329C9" w:rsidRDefault="00B5212B">
                  <w:pPr>
                    <w:keepNext/>
                    <w:keepLines/>
                    <w:numPr>
                      <w:ilvl w:val="0"/>
                      <w:numId w:val="23"/>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4 и повече – 6 т.</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autoSpaceDE w:val="0"/>
                    <w:autoSpaceDN w:val="0"/>
                    <w:adjustRightInd w:val="0"/>
                    <w:spacing w:after="0"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Проектът е свързан с междусекторно сътрудничество </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ОБЩО</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30</w:t>
                  </w:r>
                </w:p>
              </w:tc>
            </w:tr>
          </w:tbl>
          <w:p w:rsidR="009329C9" w:rsidRDefault="009329C9">
            <w:pPr>
              <w:spacing w:after="0"/>
              <w:jc w:val="both"/>
              <w:rPr>
                <w:rFonts w:ascii="Times New Roman" w:eastAsia="Calibri" w:hAnsi="Times New Roman" w:cs="Times New Roman"/>
                <w:sz w:val="24"/>
                <w:szCs w:val="24"/>
                <w:lang w:eastAsia="en-US"/>
              </w:rPr>
            </w:pPr>
          </w:p>
        </w:tc>
      </w:tr>
    </w:tbl>
    <w:p w:rsidR="009329C9" w:rsidRDefault="009329C9">
      <w:pPr>
        <w:pStyle w:val="2"/>
        <w:rPr>
          <w:rFonts w:ascii="Times New Roman" w:hAnsi="Times New Roman" w:cs="Times New Roman"/>
          <w:b/>
          <w:i/>
          <w:iCs/>
          <w:color w:val="auto"/>
          <w:sz w:val="24"/>
          <w:szCs w:val="24"/>
        </w:rPr>
      </w:pPr>
    </w:p>
    <w:p w:rsidR="009329C9" w:rsidRDefault="00B5212B">
      <w:pPr>
        <w:rPr>
          <w:rFonts w:ascii="Times New Roman" w:eastAsiaTheme="majorEastAsia" w:hAnsi="Times New Roman" w:cs="Times New Roman"/>
          <w:b/>
          <w:i/>
          <w:iCs/>
          <w:sz w:val="24"/>
          <w:szCs w:val="24"/>
        </w:rPr>
      </w:pPr>
      <w:r>
        <w:rPr>
          <w:rFonts w:ascii="Times New Roman" w:hAnsi="Times New Roman" w:cs="Times New Roman"/>
          <w:b/>
          <w:i/>
          <w:iCs/>
          <w:sz w:val="24"/>
          <w:szCs w:val="24"/>
        </w:rPr>
        <w:br w:type="page"/>
      </w:r>
    </w:p>
    <w:p w:rsidR="009329C9" w:rsidRDefault="00B5212B">
      <w:pPr>
        <w:pStyle w:val="2"/>
        <w:rPr>
          <w:rFonts w:ascii="Times New Roman" w:eastAsia="Calibri" w:hAnsi="Times New Roman" w:cs="Times New Roman"/>
          <w:b/>
          <w:color w:val="auto"/>
          <w:sz w:val="24"/>
          <w:szCs w:val="24"/>
          <w:lang w:eastAsia="en-US"/>
        </w:rPr>
      </w:pPr>
      <w:r>
        <w:rPr>
          <w:rFonts w:ascii="Times New Roman" w:hAnsi="Times New Roman" w:cs="Times New Roman"/>
          <w:b/>
          <w:i/>
          <w:iCs/>
          <w:color w:val="auto"/>
          <w:sz w:val="24"/>
          <w:szCs w:val="24"/>
        </w:rPr>
        <w:lastRenderedPageBreak/>
        <w:t>ОПИК</w:t>
      </w:r>
    </w:p>
    <w:tbl>
      <w:tblPr>
        <w:tblStyle w:val="af3"/>
        <w:tblW w:w="10491" w:type="dxa"/>
        <w:tblInd w:w="-318" w:type="dxa"/>
        <w:tblLayout w:type="fixed"/>
        <w:tblLook w:val="04A0" w:firstRow="1" w:lastRow="0" w:firstColumn="1" w:lastColumn="0" w:noHBand="0" w:noVBand="1"/>
      </w:tblPr>
      <w:tblGrid>
        <w:gridCol w:w="1560"/>
        <w:gridCol w:w="8931"/>
      </w:tblGrid>
      <w:tr w:rsidR="009329C9">
        <w:trPr>
          <w:trHeight w:val="383"/>
        </w:trPr>
        <w:tc>
          <w:tcPr>
            <w:tcW w:w="1560" w:type="dxa"/>
            <w:shd w:val="clear" w:color="auto" w:fill="D9D9D9" w:themeFill="background1" w:themeFillShade="D9"/>
          </w:tcPr>
          <w:p w:rsidR="009329C9" w:rsidRDefault="009329C9">
            <w:pPr>
              <w:pStyle w:val="3"/>
              <w:spacing w:line="240" w:lineRule="auto"/>
              <w:outlineLvl w:val="2"/>
              <w:rPr>
                <w:rFonts w:ascii="Times New Roman" w:hAnsi="Times New Roman" w:cs="Times New Roman"/>
                <w:b w:val="0"/>
                <w:bCs w:val="0"/>
                <w:sz w:val="24"/>
                <w:szCs w:val="24"/>
              </w:rPr>
            </w:pPr>
          </w:p>
        </w:tc>
        <w:tc>
          <w:tcPr>
            <w:tcW w:w="8931" w:type="dxa"/>
            <w:shd w:val="clear" w:color="auto" w:fill="D9D9D9" w:themeFill="background1" w:themeFillShade="D9"/>
            <w:vAlign w:val="center"/>
          </w:tcPr>
          <w:p w:rsidR="009329C9" w:rsidRDefault="00B5212B">
            <w:pPr>
              <w:pStyle w:val="3"/>
              <w:spacing w:before="0" w:line="240" w:lineRule="auto"/>
              <w:jc w:val="center"/>
              <w:outlineLvl w:val="2"/>
              <w:rPr>
                <w:rFonts w:ascii="Times New Roman" w:hAnsi="Times New Roman" w:cs="Times New Roman"/>
                <w:bCs w:val="0"/>
                <w:sz w:val="24"/>
                <w:szCs w:val="24"/>
              </w:rPr>
            </w:pPr>
            <w:r>
              <w:rPr>
                <w:rFonts w:ascii="Times New Roman" w:hAnsi="Times New Roman" w:cs="Times New Roman"/>
                <w:bCs w:val="0"/>
                <w:color w:val="auto"/>
                <w:sz w:val="24"/>
                <w:szCs w:val="24"/>
              </w:rPr>
              <w:t>Общи условия по стратегията за ВОМР от ОПИК</w:t>
            </w:r>
          </w:p>
        </w:tc>
      </w:tr>
      <w:tr w:rsidR="009329C9">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Водещи принципи за избора на операции:</w:t>
            </w:r>
          </w:p>
        </w:tc>
        <w:tc>
          <w:tcPr>
            <w:tcW w:w="8931" w:type="dxa"/>
            <w:shd w:val="clear" w:color="auto" w:fill="auto"/>
          </w:tcPr>
          <w:p w:rsidR="009329C9" w:rsidRDefault="00B5212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Координация и синергия</w:t>
            </w:r>
            <w:r>
              <w:rPr>
                <w:rFonts w:ascii="Times New Roman" w:hAnsi="Times New Roman" w:cs="Times New Roman"/>
                <w:bCs/>
                <w:sz w:val="24"/>
                <w:szCs w:val="24"/>
              </w:rPr>
              <w:t xml:space="preserve"> – координиране между отделните програми по ЕСИФ на национално ниво, хоризонталните програми и др. инструменти на Съюза</w:t>
            </w:r>
            <w:r>
              <w:rPr>
                <w:rFonts w:ascii="Times New Roman" w:hAnsi="Times New Roman" w:cs="Times New Roman"/>
                <w:b/>
                <w:bCs/>
                <w:sz w:val="24"/>
                <w:szCs w:val="24"/>
              </w:rPr>
              <w:t>Финансиране, основано на нуждите</w:t>
            </w:r>
            <w:r>
              <w:rPr>
                <w:rFonts w:ascii="Times New Roman" w:hAnsi="Times New Roman" w:cs="Times New Roman"/>
                <w:bCs/>
                <w:sz w:val="24"/>
                <w:szCs w:val="24"/>
              </w:rPr>
              <w:t xml:space="preserve"> – избраните операции да отговарят на идентифицираните нужди на бизнеса/икономиката на територията на МИГ, както и на Споразумението за партньорство, Стратегията на ОПИК 2014-2020 г., приложимите стратегически документи;</w:t>
            </w:r>
            <w:r>
              <w:rPr>
                <w:rFonts w:ascii="Times New Roman" w:hAnsi="Times New Roman" w:cs="Times New Roman"/>
                <w:b/>
                <w:bCs/>
                <w:sz w:val="24"/>
                <w:szCs w:val="24"/>
              </w:rPr>
              <w:t>Принцип на устойчиво развитие</w:t>
            </w:r>
            <w:r>
              <w:rPr>
                <w:rFonts w:ascii="Times New Roman" w:hAnsi="Times New Roman" w:cs="Times New Roman"/>
                <w:bCs/>
                <w:sz w:val="24"/>
                <w:szCs w:val="24"/>
              </w:rPr>
              <w:t xml:space="preserve"> – при финансирането ще се търси устойчивост на постигнатите резултати;</w:t>
            </w:r>
            <w:r>
              <w:rPr>
                <w:rFonts w:ascii="Times New Roman" w:hAnsi="Times New Roman" w:cs="Times New Roman"/>
                <w:b/>
                <w:bCs/>
                <w:sz w:val="24"/>
                <w:szCs w:val="24"/>
              </w:rPr>
              <w:t>Ефективност и ефикасност на инвестициите</w:t>
            </w:r>
            <w:r>
              <w:rPr>
                <w:rFonts w:ascii="Times New Roman" w:hAnsi="Times New Roman" w:cs="Times New Roman"/>
                <w:bCs/>
                <w:sz w:val="24"/>
                <w:szCs w:val="24"/>
              </w:rPr>
              <w:t xml:space="preserve"> – при избора на проекти ще се гарантира насочване на инвестициите към най-устойчивите варианти с най-ефективно използване на ресурсите;</w:t>
            </w:r>
            <w:r>
              <w:rPr>
                <w:rFonts w:ascii="Times New Roman" w:hAnsi="Times New Roman" w:cs="Times New Roman"/>
                <w:b/>
                <w:bCs/>
                <w:sz w:val="24"/>
                <w:szCs w:val="24"/>
              </w:rPr>
              <w:t>Релевантност</w:t>
            </w:r>
            <w:r>
              <w:rPr>
                <w:rFonts w:ascii="Times New Roman" w:hAnsi="Times New Roman" w:cs="Times New Roman"/>
                <w:bCs/>
                <w:sz w:val="24"/>
                <w:szCs w:val="24"/>
              </w:rPr>
              <w:t xml:space="preserve"> - избраните операции следва да допринасят за изпълнението на индикаторите за продукт и резултат по Програмата;</w:t>
            </w:r>
            <w:r>
              <w:rPr>
                <w:rFonts w:ascii="Times New Roman" w:hAnsi="Times New Roman" w:cs="Times New Roman"/>
                <w:b/>
                <w:bCs/>
                <w:iCs/>
                <w:sz w:val="24"/>
                <w:szCs w:val="24"/>
              </w:rPr>
              <w:t>Принцип на равните възможности</w:t>
            </w:r>
            <w:r>
              <w:rPr>
                <w:rFonts w:ascii="Times New Roman" w:hAnsi="Times New Roman" w:cs="Times New Roman"/>
                <w:bCs/>
                <w:sz w:val="24"/>
                <w:szCs w:val="24"/>
              </w:rPr>
              <w:t>– насърчаване на равните възможности за всички, вкл. за хора с увреждания, интеграция на принципа на недискриминация.</w:t>
            </w:r>
          </w:p>
        </w:tc>
      </w:tr>
      <w:tr w:rsidR="009329C9">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Демаркация</w:t>
            </w:r>
          </w:p>
        </w:tc>
        <w:tc>
          <w:tcPr>
            <w:tcW w:w="8931" w:type="dxa"/>
            <w:shd w:val="clear" w:color="auto" w:fill="auto"/>
          </w:tcPr>
          <w:p w:rsidR="009329C9" w:rsidRDefault="00B5212B">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В рамките на избраните мерки няма да бъдат подкрепяни дейности, финансирани по друг проект, програма или каквато и да е друга финансова схема, произлизаща от националния бюджет, бюджета на Общността или друга донорска програма, като проверката ще се извършва на ниво индивидуален проект. </w:t>
            </w:r>
          </w:p>
          <w:p w:rsidR="009329C9" w:rsidRDefault="00B5212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iCs/>
                <w:sz w:val="24"/>
                <w:szCs w:val="24"/>
              </w:rPr>
              <w:t>Правилата на демаркация с другите ОП са описани в „Указанията за общите изисквания към стратегиите, които ще се финансират по ОПИК при многофондово прилагане на подхода ВОМР“,  разписани от УО на ОПИК.</w:t>
            </w:r>
          </w:p>
        </w:tc>
      </w:tr>
      <w:tr w:rsidR="009329C9">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 xml:space="preserve">Общи </w:t>
            </w:r>
          </w:p>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 xml:space="preserve">изисквания към </w:t>
            </w:r>
          </w:p>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кандидатите</w:t>
            </w:r>
          </w:p>
        </w:tc>
        <w:tc>
          <w:tcPr>
            <w:tcW w:w="8931" w:type="dxa"/>
            <w:shd w:val="clear" w:color="auto" w:fill="auto"/>
          </w:tcPr>
          <w:p w:rsidR="009329C9" w:rsidRDefault="00B5212B">
            <w:pPr>
              <w:pStyle w:val="Default"/>
            </w:pPr>
            <w:r>
              <w:t xml:space="preserve">1.Да имат постоянен </w:t>
            </w:r>
            <w:r>
              <w:rPr>
                <w:b/>
              </w:rPr>
              <w:t xml:space="preserve">адрес, седалище </w:t>
            </w:r>
            <w:r>
              <w:t xml:space="preserve">и адрес на управление на територията на МИГ и осъществяват дейностите по проекта на територията на МИГ </w:t>
            </w:r>
          </w:p>
          <w:p w:rsidR="009329C9" w:rsidRDefault="00B5212B">
            <w:pPr>
              <w:pStyle w:val="Default"/>
            </w:pPr>
            <w:r>
              <w:t xml:space="preserve">2. Да са </w:t>
            </w:r>
            <w:r>
              <w:rPr>
                <w:b/>
              </w:rPr>
              <w:t xml:space="preserve">търговци </w:t>
            </w:r>
            <w:r>
              <w:t xml:space="preserve">по смисъла на Търговския закон или Закона за кооперациите. </w:t>
            </w:r>
          </w:p>
          <w:p w:rsidR="009329C9" w:rsidRDefault="00B5212B">
            <w:pPr>
              <w:pStyle w:val="Default"/>
            </w:pPr>
            <w:r>
              <w:t xml:space="preserve">3. Да отговарят на </w:t>
            </w:r>
            <w:r>
              <w:rPr>
                <w:b/>
              </w:rPr>
              <w:t>изискванията за малко или средно предприятие</w:t>
            </w:r>
            <w:r>
              <w:t xml:space="preserve"> съгласно ЗМСП.Допустимостта на кандидатите по този критерий се определя на териториален принцип съгласно демаркацията на ОПИК и Приложения № 1-3 на ПМС № 161/2016</w:t>
            </w:r>
          </w:p>
          <w:p w:rsidR="009329C9" w:rsidRDefault="00B5212B">
            <w:pPr>
              <w:pStyle w:val="Default"/>
            </w:pPr>
            <w:r>
              <w:t xml:space="preserve">Със средства от ОПИК </w:t>
            </w:r>
            <w:r>
              <w:rPr>
                <w:b/>
              </w:rPr>
              <w:t>не се допуска</w:t>
            </w:r>
            <w:r>
              <w:t xml:space="preserve"> финансиране на проекти, изпълнявани от микро предприятия в рамките на селски райони и от предприятия, които не са допустими съгласно демаркацията на ОПИК с други програми.</w:t>
            </w:r>
          </w:p>
          <w:p w:rsidR="009329C9" w:rsidRDefault="00B5212B">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4"/>
                <w:szCs w:val="24"/>
              </w:rPr>
              <w:t xml:space="preserve">Не могат да участват в процедурата за подбор на проекти и не могат да получат безвъзмездна финансова помощ кандидати, които попадат в </w:t>
            </w:r>
            <w:r>
              <w:rPr>
                <w:rFonts w:ascii="Times New Roman" w:hAnsi="Times New Roman" w:cs="Times New Roman"/>
                <w:b/>
                <w:sz w:val="24"/>
                <w:szCs w:val="24"/>
              </w:rPr>
              <w:t>забранителните режими</w:t>
            </w:r>
            <w:r>
              <w:rPr>
                <w:rFonts w:ascii="Times New Roman" w:hAnsi="Times New Roman" w:cs="Times New Roman"/>
                <w:sz w:val="24"/>
                <w:szCs w:val="24"/>
              </w:rPr>
              <w:t xml:space="preserve"> на Регламент (ЕС) № 1407/2013 на Комисията от 18 декември 2013 г.</w:t>
            </w:r>
          </w:p>
        </w:tc>
      </w:tr>
      <w:tr w:rsidR="009329C9">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Допустими разходи</w:t>
            </w:r>
          </w:p>
        </w:tc>
        <w:tc>
          <w:tcPr>
            <w:tcW w:w="8931" w:type="dxa"/>
            <w:shd w:val="clear" w:color="auto" w:fill="auto"/>
          </w:tcPr>
          <w:p w:rsidR="009329C9" w:rsidRDefault="00B5212B">
            <w:pPr>
              <w:spacing w:after="0" w:line="240" w:lineRule="auto"/>
              <w:ind w:right="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 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9329C9" w:rsidRDefault="00B5212B">
            <w:pPr>
              <w:spacing w:after="0" w:line="240" w:lineRule="auto"/>
              <w:ind w:right="284"/>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Съгласно чл. 57, ал. 1 от ЗУСЕСИФ</w:t>
            </w:r>
            <w:r>
              <w:rPr>
                <w:rFonts w:ascii="Times New Roman" w:eastAsia="Calibri" w:hAnsi="Times New Roman" w:cs="Times New Roman"/>
                <w:sz w:val="24"/>
                <w:szCs w:val="24"/>
              </w:rPr>
              <w:t xml:space="preserve"> разходите се считат за допустими, ако са налице едновременно следните условия:</w:t>
            </w:r>
            <w:r>
              <w:rPr>
                <w:rFonts w:ascii="Times New Roman" w:eastAsia="Calibri" w:hAnsi="Times New Roman" w:cs="Times New Roman"/>
                <w:b/>
                <w:sz w:val="24"/>
                <w:szCs w:val="24"/>
              </w:rPr>
              <w:t>1.Разходите са за дейности</w:t>
            </w:r>
            <w:r>
              <w:rPr>
                <w:rFonts w:ascii="Times New Roman" w:eastAsia="Calibri" w:hAnsi="Times New Roman" w:cs="Times New Roman"/>
                <w:sz w:val="24"/>
                <w:szCs w:val="24"/>
              </w:rPr>
              <w:t xml:space="preserve">, съответстващи на критериите за подбор на операции и се извършват от допустими бенефициенти съгласно съответната програма по чл. 3, ал. 2; </w:t>
            </w:r>
            <w:r>
              <w:rPr>
                <w:rFonts w:ascii="Times New Roman" w:eastAsia="Calibri" w:hAnsi="Times New Roman" w:cs="Times New Roman"/>
                <w:b/>
                <w:sz w:val="24"/>
                <w:szCs w:val="24"/>
              </w:rPr>
              <w:t>2.Разходите попадат</w:t>
            </w:r>
            <w:r>
              <w:rPr>
                <w:rFonts w:ascii="Times New Roman" w:eastAsia="Calibri" w:hAnsi="Times New Roman" w:cs="Times New Roman"/>
                <w:sz w:val="24"/>
                <w:szCs w:val="24"/>
              </w:rPr>
              <w:t xml:space="preserve"> във включени в документите по чл. 26, ал. 1 и в одобрения проект категории разходи; </w:t>
            </w:r>
            <w:r>
              <w:rPr>
                <w:rFonts w:ascii="Times New Roman" w:eastAsia="Calibri" w:hAnsi="Times New Roman" w:cs="Times New Roman"/>
                <w:b/>
                <w:sz w:val="24"/>
                <w:szCs w:val="24"/>
              </w:rPr>
              <w:t>3.Разходите са за реално</w:t>
            </w:r>
            <w:r>
              <w:rPr>
                <w:rFonts w:ascii="Times New Roman" w:eastAsia="Calibri" w:hAnsi="Times New Roman" w:cs="Times New Roman"/>
                <w:sz w:val="24"/>
                <w:szCs w:val="24"/>
              </w:rPr>
              <w:t xml:space="preserve"> доставени продукти, извършени услуги и строи</w:t>
            </w:r>
            <w:r>
              <w:rPr>
                <w:rFonts w:ascii="Times New Roman" w:eastAsia="Calibri" w:hAnsi="Times New Roman" w:cs="Times New Roman"/>
                <w:sz w:val="24"/>
                <w:szCs w:val="24"/>
              </w:rPr>
              <w:lastRenderedPageBreak/>
              <w:t xml:space="preserve">телни дейности; </w:t>
            </w:r>
            <w:r>
              <w:rPr>
                <w:rFonts w:ascii="Times New Roman" w:eastAsia="Calibri" w:hAnsi="Times New Roman" w:cs="Times New Roman"/>
                <w:b/>
                <w:sz w:val="24"/>
                <w:szCs w:val="24"/>
              </w:rPr>
              <w:t>4.Разходите са извършени</w:t>
            </w:r>
            <w:r>
              <w:rPr>
                <w:rFonts w:ascii="Times New Roman" w:eastAsia="Calibri" w:hAnsi="Times New Roman" w:cs="Times New Roman"/>
                <w:sz w:val="24"/>
                <w:szCs w:val="24"/>
              </w:rPr>
              <w:t xml:space="preserve"> законосъобразно съгласно приложимото право на ЕС и българското законодателство; </w:t>
            </w:r>
            <w:r>
              <w:rPr>
                <w:rFonts w:ascii="Times New Roman" w:eastAsia="Calibri" w:hAnsi="Times New Roman" w:cs="Times New Roman"/>
                <w:b/>
                <w:sz w:val="24"/>
                <w:szCs w:val="24"/>
              </w:rPr>
              <w:t>5.Разходите са отразени</w:t>
            </w:r>
            <w:r>
              <w:rPr>
                <w:rFonts w:ascii="Times New Roman" w:eastAsia="Calibri" w:hAnsi="Times New Roman" w:cs="Times New Roman"/>
                <w:sz w:val="24"/>
                <w:szCs w:val="24"/>
              </w:rPr>
              <w:t xml:space="preserve"> в счетоводната документация на бенефициента чрез  отделни счетоводни аналитични сметки или в отделна счетоводна система; </w:t>
            </w:r>
            <w:r>
              <w:rPr>
                <w:rFonts w:ascii="Times New Roman" w:eastAsia="Calibri" w:hAnsi="Times New Roman" w:cs="Times New Roman"/>
                <w:b/>
                <w:sz w:val="24"/>
                <w:szCs w:val="24"/>
              </w:rPr>
              <w:t>6.За направените разходи е налична</w:t>
            </w:r>
            <w:r>
              <w:rPr>
                <w:rFonts w:ascii="Times New Roman" w:eastAsia="Calibri" w:hAnsi="Times New Roman" w:cs="Times New Roman"/>
                <w:sz w:val="24"/>
                <w:szCs w:val="24"/>
              </w:rPr>
              <w:t xml:space="preserve">одитнаследа съгласно минималните изисквания на чл. 25 от Делегиран регламент (ЕС) № 480/2014 на Комисията от 3/03/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9329C9" w:rsidRDefault="00B5212B">
            <w:pPr>
              <w:spacing w:after="0" w:line="240" w:lineRule="auto"/>
              <w:ind w:right="284"/>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7.Разходите са съобразени</w:t>
            </w:r>
            <w:r>
              <w:rPr>
                <w:rFonts w:ascii="Times New Roman" w:eastAsia="Calibri" w:hAnsi="Times New Roman" w:cs="Times New Roman"/>
                <w:sz w:val="24"/>
                <w:szCs w:val="24"/>
              </w:rPr>
              <w:t xml:space="preserve"> с приложимите правила за предоставяне на държавни помощи.</w:t>
            </w:r>
          </w:p>
          <w:p w:rsidR="009329C9" w:rsidRDefault="00B5212B">
            <w:pPr>
              <w:autoSpaceDE w:val="0"/>
              <w:autoSpaceDN w:val="0"/>
              <w:adjustRightInd w:val="0"/>
              <w:spacing w:after="0" w:line="240" w:lineRule="auto"/>
              <w:rPr>
                <w:rFonts w:ascii="Times New Roman" w:hAnsi="Times New Roman" w:cs="Times New Roman"/>
                <w:b/>
                <w:bCs/>
                <w:sz w:val="24"/>
                <w:szCs w:val="24"/>
              </w:rPr>
            </w:pPr>
            <w:r>
              <w:rPr>
                <w:rFonts w:ascii="Times New Roman" w:eastAsia="Calibri" w:hAnsi="Times New Roman" w:cs="Times New Roman"/>
                <w:sz w:val="24"/>
                <w:szCs w:val="24"/>
              </w:rPr>
              <w:t>Доколкото друго не е предвидено, разходите са допустими, ако са платени в срока за допустимост на разходите за съответния програмен период.</w:t>
            </w:r>
          </w:p>
        </w:tc>
      </w:tr>
      <w:tr w:rsidR="009329C9">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lastRenderedPageBreak/>
              <w:t>Недопустими разходи</w:t>
            </w:r>
          </w:p>
        </w:tc>
        <w:tc>
          <w:tcPr>
            <w:tcW w:w="8931" w:type="dxa"/>
            <w:shd w:val="clear" w:color="auto" w:fill="auto"/>
          </w:tcPr>
          <w:p w:rsidR="009329C9" w:rsidRDefault="00B5212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Недопустимите разходи се определят на основа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На основание на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9329C9">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Държавни помощи</w:t>
            </w:r>
          </w:p>
        </w:tc>
        <w:tc>
          <w:tcPr>
            <w:tcW w:w="8931" w:type="dxa"/>
            <w:shd w:val="clear" w:color="auto" w:fill="auto"/>
          </w:tcPr>
          <w:p w:rsidR="009329C9" w:rsidRDefault="00B5212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Режим на помощ „de minimis” съгласно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w:t>
            </w:r>
          </w:p>
        </w:tc>
      </w:tr>
      <w:tr w:rsidR="009329C9">
        <w:tc>
          <w:tcPr>
            <w:tcW w:w="10491" w:type="dxa"/>
            <w:gridSpan w:val="2"/>
            <w:shd w:val="clear" w:color="auto" w:fill="D9D9D9" w:themeFill="background1" w:themeFillShade="D9"/>
          </w:tcPr>
          <w:p w:rsidR="009329C9" w:rsidRDefault="00B5212B">
            <w:pPr>
              <w:pStyle w:val="3"/>
              <w:spacing w:before="0" w:line="240" w:lineRule="auto"/>
              <w:jc w:val="center"/>
              <w:outlineLvl w:val="2"/>
              <w:rPr>
                <w:rFonts w:ascii="Times New Roman" w:hAnsi="Times New Roman" w:cs="Times New Roman"/>
              </w:rPr>
            </w:pPr>
            <w:r>
              <w:rPr>
                <w:rFonts w:ascii="Times New Roman" w:hAnsi="Times New Roman" w:cs="Times New Roman"/>
                <w:bCs w:val="0"/>
                <w:color w:val="auto"/>
                <w:sz w:val="24"/>
                <w:szCs w:val="24"/>
              </w:rPr>
              <w:t>2.2</w:t>
            </w:r>
            <w:r>
              <w:rPr>
                <w:rFonts w:ascii="Times New Roman" w:hAnsi="Times New Roman" w:cs="Times New Roman"/>
                <w:color w:val="auto"/>
                <w:sz w:val="24"/>
                <w:szCs w:val="24"/>
              </w:rPr>
              <w:t xml:space="preserve"> Капацитет за растеж на МСП</w:t>
            </w:r>
          </w:p>
        </w:tc>
      </w:tr>
      <w:tr w:rsidR="009329C9">
        <w:tc>
          <w:tcPr>
            <w:tcW w:w="1560" w:type="dxa"/>
            <w:shd w:val="clear" w:color="auto" w:fill="D9D9D9" w:themeFill="background1" w:themeFillShade="D9"/>
          </w:tcPr>
          <w:p w:rsidR="009329C9" w:rsidRDefault="00B5212B">
            <w:pPr>
              <w:spacing w:after="0" w:line="240" w:lineRule="auto"/>
              <w:ind w:right="284"/>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Цели и обхват на </w:t>
            </w:r>
          </w:p>
          <w:p w:rsidR="009329C9" w:rsidRDefault="00B5212B">
            <w:pPr>
              <w:spacing w:after="0" w:line="240" w:lineRule="auto"/>
              <w:ind w:right="284"/>
              <w:jc w:val="center"/>
              <w:rPr>
                <w:rFonts w:ascii="Times New Roman" w:eastAsia="Calibri" w:hAnsi="Times New Roman" w:cs="Times New Roman"/>
                <w:b/>
                <w:sz w:val="24"/>
                <w:szCs w:val="24"/>
              </w:rPr>
            </w:pPr>
            <w:r>
              <w:rPr>
                <w:rFonts w:ascii="Times New Roman" w:eastAsia="Calibri" w:hAnsi="Times New Roman" w:cs="Times New Roman"/>
                <w:b/>
                <w:sz w:val="24"/>
                <w:szCs w:val="24"/>
              </w:rPr>
              <w:t>мярката:</w:t>
            </w:r>
          </w:p>
          <w:p w:rsidR="009329C9" w:rsidRDefault="009329C9">
            <w:pPr>
              <w:spacing w:after="0" w:line="240" w:lineRule="auto"/>
              <w:ind w:right="284"/>
              <w:jc w:val="center"/>
              <w:rPr>
                <w:rFonts w:ascii="Times New Roman" w:eastAsia="Calibri" w:hAnsi="Times New Roman" w:cs="Times New Roman"/>
                <w:b/>
                <w:sz w:val="24"/>
                <w:szCs w:val="24"/>
              </w:rPr>
            </w:pPr>
          </w:p>
        </w:tc>
        <w:tc>
          <w:tcPr>
            <w:tcW w:w="8931" w:type="dxa"/>
          </w:tcPr>
          <w:p w:rsidR="009329C9" w:rsidRDefault="00B5212B">
            <w:pPr>
              <w:spacing w:after="0" w:line="240" w:lineRule="auto"/>
              <w:ind w:right="284"/>
              <w:jc w:val="both"/>
              <w:rPr>
                <w:rFonts w:ascii="Times New Roman" w:eastAsia="Calibri" w:hAnsi="Times New Roman" w:cs="Times New Roman"/>
                <w:b/>
                <w:sz w:val="24"/>
                <w:szCs w:val="24"/>
              </w:rPr>
            </w:pPr>
            <w:r>
              <w:rPr>
                <w:rFonts w:ascii="Times New Roman" w:eastAsia="Calibri" w:hAnsi="Times New Roman" w:cs="Times New Roman"/>
                <w:b/>
                <w:sz w:val="24"/>
                <w:szCs w:val="24"/>
              </w:rPr>
              <w:t>Мярката съответства на</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b/>
                <w:sz w:val="24"/>
                <w:szCs w:val="24"/>
              </w:rPr>
              <w:t>ПРИОРИТЕТНА ОС 2</w:t>
            </w:r>
            <w:r>
              <w:rPr>
                <w:rFonts w:ascii="Times New Roman" w:eastAsia="Calibri" w:hAnsi="Times New Roman" w:cs="Times New Roman"/>
                <w:sz w:val="24"/>
                <w:szCs w:val="24"/>
              </w:rPr>
              <w:t xml:space="preserve"> от ОПИК </w:t>
            </w:r>
            <w:r>
              <w:rPr>
                <w:rFonts w:ascii="Times New Roman" w:eastAsia="Calibri" w:hAnsi="Times New Roman" w:cs="Times New Roman"/>
                <w:sz w:val="24"/>
                <w:szCs w:val="24"/>
                <w:u w:val="single"/>
              </w:rPr>
              <w:t>„ПРЕДПРИЕМАЧЕСТВО И КАПАЦИТЕТ ЗА РАСТЕЖ НАМСП“;</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b/>
                <w:sz w:val="24"/>
                <w:szCs w:val="24"/>
              </w:rPr>
              <w:t>Инвестиционен приоритет2.2</w:t>
            </w:r>
            <w:r>
              <w:rPr>
                <w:rFonts w:ascii="Times New Roman" w:eastAsia="Calibri" w:hAnsi="Times New Roman" w:cs="Times New Roman"/>
                <w:sz w:val="24"/>
                <w:szCs w:val="24"/>
              </w:rPr>
              <w:t>„</w:t>
            </w:r>
            <w:r>
              <w:rPr>
                <w:rFonts w:ascii="Times New Roman" w:eastAsia="Calibri" w:hAnsi="Times New Roman" w:cs="Times New Roman"/>
                <w:sz w:val="24"/>
                <w:szCs w:val="24"/>
                <w:u w:val="single"/>
              </w:rPr>
              <w:t>Капацитет за растеж на МСП”,</w:t>
            </w:r>
          </w:p>
          <w:p w:rsidR="009329C9" w:rsidRDefault="00B5212B">
            <w:pPr>
              <w:spacing w:after="0" w:line="240" w:lineRule="auto"/>
              <w:ind w:right="284"/>
              <w:jc w:val="both"/>
              <w:rPr>
                <w:rFonts w:ascii="Times New Roman" w:eastAsia="Calibri" w:hAnsi="Times New Roman" w:cs="Times New Roman"/>
                <w:sz w:val="24"/>
                <w:szCs w:val="24"/>
                <w:u w:val="single"/>
              </w:rPr>
            </w:pPr>
            <w:r>
              <w:rPr>
                <w:rFonts w:ascii="Times New Roman" w:eastAsia="Calibri" w:hAnsi="Times New Roman" w:cs="Times New Roman"/>
                <w:b/>
                <w:sz w:val="24"/>
                <w:szCs w:val="24"/>
              </w:rPr>
              <w:t>Тематична цел 3</w:t>
            </w:r>
            <w:r>
              <w:rPr>
                <w:rFonts w:ascii="Times New Roman" w:eastAsia="Calibri" w:hAnsi="Times New Roman" w:cs="Times New Roman"/>
                <w:sz w:val="24"/>
                <w:szCs w:val="24"/>
              </w:rPr>
              <w:t xml:space="preserve">: </w:t>
            </w:r>
            <w:r>
              <w:rPr>
                <w:rFonts w:ascii="Times New Roman" w:eastAsia="Calibri" w:hAnsi="Times New Roman" w:cs="Times New Roman"/>
                <w:sz w:val="24"/>
                <w:szCs w:val="24"/>
                <w:u w:val="single"/>
              </w:rPr>
              <w:t>„Повишаване на конкурентоспособността на местните икономики и възможности за създаване на местен бизнес, вкл. чрез диверсификация и алтернативни дейности“</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 на мярката: </w:t>
            </w:r>
            <w:r>
              <w:rPr>
                <w:rFonts w:ascii="Times New Roman" w:eastAsia="Calibri" w:hAnsi="Times New Roman" w:cs="Times New Roman"/>
                <w:sz w:val="24"/>
                <w:szCs w:val="24"/>
              </w:rPr>
              <w:t>Повишаване на производителността и експортния потенциал на българските МСП.</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Целеви групи: </w:t>
            </w:r>
            <w:r>
              <w:rPr>
                <w:rFonts w:ascii="Times New Roman" w:eastAsia="Calibri" w:hAnsi="Times New Roman" w:cs="Times New Roman"/>
                <w:sz w:val="24"/>
                <w:szCs w:val="24"/>
              </w:rPr>
              <w:t xml:space="preserve">1.За общи производствени инвестиции за подобряване на производствения капацитет за растеж чрез ефективното и ефикасно използване на факторите за производство и чрез изграждането на възможности за възприемане и адаптиране на европейски и международни знания и технологии, </w:t>
            </w:r>
            <w:r>
              <w:rPr>
                <w:rFonts w:ascii="Times New Roman" w:eastAsia="Calibri" w:hAnsi="Times New Roman" w:cs="Times New Roman"/>
                <w:b/>
                <w:sz w:val="24"/>
                <w:szCs w:val="24"/>
              </w:rPr>
              <w:t>целева група</w:t>
            </w:r>
            <w:r>
              <w:rPr>
                <w:rFonts w:ascii="Times New Roman" w:eastAsia="Calibri" w:hAnsi="Times New Roman" w:cs="Times New Roman"/>
                <w:sz w:val="24"/>
                <w:szCs w:val="24"/>
              </w:rPr>
              <w:t xml:space="preserve"> са МСП според НСНМСП. </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За подкрепа за специализирани услуги за МСП за развитие и укрепване на управленския капацитет, </w:t>
            </w:r>
            <w:r>
              <w:rPr>
                <w:rFonts w:ascii="Times New Roman" w:eastAsia="Calibri" w:hAnsi="Times New Roman" w:cs="Times New Roman"/>
                <w:b/>
                <w:sz w:val="24"/>
                <w:szCs w:val="24"/>
              </w:rPr>
              <w:t>целева група</w:t>
            </w:r>
            <w:r>
              <w:rPr>
                <w:rFonts w:ascii="Times New Roman" w:eastAsia="Calibri" w:hAnsi="Times New Roman" w:cs="Times New Roman"/>
                <w:sz w:val="24"/>
                <w:szCs w:val="24"/>
              </w:rPr>
              <w:t xml:space="preserve"> са са МСП според НСНМСП. </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За подкрепа за растеж на предприятия чрез подобряване на качеството и насърчаване използването на ИКТ и услуги </w:t>
            </w:r>
            <w:r>
              <w:rPr>
                <w:rFonts w:ascii="Times New Roman" w:eastAsia="Calibri" w:hAnsi="Times New Roman" w:cs="Times New Roman"/>
                <w:b/>
                <w:sz w:val="24"/>
                <w:szCs w:val="24"/>
              </w:rPr>
              <w:t>целева група</w:t>
            </w:r>
            <w:r>
              <w:rPr>
                <w:rFonts w:ascii="Times New Roman" w:eastAsia="Calibri" w:hAnsi="Times New Roman" w:cs="Times New Roman"/>
                <w:sz w:val="24"/>
                <w:szCs w:val="24"/>
              </w:rPr>
              <w:t xml:space="preserve"> са МСП според НСНМСП.</w:t>
            </w:r>
          </w:p>
          <w:p w:rsidR="009329C9" w:rsidRDefault="00B5212B">
            <w:pPr>
              <w:spacing w:after="0" w:line="240" w:lineRule="auto"/>
              <w:ind w:right="284"/>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Обхват на мярката:</w:t>
            </w:r>
            <w:r>
              <w:rPr>
                <w:rFonts w:ascii="Times New Roman" w:eastAsia="Calibri" w:hAnsi="Times New Roman" w:cs="Times New Roman"/>
                <w:sz w:val="24"/>
                <w:szCs w:val="24"/>
              </w:rPr>
              <w:t>територията на МИГ „Свиленград Ареал“</w:t>
            </w:r>
          </w:p>
          <w:p w:rsidR="009329C9" w:rsidRDefault="00B5212B">
            <w:pPr>
              <w:spacing w:after="0" w:line="240" w:lineRule="auto"/>
              <w:ind w:right="284"/>
              <w:contextualSpacing/>
              <w:jc w:val="both"/>
              <w:rPr>
                <w:rFonts w:ascii="Times New Roman" w:eastAsia="Calibri" w:hAnsi="Times New Roman" w:cs="Times New Roman"/>
                <w:sz w:val="23"/>
                <w:szCs w:val="23"/>
              </w:rPr>
            </w:pPr>
            <w:r>
              <w:rPr>
                <w:rFonts w:ascii="Times New Roman" w:eastAsia="Calibri" w:hAnsi="Times New Roman" w:cs="Times New Roman"/>
                <w:b/>
                <w:sz w:val="24"/>
                <w:szCs w:val="24"/>
              </w:rPr>
              <w:t>Съответствие със спецификата на територията:</w:t>
            </w:r>
            <w:r>
              <w:rPr>
                <w:rFonts w:ascii="Times New Roman" w:eastAsia="Calibri" w:hAnsi="Times New Roman" w:cs="Times New Roman"/>
                <w:sz w:val="24"/>
                <w:szCs w:val="24"/>
              </w:rPr>
              <w:t xml:space="preserve">Около  94% от нефинансовите предприятия на територията на община Свиленград са микро, 6% са малки и под </w:t>
            </w:r>
            <w:r>
              <w:rPr>
                <w:rFonts w:ascii="Times New Roman" w:eastAsia="Calibri" w:hAnsi="Times New Roman" w:cs="Times New Roman"/>
                <w:sz w:val="24"/>
                <w:szCs w:val="24"/>
              </w:rPr>
              <w:lastRenderedPageBreak/>
              <w:t>1%</w:t>
            </w:r>
            <w:r>
              <w:rPr>
                <w:rFonts w:ascii="Times New Roman" w:eastAsia="Calibri" w:hAnsi="Times New Roman" w:cs="Times New Roman"/>
                <w:sz w:val="23"/>
                <w:szCs w:val="23"/>
              </w:rPr>
              <w:t xml:space="preserve"> е относителният дял на средните предприятия, липсват предприятия от категорията „големи“.Микропредприятията са основен двигател на икономиката на територията на МИГ. </w:t>
            </w:r>
          </w:p>
          <w:p w:rsidR="009329C9" w:rsidRDefault="00B5212B">
            <w:pPr>
              <w:spacing w:after="0" w:line="240" w:lineRule="auto"/>
              <w:ind w:right="284"/>
              <w:contextualSpacing/>
              <w:jc w:val="both"/>
              <w:rPr>
                <w:rFonts w:ascii="Times New Roman" w:eastAsia="Calibri" w:hAnsi="Times New Roman" w:cs="Times New Roman"/>
                <w:sz w:val="23"/>
                <w:szCs w:val="23"/>
              </w:rPr>
            </w:pPr>
            <w:r>
              <w:rPr>
                <w:rFonts w:ascii="Times New Roman" w:eastAsia="Calibri" w:hAnsi="Times New Roman" w:cs="Times New Roman"/>
                <w:b/>
                <w:sz w:val="23"/>
                <w:szCs w:val="23"/>
              </w:rPr>
              <w:t xml:space="preserve">Идентифицирани проблеми на МСП: </w:t>
            </w:r>
            <w:r>
              <w:rPr>
                <w:rFonts w:ascii="Times New Roman" w:eastAsia="Calibri" w:hAnsi="Times New Roman" w:cs="Times New Roman"/>
                <w:sz w:val="23"/>
                <w:szCs w:val="23"/>
              </w:rPr>
              <w:t>ниската норма на печалба, ниската производителност на труда, съответно ниска добавена стойност и местните МСП очевидно се нуждаят от модернизация и подобряване на конкурентоспособността. Необходимостта от насърчаване развитието на МСП на територията на община Свиленград е жизненоважна. МСП са и единственият източник за създаване на нови работни места на територията.</w:t>
            </w:r>
          </w:p>
        </w:tc>
      </w:tr>
      <w:tr w:rsidR="009329C9">
        <w:tc>
          <w:tcPr>
            <w:tcW w:w="1560" w:type="dxa"/>
            <w:shd w:val="clear" w:color="auto" w:fill="D9D9D9" w:themeFill="background1" w:themeFillShade="D9"/>
          </w:tcPr>
          <w:p w:rsidR="009329C9" w:rsidRDefault="00B5212B">
            <w:pPr>
              <w:spacing w:after="0" w:line="240" w:lineRule="auto"/>
              <w:ind w:right="284"/>
              <w:jc w:val="center"/>
              <w:rPr>
                <w:rFonts w:ascii="Times New Roman" w:eastAsia="Calibri" w:hAnsi="Times New Roman" w:cs="Times New Roman"/>
                <w:b/>
              </w:rPr>
            </w:pPr>
            <w:r>
              <w:rPr>
                <w:rFonts w:ascii="Times New Roman" w:eastAsia="Calibri" w:hAnsi="Times New Roman" w:cs="Times New Roman"/>
                <w:b/>
              </w:rPr>
              <w:lastRenderedPageBreak/>
              <w:t>Допустими дейности</w:t>
            </w:r>
          </w:p>
        </w:tc>
        <w:tc>
          <w:tcPr>
            <w:tcW w:w="8931" w:type="dxa"/>
          </w:tcPr>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Общи производствени инвестиции за подобряване на производствения капацитет за растеж чрез ефективното и ефикасно използване на факторите на производство и чрез изграждането на възможности за възприемане и адаптиране на европейски и международни знания и технологии; </w:t>
            </w:r>
            <w:r>
              <w:rPr>
                <w:rFonts w:ascii="Times New Roman" w:eastAsia="Calibri" w:hAnsi="Times New Roman" w:cs="Times New Roman"/>
                <w:b/>
                <w:sz w:val="24"/>
                <w:szCs w:val="24"/>
              </w:rPr>
              <w:t>Очакваният принос</w:t>
            </w:r>
            <w:r>
              <w:rPr>
                <w:rFonts w:ascii="Times New Roman" w:eastAsia="Calibri" w:hAnsi="Times New Roman" w:cs="Times New Roman"/>
                <w:sz w:val="24"/>
                <w:szCs w:val="24"/>
              </w:rPr>
              <w:t>е свързан с подобряване на конкурентоспособността и създаване на потенциал за експорт</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Подкрепа за специализирани услуги за МСП за развитие и укрепване на управленски капацитет; </w:t>
            </w:r>
            <w:r>
              <w:rPr>
                <w:rFonts w:ascii="Times New Roman" w:eastAsia="Calibri" w:hAnsi="Times New Roman" w:cs="Times New Roman"/>
                <w:b/>
                <w:sz w:val="24"/>
                <w:szCs w:val="24"/>
              </w:rPr>
              <w:t>Очакваният принос</w:t>
            </w:r>
            <w:r>
              <w:rPr>
                <w:rFonts w:ascii="Times New Roman" w:eastAsia="Calibri" w:hAnsi="Times New Roman" w:cs="Times New Roman"/>
                <w:sz w:val="24"/>
                <w:szCs w:val="24"/>
              </w:rPr>
              <w:t xml:space="preserve"> е свързан с подобряване на капацитета на българските МСП за работа в интензивно конкурентни пазари</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3.Подкрепа за растеж на предприятия чрез подобряване на качеството и чрез насърчаване на използването на ИКТ и услуги; </w:t>
            </w:r>
            <w:r>
              <w:rPr>
                <w:rFonts w:ascii="Times New Roman" w:eastAsia="Calibri" w:hAnsi="Times New Roman" w:cs="Times New Roman"/>
                <w:b/>
                <w:sz w:val="24"/>
                <w:szCs w:val="24"/>
              </w:rPr>
              <w:t>Очакваният принос</w:t>
            </w:r>
            <w:r>
              <w:rPr>
                <w:rFonts w:ascii="Times New Roman" w:eastAsia="Calibri" w:hAnsi="Times New Roman" w:cs="Times New Roman"/>
                <w:sz w:val="24"/>
                <w:szCs w:val="24"/>
              </w:rPr>
              <w:t xml:space="preserve"> е свързан с подобряване на капацитета на МСП за правене на конкурентен и устойчив бизнес, както и за осигуряване на по-бърз и по-лесен достъп до чужди пазари и оптимизиране на процесите за управление на бизнеса.</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Подкрепата е за осъществяване на дейности и предоставяне на услуги в пряка полза за развитието на бизнеса и възможностите за експортна ориентация на МСП. Дейностите ще включват мерки за: - </w:t>
            </w:r>
            <w:r>
              <w:rPr>
                <w:rFonts w:ascii="Times New Roman" w:eastAsia="Calibri" w:hAnsi="Times New Roman" w:cs="Times New Roman"/>
                <w:b/>
                <w:sz w:val="24"/>
                <w:szCs w:val="24"/>
              </w:rPr>
              <w:t>повишаване</w:t>
            </w:r>
            <w:r>
              <w:rPr>
                <w:rFonts w:ascii="Times New Roman" w:eastAsia="Calibri" w:hAnsi="Times New Roman" w:cs="Times New Roman"/>
                <w:sz w:val="24"/>
                <w:szCs w:val="24"/>
              </w:rPr>
              <w:t xml:space="preserve"> на производителността; -</w:t>
            </w:r>
            <w:r>
              <w:rPr>
                <w:rFonts w:ascii="Times New Roman" w:eastAsia="Calibri" w:hAnsi="Times New Roman" w:cs="Times New Roman"/>
                <w:b/>
                <w:sz w:val="24"/>
                <w:szCs w:val="24"/>
              </w:rPr>
              <w:t xml:space="preserve">подобряване </w:t>
            </w:r>
            <w:r>
              <w:rPr>
                <w:rFonts w:ascii="Times New Roman" w:eastAsia="Calibri" w:hAnsi="Times New Roman" w:cs="Times New Roman"/>
                <w:sz w:val="24"/>
                <w:szCs w:val="24"/>
              </w:rPr>
              <w:t xml:space="preserve">на производствените процеси; - </w:t>
            </w:r>
            <w:r>
              <w:rPr>
                <w:rFonts w:ascii="Times New Roman" w:eastAsia="Calibri" w:hAnsi="Times New Roman" w:cs="Times New Roman"/>
                <w:b/>
                <w:sz w:val="24"/>
                <w:szCs w:val="24"/>
              </w:rPr>
              <w:t>разширяване</w:t>
            </w:r>
            <w:r>
              <w:rPr>
                <w:rFonts w:ascii="Times New Roman" w:eastAsia="Calibri" w:hAnsi="Times New Roman" w:cs="Times New Roman"/>
                <w:sz w:val="24"/>
                <w:szCs w:val="24"/>
              </w:rPr>
              <w:t xml:space="preserve"> на производството чрез добавяне на нови характеристики или подобряване на съществуващите продукти и услуги; - </w:t>
            </w:r>
            <w:r>
              <w:rPr>
                <w:rFonts w:ascii="Times New Roman" w:eastAsia="Calibri" w:hAnsi="Times New Roman" w:cs="Times New Roman"/>
                <w:b/>
                <w:sz w:val="24"/>
                <w:szCs w:val="24"/>
              </w:rPr>
              <w:t xml:space="preserve">разнообразяване </w:t>
            </w:r>
            <w:r>
              <w:rPr>
                <w:rFonts w:ascii="Times New Roman" w:eastAsia="Calibri" w:hAnsi="Times New Roman" w:cs="Times New Roman"/>
                <w:sz w:val="24"/>
                <w:szCs w:val="24"/>
              </w:rPr>
              <w:t xml:space="preserve">на асортимента от продукти и услуги на предприятията; - </w:t>
            </w:r>
            <w:r>
              <w:rPr>
                <w:rFonts w:ascii="Times New Roman" w:eastAsia="Calibri" w:hAnsi="Times New Roman" w:cs="Times New Roman"/>
                <w:b/>
                <w:sz w:val="24"/>
                <w:szCs w:val="24"/>
              </w:rPr>
              <w:t xml:space="preserve">внедряване </w:t>
            </w:r>
            <w:r>
              <w:rPr>
                <w:rFonts w:ascii="Times New Roman" w:eastAsia="Calibri" w:hAnsi="Times New Roman" w:cs="Times New Roman"/>
                <w:sz w:val="24"/>
                <w:szCs w:val="24"/>
              </w:rPr>
              <w:t xml:space="preserve">на нови технологии за подобряване на ресурсната ефективност и ефикасност в производствения процес; - </w:t>
            </w:r>
            <w:r>
              <w:rPr>
                <w:rFonts w:ascii="Times New Roman" w:eastAsia="Calibri" w:hAnsi="Times New Roman" w:cs="Times New Roman"/>
                <w:b/>
                <w:sz w:val="24"/>
                <w:szCs w:val="24"/>
              </w:rPr>
              <w:t xml:space="preserve">разработване, внедряване и сертифициране </w:t>
            </w:r>
            <w:r>
              <w:rPr>
                <w:rFonts w:ascii="Times New Roman" w:eastAsia="Calibri" w:hAnsi="Times New Roman" w:cs="Times New Roman"/>
                <w:sz w:val="24"/>
                <w:szCs w:val="24"/>
              </w:rPr>
              <w:t xml:space="preserve">на системи за управление на качеството, опазване на околната среда и др. съгласно международни, европейски и национални стандарти; </w:t>
            </w:r>
            <w:r>
              <w:rPr>
                <w:rFonts w:ascii="Times New Roman" w:eastAsia="Calibri" w:hAnsi="Times New Roman" w:cs="Times New Roman"/>
                <w:b/>
                <w:sz w:val="24"/>
                <w:szCs w:val="24"/>
              </w:rPr>
              <w:t>- разработване</w:t>
            </w:r>
            <w:r>
              <w:rPr>
                <w:rFonts w:ascii="Times New Roman" w:eastAsia="Calibri" w:hAnsi="Times New Roman" w:cs="Times New Roman"/>
                <w:sz w:val="24"/>
                <w:szCs w:val="24"/>
              </w:rPr>
              <w:t>, трансфер, внедряване и сертифициране на добри производствени практики; -</w:t>
            </w:r>
            <w:r>
              <w:rPr>
                <w:rFonts w:ascii="Times New Roman" w:eastAsia="Calibri" w:hAnsi="Times New Roman" w:cs="Times New Roman"/>
                <w:b/>
                <w:sz w:val="24"/>
                <w:szCs w:val="24"/>
              </w:rPr>
              <w:t>разработване на стратегии</w:t>
            </w:r>
            <w:r>
              <w:rPr>
                <w:rFonts w:ascii="Times New Roman" w:eastAsia="Calibri" w:hAnsi="Times New Roman" w:cs="Times New Roman"/>
                <w:sz w:val="24"/>
                <w:szCs w:val="24"/>
              </w:rPr>
              <w:t xml:space="preserve"> за пазарна реализация; - </w:t>
            </w:r>
            <w:r>
              <w:rPr>
                <w:rFonts w:ascii="Times New Roman" w:eastAsia="Calibri" w:hAnsi="Times New Roman" w:cs="Times New Roman"/>
                <w:b/>
                <w:sz w:val="24"/>
                <w:szCs w:val="24"/>
              </w:rPr>
              <w:t>разработване и въвеждане</w:t>
            </w:r>
            <w:r>
              <w:rPr>
                <w:rFonts w:ascii="Times New Roman" w:eastAsia="Calibri" w:hAnsi="Times New Roman" w:cs="Times New Roman"/>
                <w:sz w:val="24"/>
                <w:szCs w:val="24"/>
              </w:rPr>
              <w:t xml:space="preserve"> на базирани на ИКТ системи и приложения, за управление на бизнеса, вкл. такива за интеграция на различни звена и локации на дадено дружество, системи за автоматизирано проектиране, инженерни дейности и производство и др.. </w:t>
            </w:r>
          </w:p>
          <w:p w:rsidR="009329C9" w:rsidRDefault="00B5212B">
            <w:pPr>
              <w:spacing w:after="0" w:line="240" w:lineRule="auto"/>
              <w:ind w:right="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Дейностите са допустими само ако представляват </w:t>
            </w:r>
            <w:r>
              <w:rPr>
                <w:rFonts w:ascii="Times New Roman" w:eastAsia="Calibri" w:hAnsi="Times New Roman" w:cs="Times New Roman"/>
                <w:b/>
                <w:sz w:val="24"/>
                <w:szCs w:val="24"/>
              </w:rPr>
              <w:t>инвестиции в материални и нематериални активи, свързани със: - създаването на нов стопански обект или - разширяването на капацитета на съществуващ стопански обект.</w:t>
            </w:r>
          </w:p>
        </w:tc>
      </w:tr>
      <w:tr w:rsidR="009329C9">
        <w:tc>
          <w:tcPr>
            <w:tcW w:w="1560" w:type="dxa"/>
            <w:shd w:val="clear" w:color="auto" w:fill="D9D9D9" w:themeFill="background1" w:themeFillShade="D9"/>
          </w:tcPr>
          <w:p w:rsidR="009329C9" w:rsidRDefault="00B5212B">
            <w:pPr>
              <w:spacing w:after="0" w:line="240" w:lineRule="auto"/>
              <w:ind w:right="284"/>
              <w:jc w:val="center"/>
              <w:rPr>
                <w:rFonts w:ascii="Times New Roman" w:eastAsia="Calibri" w:hAnsi="Times New Roman" w:cs="Times New Roman"/>
                <w:b/>
              </w:rPr>
            </w:pPr>
            <w:r>
              <w:rPr>
                <w:rFonts w:ascii="Times New Roman" w:eastAsia="Calibri" w:hAnsi="Times New Roman" w:cs="Times New Roman"/>
                <w:b/>
              </w:rPr>
              <w:t xml:space="preserve">Допустими </w:t>
            </w:r>
          </w:p>
          <w:p w:rsidR="009329C9" w:rsidRDefault="00B5212B">
            <w:pPr>
              <w:spacing w:after="0" w:line="240" w:lineRule="auto"/>
              <w:ind w:right="284"/>
              <w:jc w:val="center"/>
              <w:rPr>
                <w:rFonts w:ascii="Times New Roman" w:eastAsia="Calibri" w:hAnsi="Times New Roman" w:cs="Times New Roman"/>
                <w:b/>
              </w:rPr>
            </w:pPr>
            <w:r>
              <w:rPr>
                <w:rFonts w:ascii="Times New Roman" w:eastAsia="Calibri" w:hAnsi="Times New Roman" w:cs="Times New Roman"/>
                <w:b/>
              </w:rPr>
              <w:t>разходи</w:t>
            </w:r>
          </w:p>
        </w:tc>
        <w:tc>
          <w:tcPr>
            <w:tcW w:w="8931" w:type="dxa"/>
          </w:tcPr>
          <w:p w:rsidR="009329C9" w:rsidRDefault="00B5212B">
            <w:pPr>
              <w:spacing w:after="0" w:line="240" w:lineRule="auto"/>
              <w:ind w:right="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Разходи за придобиване</w:t>
            </w:r>
            <w:r>
              <w:rPr>
                <w:rFonts w:ascii="Times New Roman" w:eastAsia="Times New Roman" w:hAnsi="Times New Roman" w:cs="Times New Roman"/>
                <w:color w:val="000000"/>
                <w:sz w:val="24"/>
                <w:szCs w:val="24"/>
              </w:rPr>
              <w:t xml:space="preserve"> на машини, съоръжения и оборудване, представляващи дълготрайни материални активи, необходими за изпълнението на дейностите по проекта; </w:t>
            </w:r>
          </w:p>
          <w:p w:rsidR="009329C9" w:rsidRDefault="00B5212B">
            <w:pPr>
              <w:spacing w:after="0" w:line="240" w:lineRule="auto"/>
              <w:ind w:right="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Разходи за придобиване</w:t>
            </w:r>
            <w:r>
              <w:rPr>
                <w:rFonts w:ascii="Times New Roman" w:eastAsia="Times New Roman" w:hAnsi="Times New Roman" w:cs="Times New Roman"/>
                <w:color w:val="000000"/>
                <w:sz w:val="24"/>
                <w:szCs w:val="24"/>
              </w:rPr>
              <w:t xml:space="preserve"> на дълготрайни нематериални активи, необходими за изпълнението на дейностите по проекта; </w:t>
            </w:r>
          </w:p>
          <w:p w:rsidR="009329C9" w:rsidRDefault="00B5212B">
            <w:pPr>
              <w:spacing w:after="0" w:line="240" w:lineRule="auto"/>
              <w:ind w:right="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Разходи за услуги</w:t>
            </w:r>
            <w:r>
              <w:rPr>
                <w:rFonts w:ascii="Times New Roman" w:eastAsia="Times New Roman" w:hAnsi="Times New Roman" w:cs="Times New Roman"/>
                <w:color w:val="000000"/>
                <w:sz w:val="24"/>
                <w:szCs w:val="24"/>
              </w:rPr>
              <w:t xml:space="preserve"> по въвеждане и сертифициране на системи за управление в съответствие с изискванията на национални/европейски/международни стандарти; </w:t>
            </w:r>
          </w:p>
          <w:p w:rsidR="009329C9" w:rsidRDefault="00B5212B">
            <w:pPr>
              <w:spacing w:after="0" w:line="240" w:lineRule="auto"/>
              <w:ind w:right="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Разходи за услуги</w:t>
            </w:r>
            <w:r>
              <w:rPr>
                <w:rFonts w:ascii="Times New Roman" w:eastAsia="Times New Roman" w:hAnsi="Times New Roman" w:cs="Times New Roman"/>
                <w:color w:val="000000"/>
                <w:sz w:val="24"/>
                <w:szCs w:val="24"/>
              </w:rPr>
              <w:t xml:space="preserve"> във връзка с внедряване и сертифициране на добри производствени практики; </w:t>
            </w:r>
          </w:p>
          <w:p w:rsidR="009329C9" w:rsidRDefault="00B5212B">
            <w:pPr>
              <w:spacing w:after="0" w:line="240" w:lineRule="auto"/>
              <w:ind w:right="284"/>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Разходи за ползване </w:t>
            </w:r>
            <w:r>
              <w:rPr>
                <w:rFonts w:ascii="Times New Roman" w:eastAsia="Times New Roman" w:hAnsi="Times New Roman" w:cs="Times New Roman"/>
                <w:color w:val="000000"/>
                <w:sz w:val="24"/>
                <w:szCs w:val="24"/>
              </w:rPr>
              <w:t xml:space="preserve">на специализирани консултантски услуги за реинженеринг </w:t>
            </w:r>
            <w:r>
              <w:rPr>
                <w:rFonts w:ascii="Times New Roman" w:eastAsia="Times New Roman" w:hAnsi="Times New Roman" w:cs="Times New Roman"/>
                <w:color w:val="000000"/>
                <w:sz w:val="24"/>
                <w:szCs w:val="24"/>
              </w:rPr>
              <w:lastRenderedPageBreak/>
              <w:t xml:space="preserve">на процесите в предприятията; </w:t>
            </w:r>
          </w:p>
          <w:p w:rsidR="009329C9" w:rsidRDefault="00B5212B">
            <w:pPr>
              <w:spacing w:after="0" w:line="240" w:lineRule="auto"/>
              <w:ind w:right="284"/>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Разходи за придобиване</w:t>
            </w:r>
            <w:r>
              <w:rPr>
                <w:rFonts w:ascii="Times New Roman" w:eastAsia="Times New Roman" w:hAnsi="Times New Roman" w:cs="Times New Roman"/>
                <w:color w:val="000000"/>
                <w:sz w:val="24"/>
                <w:szCs w:val="24"/>
              </w:rPr>
              <w:t xml:space="preserve"> на дълготрайни материални активи (ДМА) и/или специализирани софтуерни приложения, представляващи дълготрайни нематериални активи (ДНА), допринасящи за осъществяване на дейността; </w:t>
            </w:r>
          </w:p>
          <w:p w:rsidR="009329C9" w:rsidRDefault="00B5212B">
            <w:pPr>
              <w:spacing w:after="0" w:line="240" w:lineRule="auto"/>
              <w:ind w:right="284"/>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Разходи за услуги </w:t>
            </w:r>
            <w:r>
              <w:rPr>
                <w:rFonts w:ascii="Times New Roman" w:eastAsia="Times New Roman" w:hAnsi="Times New Roman" w:cs="Times New Roman"/>
                <w:color w:val="000000"/>
                <w:sz w:val="24"/>
                <w:szCs w:val="24"/>
              </w:rPr>
              <w:t>за разработване и въвеждане на базирани на ИКТ софтуери за управление на бизнес процесите в предприятията, вкл. и такива, представляващи ДМА.</w:t>
            </w:r>
          </w:p>
        </w:tc>
      </w:tr>
      <w:tr w:rsidR="009329C9">
        <w:tc>
          <w:tcPr>
            <w:tcW w:w="1560" w:type="dxa"/>
            <w:shd w:val="clear" w:color="auto" w:fill="D9D9D9" w:themeFill="background1" w:themeFillShade="D9"/>
          </w:tcPr>
          <w:p w:rsidR="009329C9" w:rsidRDefault="00B5212B">
            <w:pPr>
              <w:spacing w:after="0" w:line="240" w:lineRule="auto"/>
              <w:ind w:right="284"/>
              <w:jc w:val="center"/>
              <w:rPr>
                <w:rFonts w:ascii="Times New Roman" w:eastAsia="Calibri" w:hAnsi="Times New Roman" w:cs="Times New Roman"/>
                <w:b/>
              </w:rPr>
            </w:pPr>
            <w:r>
              <w:rPr>
                <w:rFonts w:ascii="Times New Roman" w:eastAsia="Calibri" w:hAnsi="Times New Roman" w:cs="Times New Roman"/>
                <w:b/>
              </w:rPr>
              <w:lastRenderedPageBreak/>
              <w:t>Допустими кандидати</w:t>
            </w:r>
          </w:p>
        </w:tc>
        <w:tc>
          <w:tcPr>
            <w:tcW w:w="8931" w:type="dxa"/>
          </w:tcPr>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Съществуващи или стартиращи (новорегистрирани) МСП (по операциите финансирани с безвъзмездна финансова помощ съгласно определените сектори в НСНМСП 2014-2020 г.), клъстери, асоциации на бизнеса, както и организации и институции, които са свързани с осъществяването на дейности и предоставянето на услуги в подкрепа на бизнеса и подобряване на бизнес-средата.</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Да са с код на основна икономическа дейност по Класификация на икономическите дейности (КИД - 2008) в една от посочените групи сектори:</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b/>
                <w:sz w:val="24"/>
                <w:szCs w:val="24"/>
              </w:rPr>
              <w:t>Високотехнологични и средно високотехнологични промишлени производства:</w:t>
            </w:r>
            <w:r>
              <w:rPr>
                <w:rFonts w:ascii="Times New Roman" w:eastAsia="Calibri" w:hAnsi="Times New Roman" w:cs="Times New Roman"/>
                <w:sz w:val="24"/>
                <w:szCs w:val="24"/>
              </w:rPr>
              <w:t xml:space="preserve"> С20 Производство на химични продукти; C21 Производството на лекарствени вещества и продукти; C26 Производството на компютърна и комуникационна техника, електронни и оптични продукти; С27 „Производство на електрически съоръжения; С28 Производство на машини и оборудване, с общо и специално предназначение; 29 Производство на автомобили, ремаркета и полуремаркета; С30 Производство на превозни средства, без автомобили; </w:t>
            </w:r>
            <w:r>
              <w:rPr>
                <w:rFonts w:ascii="Times New Roman" w:eastAsia="Calibri" w:hAnsi="Times New Roman" w:cs="Times New Roman"/>
                <w:b/>
                <w:sz w:val="24"/>
                <w:szCs w:val="24"/>
              </w:rPr>
              <w:t>Интензивни на знание услуги</w:t>
            </w:r>
            <w:r>
              <w:rPr>
                <w:rFonts w:ascii="Times New Roman" w:eastAsia="Calibri" w:hAnsi="Times New Roman" w:cs="Times New Roman"/>
                <w:sz w:val="24"/>
                <w:szCs w:val="24"/>
              </w:rPr>
              <w:t xml:space="preserve">: J58 Издателска дейност; J59 Производството на филми  и  телевизионни  предавания,  звукозаписване  и  издаване  на  музика; J60 Радио- и телевизионна дейност; J61 Далекосъобщения; J62 Дейности в областта на     информационните    технологии;   J63 Информационни     услуги;     М72 Научно-изследователска и развойна дейност; </w:t>
            </w:r>
            <w:r>
              <w:rPr>
                <w:rFonts w:ascii="Times New Roman" w:eastAsia="Calibri" w:hAnsi="Times New Roman" w:cs="Times New Roman"/>
                <w:b/>
                <w:sz w:val="24"/>
                <w:szCs w:val="24"/>
              </w:rPr>
              <w:t xml:space="preserve">Нискотехнологични и средно нискотехнологични промишлени производства: </w:t>
            </w:r>
            <w:r>
              <w:rPr>
                <w:rFonts w:ascii="Times New Roman" w:eastAsia="Calibri" w:hAnsi="Times New Roman" w:cs="Times New Roman"/>
                <w:sz w:val="24"/>
                <w:szCs w:val="24"/>
              </w:rPr>
              <w:t>С10  Производство на хранителни  продукти;  С11 Производство на напитки;   С13 Производство на текстил и изделия от текстил, без облекло; С14 Производство на облекло; С15 Обработка на кожи; производство на обувки и други изделия от обработени кожи без косъм; С16 Производство на дървен материал и изделия от дървен материал и корк, без мебели; производство на изделия от слама и материали за плетене; С17 Производство на хартия, картон и изделия от хартия и картон; С18Печатна дейност и възпроизвеждане на записани носители; С19 Производство на кокс  и  рафинирани  нефтопродукти;  С22 Производство  на  изделия  от  каучук  и пластмаси; С23 Производство на изделия от други неметални минерални суровини; С24 Производство на основни метали; С25 Производство на метални изделия, без машини и оборудване; С31 Производство на мебели; С32 Производство, некласифицирано другаде; С33 Ремонт и инсталиране на машини и оборудване</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560" w:type="dxa"/>
            <w:shd w:val="clear" w:color="auto" w:fill="BFBFBF" w:themeFill="background1" w:themeFillShade="BF"/>
          </w:tcPr>
          <w:p w:rsidR="009329C9" w:rsidRDefault="00B5212B">
            <w:pPr>
              <w:spacing w:after="0" w:line="240" w:lineRule="auto"/>
              <w:ind w:right="284"/>
              <w:jc w:val="center"/>
              <w:rPr>
                <w:rFonts w:ascii="Times New Roman" w:eastAsia="Calibri" w:hAnsi="Times New Roman" w:cs="Times New Roman"/>
                <w:b/>
              </w:rPr>
            </w:pPr>
            <w:r>
              <w:rPr>
                <w:rFonts w:ascii="Times New Roman" w:eastAsia="Calibri" w:hAnsi="Times New Roman" w:cs="Times New Roman"/>
                <w:b/>
              </w:rPr>
              <w:t>Финансови параметри и интензитет на проектите:</w:t>
            </w:r>
          </w:p>
        </w:tc>
        <w:tc>
          <w:tcPr>
            <w:tcW w:w="8931" w:type="dxa"/>
            <w:shd w:val="clear" w:color="auto" w:fill="auto"/>
          </w:tcPr>
          <w:p w:rsidR="009329C9" w:rsidRDefault="00B5212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Минимална стойност</w:t>
            </w:r>
            <w:r>
              <w:rPr>
                <w:rFonts w:ascii="Times New Roman" w:hAnsi="Times New Roman" w:cs="Times New Roman"/>
                <w:sz w:val="24"/>
                <w:szCs w:val="24"/>
              </w:rPr>
              <w:t xml:space="preserve"> на проект  – 50 000 евроили 97 790 лв.</w:t>
            </w:r>
          </w:p>
          <w:p w:rsidR="009329C9" w:rsidRDefault="00B5212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Максимална стойност</w:t>
            </w:r>
            <w:r>
              <w:rPr>
                <w:rFonts w:ascii="Times New Roman" w:hAnsi="Times New Roman" w:cs="Times New Roman"/>
                <w:sz w:val="24"/>
                <w:szCs w:val="24"/>
              </w:rPr>
              <w:t xml:space="preserve"> на допустимите разходите по проекта – левовата равностойност на 200 000 евроили 391 160 лв.</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Максималният размер на допустимите разходи за проект към многофондова стратегия за прилагане на подхода ВОМР, който може да бъде предоставен на бенефициент по ОПИК 2014-2020, е определен в чл. 10, ал. 1 на ПМС № 161/2016. </w:t>
            </w:r>
          </w:p>
          <w:p w:rsidR="009329C9" w:rsidRDefault="00B5212B">
            <w:pPr>
              <w:spacing w:after="0" w:line="240" w:lineRule="auto"/>
              <w:ind w:right="284"/>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Интензитет на финансовата помощ: </w:t>
            </w:r>
            <w:r>
              <w:rPr>
                <w:rFonts w:ascii="Times New Roman" w:eastAsia="Calibri" w:hAnsi="Times New Roman" w:cs="Times New Roman"/>
                <w:sz w:val="24"/>
                <w:szCs w:val="24"/>
              </w:rPr>
              <w:t>до 90 % от общата стойност на допустимите разходи</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b/>
                <w:sz w:val="24"/>
                <w:szCs w:val="24"/>
              </w:rPr>
              <w:t>Общ бюджет на мярката</w:t>
            </w:r>
            <w:r>
              <w:rPr>
                <w:rFonts w:ascii="Times New Roman" w:eastAsia="Calibri" w:hAnsi="Times New Roman" w:cs="Times New Roman"/>
                <w:sz w:val="24"/>
                <w:szCs w:val="24"/>
              </w:rPr>
              <w:t xml:space="preserve"> – 1 955 800 лв.</w:t>
            </w:r>
          </w:p>
        </w:tc>
      </w:tr>
      <w:tr w:rsidR="009329C9">
        <w:tc>
          <w:tcPr>
            <w:tcW w:w="1560" w:type="dxa"/>
            <w:shd w:val="clear" w:color="auto" w:fill="BFBFBF" w:themeFill="background1" w:themeFillShade="BF"/>
          </w:tcPr>
          <w:p w:rsidR="009329C9" w:rsidRDefault="00B5212B">
            <w:pPr>
              <w:spacing w:after="0" w:line="240" w:lineRule="auto"/>
              <w:ind w:right="284"/>
              <w:jc w:val="center"/>
              <w:rPr>
                <w:rFonts w:ascii="Times New Roman" w:eastAsia="Calibri" w:hAnsi="Times New Roman" w:cs="Times New Roman"/>
                <w:b/>
              </w:rPr>
            </w:pPr>
            <w:r>
              <w:rPr>
                <w:rFonts w:ascii="Times New Roman" w:eastAsia="Calibri" w:hAnsi="Times New Roman" w:cs="Times New Roman"/>
                <w:b/>
              </w:rPr>
              <w:lastRenderedPageBreak/>
              <w:t>Държавни помощи</w:t>
            </w:r>
          </w:p>
        </w:tc>
        <w:tc>
          <w:tcPr>
            <w:tcW w:w="8931" w:type="dxa"/>
            <w:shd w:val="clear" w:color="auto" w:fill="auto"/>
          </w:tcPr>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Мерките, включени в стратегиите за местно развитие, които ще се финансират по ОПИК 2014-2020, ще се изпълняват в съответствие с правилата за минимална помощ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към помощта deminimis, публикуван в Официален вестник на ЕС L 352 от 24.12.2013 г. </w:t>
            </w:r>
          </w:p>
          <w:p w:rsidR="009329C9" w:rsidRDefault="00B5212B">
            <w:pPr>
              <w:spacing w:after="0" w:line="240" w:lineRule="auto"/>
              <w:ind w:right="284"/>
              <w:jc w:val="both"/>
              <w:rPr>
                <w:rFonts w:ascii="Times New Roman" w:eastAsia="Calibri" w:hAnsi="Times New Roman" w:cs="Times New Roman"/>
                <w:b/>
                <w:sz w:val="24"/>
                <w:szCs w:val="24"/>
              </w:rPr>
            </w:pPr>
            <w:r>
              <w:rPr>
                <w:rFonts w:ascii="Times New Roman" w:eastAsia="Calibri" w:hAnsi="Times New Roman" w:cs="Times New Roman"/>
                <w:sz w:val="24"/>
                <w:szCs w:val="24"/>
              </w:rPr>
              <w:t>Максималният размер на помощта по режим deminimis, за която се кандидатства заедно с другите получени минимални помощи, не може да надхвърля левовата равностойност на 200 000 евро и съответно левовата равностойност на 100 000 евро в случай на едно и също предприятие, което осъществява шосейни товарни превози за чужда сметка за период от три бюджетни години.</w:t>
            </w:r>
          </w:p>
        </w:tc>
      </w:tr>
      <w:tr w:rsidR="009329C9">
        <w:tc>
          <w:tcPr>
            <w:tcW w:w="1560" w:type="dxa"/>
            <w:shd w:val="clear" w:color="auto" w:fill="BFBFBF" w:themeFill="background1" w:themeFillShade="BF"/>
          </w:tcPr>
          <w:p w:rsidR="009329C9" w:rsidRDefault="00B5212B">
            <w:pPr>
              <w:autoSpaceDE w:val="0"/>
              <w:autoSpaceDN w:val="0"/>
              <w:adjustRightInd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Общи</w:t>
            </w:r>
          </w:p>
          <w:p w:rsidR="009329C9" w:rsidRDefault="00B5212B">
            <w:pPr>
              <w:autoSpaceDE w:val="0"/>
              <w:autoSpaceDN w:val="0"/>
              <w:adjustRightInd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критерии</w:t>
            </w:r>
          </w:p>
          <w:p w:rsidR="009329C9" w:rsidRDefault="00B5212B">
            <w:pPr>
              <w:spacing w:after="0" w:line="240" w:lineRule="auto"/>
              <w:ind w:right="284"/>
              <w:jc w:val="center"/>
              <w:rPr>
                <w:rFonts w:ascii="Times New Roman" w:eastAsia="Times New Roman" w:hAnsi="Times New Roman" w:cs="Times New Roman"/>
                <w:b/>
              </w:rPr>
            </w:pPr>
            <w:r>
              <w:rPr>
                <w:rFonts w:ascii="Times New Roman" w:eastAsia="Times New Roman" w:hAnsi="Times New Roman" w:cs="Times New Roman"/>
                <w:b/>
              </w:rPr>
              <w:t>за избор на</w:t>
            </w:r>
          </w:p>
          <w:p w:rsidR="009329C9" w:rsidRDefault="00B5212B">
            <w:pPr>
              <w:spacing w:after="0" w:line="240" w:lineRule="auto"/>
              <w:ind w:right="284"/>
              <w:jc w:val="center"/>
              <w:rPr>
                <w:rFonts w:ascii="Times New Roman" w:eastAsia="Calibri" w:hAnsi="Times New Roman" w:cs="Times New Roman"/>
                <w:b/>
              </w:rPr>
            </w:pPr>
            <w:r>
              <w:rPr>
                <w:rFonts w:ascii="Times New Roman" w:eastAsia="Times New Roman" w:hAnsi="Times New Roman" w:cs="Times New Roman"/>
                <w:b/>
              </w:rPr>
              <w:t>проекти</w:t>
            </w:r>
          </w:p>
        </w:tc>
        <w:tc>
          <w:tcPr>
            <w:tcW w:w="8931" w:type="dxa"/>
            <w:shd w:val="clear" w:color="auto" w:fill="auto"/>
          </w:tcPr>
          <w:p w:rsidR="009329C9" w:rsidRDefault="00B5212B">
            <w:pPr>
              <w:spacing w:after="0" w:line="240" w:lineRule="auto"/>
              <w:ind w:right="284"/>
              <w:jc w:val="both"/>
              <w:rPr>
                <w:rFonts w:ascii="Times New Roman" w:hAnsi="Times New Roman" w:cs="Times New Roman"/>
                <w:bCs/>
                <w:sz w:val="24"/>
                <w:szCs w:val="24"/>
              </w:rPr>
            </w:pPr>
            <w:r>
              <w:rPr>
                <w:rFonts w:ascii="Times New Roman" w:hAnsi="Times New Roman" w:cs="Times New Roman"/>
                <w:bCs/>
                <w:sz w:val="24"/>
                <w:szCs w:val="24"/>
              </w:rPr>
              <w:t>Подборът на проекти към стратегии за местно развитие при прилагане на подхода ВОМР се определя в ЗУСЕСИФ и ПМС № 161/2016.</w:t>
            </w:r>
          </w:p>
          <w:p w:rsidR="009329C9" w:rsidRDefault="00B5212B">
            <w:pPr>
              <w:spacing w:after="0" w:line="240" w:lineRule="auto"/>
              <w:ind w:right="284"/>
              <w:jc w:val="both"/>
              <w:rPr>
                <w:rFonts w:ascii="Times New Roman" w:hAnsi="Times New Roman" w:cs="Times New Roman"/>
                <w:bCs/>
                <w:sz w:val="24"/>
                <w:szCs w:val="24"/>
              </w:rPr>
            </w:pPr>
            <w:r>
              <w:rPr>
                <w:rFonts w:ascii="Times New Roman" w:hAnsi="Times New Roman" w:cs="Times New Roman"/>
                <w:bCs/>
                <w:sz w:val="24"/>
                <w:szCs w:val="24"/>
              </w:rPr>
              <w:t>Редът за подбор на проекти към стратегии за местно развитие при прилагане на ВОМР е  регламентиран в Глава пета КООРДИНАЦИЯ ВЪВ ВРЪЗКА С ОДОБРЕНИЕ НА ПРОЕКТИ КЪМ СТРАТЕГИЯ ЗА ВОМР, Раздел І Подбор на проекти към стратегия за ВОМР на ПМС № 161/2016.</w:t>
            </w:r>
          </w:p>
          <w:p w:rsidR="009329C9" w:rsidRDefault="00B5212B">
            <w:pPr>
              <w:spacing w:after="0" w:line="240" w:lineRule="auto"/>
              <w:ind w:right="284"/>
              <w:jc w:val="both"/>
              <w:rPr>
                <w:rFonts w:ascii="Times New Roman" w:hAnsi="Times New Roman" w:cs="Times New Roman"/>
                <w:bCs/>
                <w:sz w:val="24"/>
                <w:szCs w:val="24"/>
              </w:rPr>
            </w:pPr>
            <w:r>
              <w:rPr>
                <w:rFonts w:ascii="Times New Roman" w:hAnsi="Times New Roman" w:cs="Times New Roman"/>
                <w:bCs/>
                <w:sz w:val="24"/>
                <w:szCs w:val="24"/>
              </w:rPr>
              <w:t xml:space="preserve">Общите критерии за подбор и оценка на проекти са според методологията, определена от УО на ОПИК в УКАЗАНИЯ ЗА ОБЩИТЕ ИЗИСКВАНИЯ КЪМ СТРАТЕГИИТЕ, КОИТО ЩЕ СЕ ФИНАНСИРАТ ПО ОПИК 2014–2020 </w:t>
            </w:r>
          </w:p>
          <w:p w:rsidR="009329C9" w:rsidRDefault="00B5212B">
            <w:pPr>
              <w:spacing w:after="0" w:line="240" w:lineRule="auto"/>
              <w:ind w:right="284"/>
              <w:jc w:val="both"/>
              <w:rPr>
                <w:rFonts w:ascii="Times New Roman" w:hAnsi="Times New Roman" w:cs="Times New Roman"/>
                <w:bCs/>
                <w:sz w:val="24"/>
                <w:szCs w:val="24"/>
              </w:rPr>
            </w:pPr>
            <w:r>
              <w:rPr>
                <w:rFonts w:ascii="Times New Roman" w:hAnsi="Times New Roman" w:cs="Times New Roman"/>
                <w:bCs/>
                <w:sz w:val="24"/>
                <w:szCs w:val="24"/>
              </w:rPr>
              <w:t>ПРИ МНОГОФОНДОВО ПРИЛАГАНЕ НА ПОДХОДА ВОМР, т. Х, 3.В случай на дейности по Приоритетна ос 2 "Предприемачество и капацитет за растеж на МСП“, Инвестиционен приоритет 2.2. „Капацитет за растеж на МСП“, като максималният брой точки на общите критерии е 60, а на специфичните за МИГ критерии – 40.</w:t>
            </w:r>
          </w:p>
        </w:tc>
      </w:tr>
      <w:tr w:rsidR="009329C9">
        <w:trPr>
          <w:trHeight w:val="1141"/>
        </w:trPr>
        <w:tc>
          <w:tcPr>
            <w:tcW w:w="1560" w:type="dxa"/>
            <w:shd w:val="clear" w:color="auto" w:fill="BFBFBF" w:themeFill="background1" w:themeFillShade="BF"/>
          </w:tcPr>
          <w:p w:rsidR="009329C9" w:rsidRDefault="00B5212B">
            <w:pPr>
              <w:spacing w:after="0" w:line="240" w:lineRule="auto"/>
              <w:ind w:right="284"/>
              <w:contextualSpacing/>
              <w:jc w:val="center"/>
              <w:rPr>
                <w:rFonts w:ascii="Times New Roman" w:eastAsia="Calibri" w:hAnsi="Times New Roman" w:cs="Times New Roman"/>
                <w:b/>
                <w:bCs/>
              </w:rPr>
            </w:pPr>
            <w:r>
              <w:rPr>
                <w:rFonts w:ascii="Times New Roman" w:eastAsia="Calibri" w:hAnsi="Times New Roman" w:cs="Times New Roman"/>
                <w:b/>
                <w:bCs/>
              </w:rPr>
              <w:t>Специфични за територията допълнителни критерии</w:t>
            </w:r>
          </w:p>
        </w:tc>
        <w:tc>
          <w:tcPr>
            <w:tcW w:w="8931" w:type="dxa"/>
            <w:shd w:val="clear" w:color="auto" w:fill="auto"/>
          </w:tcPr>
          <w:p w:rsidR="009329C9" w:rsidRDefault="009329C9">
            <w:pPr>
              <w:spacing w:after="0" w:line="240" w:lineRule="auto"/>
              <w:ind w:right="284"/>
              <w:contextualSpacing/>
              <w:jc w:val="both"/>
              <w:rPr>
                <w:rFonts w:ascii="Times New Roman" w:eastAsia="Calibri" w:hAnsi="Times New Roman" w:cs="Times New Roman"/>
                <w:bCs/>
                <w:sz w:val="24"/>
                <w:szCs w:val="24"/>
              </w:rPr>
            </w:pPr>
          </w:p>
          <w:tbl>
            <w:tblPr>
              <w:tblW w:w="8389" w:type="dxa"/>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114"/>
              <w:gridCol w:w="1275"/>
            </w:tblGrid>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spacing w:before="225" w:after="2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ТЕХНИЧЕСКА ОЦЕНКА И КЛАСИРАНЕ</w:t>
                  </w:r>
                </w:p>
              </w:tc>
              <w:tc>
                <w:tcPr>
                  <w:tcW w:w="1275"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ТОЧКИ</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line="240" w:lineRule="auto"/>
                    <w:jc w:val="both"/>
                    <w:outlineLvl w:val="5"/>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Проектът има ясно обосновано пряко положително въздействие върху насърчаване на равните възможности и социалното включване</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contextualSpacing/>
                    <w:rPr>
                      <w:rFonts w:ascii="Times New Roman" w:eastAsia="Times New Roman" w:hAnsi="Times New Roman" w:cs="Times New Roman"/>
                      <w:color w:val="000000"/>
                      <w:sz w:val="23"/>
                      <w:szCs w:val="23"/>
                    </w:rPr>
                  </w:pPr>
                  <w:r>
                    <w:rPr>
                      <w:rFonts w:ascii="Times New Roman" w:eastAsia="Times New Roman" w:hAnsi="Times New Roman" w:cs="Times New Roman"/>
                      <w:iCs/>
                      <w:color w:val="000000"/>
                      <w:sz w:val="23"/>
                      <w:szCs w:val="23"/>
                    </w:rPr>
                    <w:t>Проектът има ясно обосновано пряко положително въздействие върху създаването на заетост</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keepNext/>
                    <w:keepLines/>
                    <w:spacing w:after="0" w:line="240" w:lineRule="auto"/>
                    <w:contextualSpacing/>
                    <w:jc w:val="both"/>
                    <w:outlineLvl w:val="5"/>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Проектът има ясно обосновано пряко положително въздействие върху енергийната ефективност</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autoSpaceDE w:val="0"/>
                    <w:autoSpaceDN w:val="0"/>
                    <w:adjustRightInd w:val="0"/>
                    <w:spacing w:after="0" w:line="240" w:lineRule="auto"/>
                    <w:contextualSpacing/>
                    <w:rPr>
                      <w:rFonts w:ascii="Times New Roman" w:eastAsia="Calibri" w:hAnsi="Times New Roman" w:cs="Times New Roman"/>
                      <w:sz w:val="23"/>
                      <w:szCs w:val="23"/>
                    </w:rPr>
                  </w:pPr>
                  <w:r>
                    <w:rPr>
                      <w:rFonts w:ascii="Times New Roman" w:eastAsia="Calibri" w:hAnsi="Times New Roman" w:cs="Times New Roman"/>
                      <w:sz w:val="23"/>
                      <w:szCs w:val="23"/>
                    </w:rPr>
                    <w:t xml:space="preserve">Проектът е свързан с междусекторно сътрудничество </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contextualSpacing/>
                    <w:rPr>
                      <w:rFonts w:ascii="Times New Roman" w:eastAsia="Calibri" w:hAnsi="Times New Roman" w:cs="Times New Roman"/>
                      <w:sz w:val="23"/>
                      <w:szCs w:val="23"/>
                    </w:rPr>
                  </w:pPr>
                  <w:r>
                    <w:rPr>
                      <w:rFonts w:ascii="Times New Roman" w:eastAsia="Calibri" w:hAnsi="Times New Roman" w:cs="Times New Roman"/>
                      <w:sz w:val="23"/>
                      <w:szCs w:val="23"/>
                    </w:rPr>
                    <w:t xml:space="preserve">Проектът е свързан с други цели и приоритети от ОПИК, които не са включени в конкретната мярка или с други проекти по ОПИК, реализирани на територията </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rPr>
                      <w:rFonts w:ascii="Times New Roman" w:eastAsia="Times New Roman" w:hAnsi="Times New Roman" w:cs="Times New Roman"/>
                      <w:b/>
                      <w:sz w:val="23"/>
                      <w:szCs w:val="23"/>
                    </w:rPr>
                  </w:pPr>
                  <w:r>
                    <w:rPr>
                      <w:rFonts w:ascii="Times New Roman" w:eastAsia="Times New Roman" w:hAnsi="Times New Roman" w:cs="Times New Roman"/>
                      <w:b/>
                      <w:sz w:val="23"/>
                      <w:szCs w:val="23"/>
                    </w:rPr>
                    <w:t>ОБЩО</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r>
          </w:tbl>
          <w:p w:rsidR="009329C9" w:rsidRDefault="009329C9">
            <w:pPr>
              <w:spacing w:after="0" w:line="240" w:lineRule="auto"/>
              <w:ind w:right="284"/>
              <w:contextualSpacing/>
              <w:jc w:val="both"/>
              <w:rPr>
                <w:rFonts w:ascii="Times New Roman" w:eastAsia="Calibri" w:hAnsi="Times New Roman" w:cs="Times New Roman"/>
                <w:bCs/>
                <w:sz w:val="24"/>
                <w:szCs w:val="24"/>
              </w:rPr>
            </w:pPr>
          </w:p>
        </w:tc>
      </w:tr>
    </w:tbl>
    <w:p w:rsidR="009329C9" w:rsidRDefault="009329C9">
      <w:pPr>
        <w:rPr>
          <w:rFonts w:ascii="Times New Roman" w:hAnsi="Times New Roman" w:cs="Times New Roman"/>
        </w:rPr>
      </w:pPr>
    </w:p>
    <w:p w:rsidR="009329C9" w:rsidRDefault="009329C9">
      <w:pPr>
        <w:spacing w:after="120"/>
        <w:ind w:right="-1"/>
        <w:jc w:val="both"/>
        <w:rPr>
          <w:rFonts w:ascii="Times New Roman" w:hAnsi="Times New Roman" w:cs="Times New Roman"/>
          <w:sz w:val="24"/>
          <w:szCs w:val="24"/>
        </w:rPr>
      </w:pPr>
    </w:p>
    <w:p w:rsidR="009329C9" w:rsidRDefault="00B5212B">
      <w:pPr>
        <w:rPr>
          <w:rFonts w:ascii="Times New Roman" w:eastAsiaTheme="majorEastAsia" w:hAnsi="Times New Roman" w:cs="Times New Roman"/>
          <w:b/>
          <w:bCs/>
          <w:sz w:val="24"/>
          <w:szCs w:val="24"/>
        </w:rPr>
      </w:pPr>
      <w:bookmarkStart w:id="37" w:name="_Toc449349435"/>
      <w:bookmarkStart w:id="38" w:name="_Toc448139204"/>
      <w:r>
        <w:rPr>
          <w:rFonts w:ascii="Times New Roman" w:hAnsi="Times New Roman" w:cs="Times New Roman"/>
          <w:sz w:val="24"/>
          <w:szCs w:val="24"/>
        </w:rPr>
        <w:br w:type="page"/>
      </w:r>
    </w:p>
    <w:p w:rsidR="009329C9" w:rsidRDefault="00B5212B">
      <w:pPr>
        <w:pStyle w:val="1"/>
        <w:pBdr>
          <w:top w:val="single" w:sz="4" w:space="1" w:color="auto"/>
          <w:left w:val="single" w:sz="4" w:space="4" w:color="auto"/>
          <w:bottom w:val="single" w:sz="4" w:space="1" w:color="auto"/>
          <w:right w:val="single" w:sz="4" w:space="20" w:color="auto"/>
        </w:pBdr>
        <w:spacing w:before="0" w:after="120"/>
        <w:ind w:right="-1"/>
        <w:jc w:val="both"/>
        <w:rPr>
          <w:rFonts w:ascii="Times New Roman" w:hAnsi="Times New Roman" w:cs="Times New Roman"/>
          <w:b w:val="0"/>
          <w:color w:val="auto"/>
          <w:sz w:val="24"/>
          <w:szCs w:val="24"/>
        </w:rPr>
      </w:pPr>
      <w:r>
        <w:rPr>
          <w:rFonts w:ascii="Times New Roman" w:hAnsi="Times New Roman" w:cs="Times New Roman"/>
          <w:color w:val="auto"/>
          <w:sz w:val="24"/>
          <w:szCs w:val="24"/>
        </w:rPr>
        <w:lastRenderedPageBreak/>
        <w:t>6. Финансов план:</w:t>
      </w:r>
      <w:bookmarkEnd w:id="37"/>
      <w:bookmarkEnd w:id="38"/>
    </w:p>
    <w:p w:rsidR="009329C9" w:rsidRDefault="00B5212B">
      <w:pPr>
        <w:pStyle w:val="2"/>
        <w:spacing w:before="0" w:after="120"/>
        <w:ind w:right="-1"/>
        <w:jc w:val="both"/>
        <w:rPr>
          <w:rFonts w:ascii="Times New Roman" w:hAnsi="Times New Roman" w:cs="Times New Roman"/>
          <w:b/>
          <w:color w:val="auto"/>
          <w:sz w:val="24"/>
          <w:szCs w:val="24"/>
        </w:rPr>
      </w:pPr>
      <w:bookmarkStart w:id="39" w:name="_Toc449349436"/>
      <w:bookmarkStart w:id="40" w:name="_Toc448139205"/>
      <w:r>
        <w:rPr>
          <w:rFonts w:ascii="Times New Roman" w:hAnsi="Times New Roman" w:cs="Times New Roman"/>
          <w:b/>
          <w:color w:val="auto"/>
          <w:sz w:val="24"/>
          <w:szCs w:val="24"/>
        </w:rPr>
        <w:t>6.1. Индикативно разпределение на средствата по програми/фондове и по мерки:</w:t>
      </w:r>
      <w:bookmarkEnd w:id="39"/>
      <w:bookmarkEnd w:id="40"/>
    </w:p>
    <w:tbl>
      <w:tblPr>
        <w:tblW w:w="5375" w:type="pct"/>
        <w:tblInd w:w="-2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025"/>
        <w:gridCol w:w="6615"/>
        <w:gridCol w:w="1985"/>
        <w:gridCol w:w="858"/>
      </w:tblGrid>
      <w:tr w:rsidR="009329C9">
        <w:trPr>
          <w:trHeight w:val="475"/>
        </w:trPr>
        <w:tc>
          <w:tcPr>
            <w:tcW w:w="489" w:type="pct"/>
            <w:vMerge w:val="restar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textAlignment w:val="center"/>
              <w:rPr>
                <w:rFonts w:ascii="Times New Roman" w:eastAsia="Times New Roman" w:hAnsi="Times New Roman" w:cs="Times New Roman"/>
                <w:color w:val="000000"/>
                <w:sz w:val="24"/>
                <w:szCs w:val="24"/>
              </w:rPr>
            </w:pPr>
            <w:bookmarkStart w:id="41" w:name="_Toc448392292"/>
            <w:bookmarkStart w:id="42" w:name="_Toc449349437"/>
            <w:r>
              <w:rPr>
                <w:rFonts w:ascii="Times New Roman" w:eastAsia="Times New Roman" w:hAnsi="Times New Roman" w:cs="Times New Roman"/>
                <w:i/>
                <w:iCs/>
                <w:color w:val="000000"/>
                <w:sz w:val="24"/>
                <w:szCs w:val="24"/>
              </w:rPr>
              <w:t>Код на мярката</w:t>
            </w:r>
          </w:p>
        </w:tc>
        <w:tc>
          <w:tcPr>
            <w:tcW w:w="3155" w:type="pct"/>
            <w:vMerge w:val="restar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Име на мярката</w:t>
            </w:r>
          </w:p>
        </w:tc>
        <w:tc>
          <w:tcPr>
            <w:tcW w:w="1356"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Общо за периода на стратегията</w:t>
            </w:r>
          </w:p>
        </w:tc>
      </w:tr>
      <w:tr w:rsidR="009329C9">
        <w:trPr>
          <w:trHeight w:val="145"/>
        </w:trPr>
        <w:tc>
          <w:tcPr>
            <w:tcW w:w="489" w:type="pct"/>
            <w:vMerge/>
            <w:vAlign w:val="center"/>
          </w:tcPr>
          <w:p w:rsidR="009329C9" w:rsidRDefault="009329C9">
            <w:pPr>
              <w:tabs>
                <w:tab w:val="left" w:pos="142"/>
              </w:tabs>
              <w:spacing w:after="0"/>
              <w:ind w:firstLine="85"/>
              <w:rPr>
                <w:rFonts w:ascii="Times New Roman" w:eastAsia="Times New Roman" w:hAnsi="Times New Roman" w:cs="Times New Roman"/>
                <w:color w:val="000000"/>
                <w:sz w:val="24"/>
                <w:szCs w:val="24"/>
              </w:rPr>
            </w:pPr>
          </w:p>
        </w:tc>
        <w:tc>
          <w:tcPr>
            <w:tcW w:w="3155" w:type="pct"/>
            <w:vMerge/>
            <w:vAlign w:val="center"/>
          </w:tcPr>
          <w:p w:rsidR="009329C9" w:rsidRDefault="009329C9">
            <w:pPr>
              <w:tabs>
                <w:tab w:val="left" w:pos="142"/>
              </w:tabs>
              <w:spacing w:after="0"/>
              <w:ind w:firstLine="85"/>
              <w:rPr>
                <w:rFonts w:ascii="Times New Roman" w:eastAsia="Times New Roman" w:hAnsi="Times New Roman" w:cs="Times New Roman"/>
                <w:color w:val="000000"/>
                <w:sz w:val="24"/>
                <w:szCs w:val="24"/>
              </w:rPr>
            </w:pPr>
          </w:p>
        </w:tc>
        <w:tc>
          <w:tcPr>
            <w:tcW w:w="947"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лева</w:t>
            </w:r>
          </w:p>
        </w:tc>
        <w:tc>
          <w:tcPr>
            <w:tcW w:w="40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textAlignment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МЕРКИ, ФИНАНСИРАНИ ОТ ПРСР 2014 – 2020 Г. (ЕЗФРСР)</w:t>
            </w:r>
          </w:p>
        </w:tc>
        <w:tc>
          <w:tcPr>
            <w:tcW w:w="947" w:type="pct"/>
            <w:shd w:val="clear" w:color="auto" w:fill="auto"/>
            <w:tcMar>
              <w:top w:w="57" w:type="dxa"/>
              <w:left w:w="57" w:type="dxa"/>
              <w:bottom w:w="57" w:type="dxa"/>
              <w:right w:w="57" w:type="dxa"/>
            </w:tcMar>
            <w:vAlign w:val="center"/>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0A54C1">
              <w:rPr>
                <w:rFonts w:ascii="Times New Roman" w:eastAsia="Calibri" w:hAnsi="Times New Roman" w:cs="Times New Roman"/>
                <w:b/>
                <w:sz w:val="24"/>
                <w:szCs w:val="24"/>
                <w:lang w:eastAsia="en-US"/>
              </w:rPr>
              <w:t> </w:t>
            </w:r>
            <w:r>
              <w:rPr>
                <w:rFonts w:ascii="Times New Roman" w:eastAsia="Calibri" w:hAnsi="Times New Roman" w:cs="Times New Roman"/>
                <w:b/>
                <w:sz w:val="24"/>
                <w:szCs w:val="24"/>
                <w:lang w:eastAsia="en-US"/>
              </w:rPr>
              <w:t>732</w:t>
            </w:r>
            <w:r w:rsidR="000A54C1">
              <w:rPr>
                <w:rFonts w:ascii="Times New Roman" w:eastAsia="Calibri" w:hAnsi="Times New Roman" w:cs="Times New Roman"/>
                <w:b/>
                <w:sz w:val="24"/>
                <w:szCs w:val="24"/>
                <w:lang w:eastAsia="en-US"/>
              </w:rPr>
              <w:t xml:space="preserve"> </w:t>
            </w:r>
            <w:r>
              <w:rPr>
                <w:rFonts w:ascii="Times New Roman" w:eastAsia="Calibri" w:hAnsi="Times New Roman" w:cs="Times New Roman"/>
                <w:b/>
                <w:sz w:val="24"/>
                <w:szCs w:val="24"/>
                <w:lang w:eastAsia="en-US"/>
              </w:rPr>
              <w:t>699,85</w:t>
            </w:r>
          </w:p>
          <w:p w:rsidR="009329C9" w:rsidRDefault="009329C9">
            <w:pPr>
              <w:spacing w:after="0"/>
              <w:jc w:val="center"/>
              <w:rPr>
                <w:rFonts w:ascii="Times New Roman" w:eastAsia="Calibri" w:hAnsi="Times New Roman" w:cs="Times New Roman"/>
                <w:b/>
                <w:sz w:val="24"/>
                <w:szCs w:val="24"/>
                <w:lang w:eastAsia="en-US"/>
              </w:rPr>
            </w:pPr>
          </w:p>
        </w:tc>
        <w:tc>
          <w:tcPr>
            <w:tcW w:w="409" w:type="pct"/>
            <w:shd w:val="clear" w:color="auto" w:fill="auto"/>
            <w:tcMar>
              <w:top w:w="57" w:type="dxa"/>
              <w:left w:w="57" w:type="dxa"/>
              <w:bottom w:w="57" w:type="dxa"/>
              <w:right w:w="57" w:type="dxa"/>
            </w:tcMar>
            <w:vAlign w:val="center"/>
          </w:tcPr>
          <w:p w:rsidR="009329C9" w:rsidRDefault="000A54C1" w:rsidP="000A54C1">
            <w:pPr>
              <w:tabs>
                <w:tab w:val="left" w:pos="142"/>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30</w:t>
            </w:r>
            <w:r w:rsidR="00B5212B">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53</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jc w:val="both"/>
              <w:textAlignment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 4 „ИНВЕСТИЦИИ В МАТЕРИАЛНИ АКТИВИ“</w:t>
            </w:r>
          </w:p>
        </w:tc>
        <w:tc>
          <w:tcPr>
            <w:tcW w:w="947" w:type="pct"/>
            <w:shd w:val="clear" w:color="auto" w:fill="auto"/>
            <w:tcMar>
              <w:top w:w="57" w:type="dxa"/>
              <w:left w:w="57" w:type="dxa"/>
              <w:bottom w:w="57" w:type="dxa"/>
              <w:right w:w="57" w:type="dxa"/>
            </w:tcMar>
          </w:tcPr>
          <w:p w:rsidR="009329C9" w:rsidRDefault="00B5212B">
            <w:pPr>
              <w:jc w:val="center"/>
              <w:rPr>
                <w:rFonts w:ascii="Times New Roman" w:hAnsi="Times New Roman" w:cs="Times New Roman"/>
                <w:b/>
                <w:sz w:val="24"/>
                <w:szCs w:val="24"/>
              </w:rPr>
            </w:pPr>
            <w:r>
              <w:rPr>
                <w:rFonts w:ascii="Times New Roman" w:hAnsi="Times New Roman" w:cs="Times New Roman"/>
                <w:b/>
                <w:sz w:val="24"/>
                <w:szCs w:val="24"/>
              </w:rPr>
              <w:t>752 982,41</w:t>
            </w:r>
          </w:p>
        </w:tc>
        <w:tc>
          <w:tcPr>
            <w:tcW w:w="409" w:type="pct"/>
            <w:shd w:val="clear" w:color="auto" w:fill="auto"/>
            <w:tcMar>
              <w:top w:w="57" w:type="dxa"/>
              <w:left w:w="57" w:type="dxa"/>
              <w:bottom w:w="57" w:type="dxa"/>
              <w:right w:w="57" w:type="dxa"/>
            </w:tcMar>
          </w:tcPr>
          <w:p w:rsidR="009329C9" w:rsidRDefault="000A54C1" w:rsidP="000A54C1">
            <w:pPr>
              <w:jc w:val="center"/>
              <w:rPr>
                <w:rFonts w:ascii="Times New Roman" w:hAnsi="Times New Roman" w:cs="Times New Roman"/>
                <w:b/>
                <w:sz w:val="24"/>
                <w:szCs w:val="24"/>
              </w:rPr>
            </w:pPr>
            <w:r>
              <w:rPr>
                <w:rFonts w:ascii="Times New Roman" w:hAnsi="Times New Roman" w:cs="Times New Roman"/>
                <w:b/>
                <w:sz w:val="24"/>
                <w:szCs w:val="24"/>
              </w:rPr>
              <w:t>6</w:t>
            </w:r>
            <w:r w:rsidR="00B5212B">
              <w:rPr>
                <w:rFonts w:ascii="Times New Roman" w:hAnsi="Times New Roman" w:cs="Times New Roman"/>
                <w:b/>
                <w:sz w:val="24"/>
                <w:szCs w:val="24"/>
              </w:rPr>
              <w:t>,</w:t>
            </w:r>
            <w:r>
              <w:rPr>
                <w:rFonts w:ascii="Times New Roman" w:hAnsi="Times New Roman" w:cs="Times New Roman"/>
                <w:b/>
                <w:sz w:val="24"/>
                <w:szCs w:val="24"/>
              </w:rPr>
              <w:t>16</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4.1</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Инвестиции в земеделски стопанства</w:t>
            </w:r>
          </w:p>
        </w:tc>
        <w:tc>
          <w:tcPr>
            <w:tcW w:w="947" w:type="pct"/>
            <w:shd w:val="clear" w:color="auto" w:fill="auto"/>
            <w:tcMar>
              <w:top w:w="57" w:type="dxa"/>
              <w:left w:w="57" w:type="dxa"/>
              <w:bottom w:w="57" w:type="dxa"/>
              <w:right w:w="57" w:type="dxa"/>
            </w:tcMar>
          </w:tcPr>
          <w:p w:rsidR="009329C9" w:rsidRDefault="00B5212B">
            <w:pPr>
              <w:jc w:val="center"/>
              <w:rPr>
                <w:rFonts w:ascii="Times New Roman" w:hAnsi="Times New Roman" w:cs="Times New Roman"/>
                <w:sz w:val="24"/>
                <w:szCs w:val="24"/>
              </w:rPr>
            </w:pPr>
            <w:r>
              <w:rPr>
                <w:rFonts w:ascii="Times New Roman" w:hAnsi="Times New Roman" w:cs="Times New Roman"/>
                <w:sz w:val="24"/>
                <w:szCs w:val="24"/>
              </w:rPr>
              <w:t>630 838,91</w:t>
            </w:r>
          </w:p>
        </w:tc>
        <w:tc>
          <w:tcPr>
            <w:tcW w:w="409" w:type="pct"/>
            <w:shd w:val="clear" w:color="auto" w:fill="auto"/>
            <w:tcMar>
              <w:top w:w="57" w:type="dxa"/>
              <w:left w:w="57" w:type="dxa"/>
              <w:bottom w:w="57" w:type="dxa"/>
              <w:right w:w="57" w:type="dxa"/>
            </w:tcMar>
          </w:tcPr>
          <w:p w:rsidR="009329C9" w:rsidRDefault="000A54C1" w:rsidP="000A54C1">
            <w:pPr>
              <w:jc w:val="center"/>
              <w:rPr>
                <w:rFonts w:ascii="Times New Roman" w:hAnsi="Times New Roman" w:cs="Times New Roman"/>
                <w:sz w:val="24"/>
                <w:szCs w:val="24"/>
              </w:rPr>
            </w:pPr>
            <w:r>
              <w:rPr>
                <w:rFonts w:ascii="Times New Roman" w:hAnsi="Times New Roman" w:cs="Times New Roman"/>
                <w:sz w:val="24"/>
                <w:szCs w:val="24"/>
              </w:rPr>
              <w:t>5,16</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4.2</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Инвестиции в преработка/маркетинг на селскостопански продукти </w:t>
            </w:r>
          </w:p>
        </w:tc>
        <w:tc>
          <w:tcPr>
            <w:tcW w:w="947" w:type="pct"/>
            <w:shd w:val="clear" w:color="auto" w:fill="auto"/>
            <w:tcMar>
              <w:top w:w="57" w:type="dxa"/>
              <w:left w:w="57" w:type="dxa"/>
              <w:bottom w:w="57" w:type="dxa"/>
              <w:right w:w="57" w:type="dxa"/>
            </w:tcMar>
          </w:tcPr>
          <w:p w:rsidR="009329C9" w:rsidRDefault="00B5212B">
            <w:pPr>
              <w:jc w:val="center"/>
              <w:rPr>
                <w:rFonts w:ascii="Times New Roman" w:hAnsi="Times New Roman" w:cs="Times New Roman"/>
                <w:sz w:val="24"/>
                <w:szCs w:val="24"/>
              </w:rPr>
            </w:pPr>
            <w:r>
              <w:rPr>
                <w:rFonts w:ascii="Times New Roman" w:hAnsi="Times New Roman" w:cs="Times New Roman"/>
                <w:sz w:val="24"/>
                <w:szCs w:val="24"/>
              </w:rPr>
              <w:t>122 143,50</w:t>
            </w:r>
          </w:p>
        </w:tc>
        <w:tc>
          <w:tcPr>
            <w:tcW w:w="409" w:type="pct"/>
            <w:shd w:val="clear" w:color="auto" w:fill="auto"/>
            <w:tcMar>
              <w:top w:w="57" w:type="dxa"/>
              <w:left w:w="57" w:type="dxa"/>
              <w:bottom w:w="57" w:type="dxa"/>
              <w:right w:w="57" w:type="dxa"/>
            </w:tcMar>
          </w:tcPr>
          <w:p w:rsidR="009329C9" w:rsidRDefault="000A54C1" w:rsidP="000A54C1">
            <w:pPr>
              <w:jc w:val="center"/>
              <w:rPr>
                <w:rFonts w:ascii="Times New Roman" w:hAnsi="Times New Roman" w:cs="Times New Roman"/>
                <w:sz w:val="24"/>
                <w:szCs w:val="24"/>
              </w:rPr>
            </w:pPr>
            <w:r>
              <w:rPr>
                <w:rFonts w:ascii="Times New Roman" w:hAnsi="Times New Roman" w:cs="Times New Roman"/>
                <w:sz w:val="24"/>
                <w:szCs w:val="24"/>
              </w:rPr>
              <w:t>1</w:t>
            </w:r>
            <w:r w:rsidR="00B5212B">
              <w:rPr>
                <w:rFonts w:ascii="Times New Roman" w:hAnsi="Times New Roman" w:cs="Times New Roman"/>
                <w:sz w:val="24"/>
                <w:szCs w:val="24"/>
              </w:rPr>
              <w:t>,</w:t>
            </w:r>
            <w:r>
              <w:rPr>
                <w:rFonts w:ascii="Times New Roman" w:hAnsi="Times New Roman" w:cs="Times New Roman"/>
                <w:sz w:val="24"/>
                <w:szCs w:val="24"/>
              </w:rPr>
              <w:t>00</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b/>
                <w:color w:val="000000"/>
                <w:sz w:val="24"/>
                <w:szCs w:val="24"/>
              </w:rPr>
            </w:pPr>
            <w:r>
              <w:rPr>
                <w:rFonts w:ascii="Times New Roman" w:eastAsia="Calibri" w:hAnsi="Times New Roman" w:cs="Times New Roman"/>
                <w:b/>
                <w:sz w:val="24"/>
                <w:szCs w:val="24"/>
                <w:lang w:eastAsia="en-US"/>
              </w:rPr>
              <w:t>МЯРКА 6 „</w:t>
            </w:r>
            <w:r>
              <w:rPr>
                <w:rFonts w:ascii="Times New Roman" w:eastAsia="Times New Roman" w:hAnsi="Times New Roman" w:cs="Times New Roman"/>
                <w:b/>
                <w:color w:val="000000"/>
                <w:sz w:val="24"/>
                <w:szCs w:val="24"/>
              </w:rPr>
              <w:t>РАЗВИТИЕ НА СТОПАНСТВА И ПРЕДПРИЯТИЯ“</w:t>
            </w:r>
          </w:p>
        </w:tc>
        <w:tc>
          <w:tcPr>
            <w:tcW w:w="947" w:type="pct"/>
            <w:shd w:val="clear" w:color="auto" w:fill="auto"/>
            <w:tcMar>
              <w:top w:w="57" w:type="dxa"/>
              <w:left w:w="57" w:type="dxa"/>
              <w:bottom w:w="57" w:type="dxa"/>
              <w:right w:w="57" w:type="dxa"/>
            </w:tcMar>
          </w:tcPr>
          <w:p w:rsidR="009329C9" w:rsidRDefault="00B5212B">
            <w:pPr>
              <w:jc w:val="center"/>
              <w:rPr>
                <w:rFonts w:ascii="Times New Roman" w:hAnsi="Times New Roman" w:cs="Times New Roman"/>
                <w:b/>
                <w:sz w:val="24"/>
                <w:szCs w:val="24"/>
              </w:rPr>
            </w:pPr>
            <w:r>
              <w:rPr>
                <w:rFonts w:ascii="Times New Roman" w:hAnsi="Times New Roman" w:cs="Times New Roman"/>
                <w:b/>
                <w:sz w:val="24"/>
                <w:szCs w:val="24"/>
              </w:rPr>
              <w:t>1 462 625,44</w:t>
            </w:r>
          </w:p>
        </w:tc>
        <w:tc>
          <w:tcPr>
            <w:tcW w:w="409" w:type="pct"/>
            <w:shd w:val="clear" w:color="auto" w:fill="auto"/>
            <w:tcMar>
              <w:top w:w="57" w:type="dxa"/>
              <w:left w:w="57" w:type="dxa"/>
              <w:bottom w:w="57" w:type="dxa"/>
              <w:right w:w="57" w:type="dxa"/>
            </w:tcMar>
          </w:tcPr>
          <w:p w:rsidR="009329C9" w:rsidRDefault="00B5212B" w:rsidP="000A54C1">
            <w:pPr>
              <w:jc w:val="center"/>
              <w:rPr>
                <w:rFonts w:ascii="Times New Roman" w:hAnsi="Times New Roman" w:cs="Times New Roman"/>
                <w:b/>
                <w:sz w:val="24"/>
                <w:szCs w:val="24"/>
              </w:rPr>
            </w:pPr>
            <w:r>
              <w:rPr>
                <w:rFonts w:ascii="Times New Roman" w:hAnsi="Times New Roman" w:cs="Times New Roman"/>
                <w:b/>
                <w:sz w:val="24"/>
                <w:szCs w:val="24"/>
              </w:rPr>
              <w:t>11,</w:t>
            </w:r>
            <w:r w:rsidR="000A54C1">
              <w:rPr>
                <w:rFonts w:ascii="Times New Roman" w:hAnsi="Times New Roman" w:cs="Times New Roman"/>
                <w:b/>
                <w:sz w:val="24"/>
                <w:szCs w:val="24"/>
              </w:rPr>
              <w:t>96</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6.4</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Инвестиционна подкрепа за неземеделски дейности </w:t>
            </w:r>
          </w:p>
        </w:tc>
        <w:tc>
          <w:tcPr>
            <w:tcW w:w="947" w:type="pct"/>
            <w:shd w:val="clear" w:color="auto" w:fill="auto"/>
            <w:tcMar>
              <w:top w:w="57" w:type="dxa"/>
              <w:left w:w="57" w:type="dxa"/>
              <w:bottom w:w="57" w:type="dxa"/>
              <w:right w:w="57" w:type="dxa"/>
            </w:tcMar>
          </w:tcPr>
          <w:p w:rsidR="009329C9" w:rsidRDefault="00B5212B">
            <w:pPr>
              <w:jc w:val="center"/>
              <w:rPr>
                <w:rFonts w:ascii="Times New Roman" w:hAnsi="Times New Roman" w:cs="Times New Roman"/>
                <w:sz w:val="24"/>
                <w:szCs w:val="24"/>
              </w:rPr>
            </w:pPr>
            <w:r>
              <w:rPr>
                <w:rFonts w:ascii="Times New Roman" w:hAnsi="Times New Roman" w:cs="Times New Roman"/>
                <w:sz w:val="24"/>
                <w:szCs w:val="24"/>
              </w:rPr>
              <w:t>1 462 625,44</w:t>
            </w:r>
          </w:p>
        </w:tc>
        <w:tc>
          <w:tcPr>
            <w:tcW w:w="409" w:type="pct"/>
            <w:shd w:val="clear" w:color="auto" w:fill="auto"/>
            <w:tcMar>
              <w:top w:w="57" w:type="dxa"/>
              <w:left w:w="57" w:type="dxa"/>
              <w:bottom w:w="57" w:type="dxa"/>
              <w:right w:w="57" w:type="dxa"/>
            </w:tcMar>
          </w:tcPr>
          <w:p w:rsidR="009329C9" w:rsidRDefault="00B5212B" w:rsidP="000A54C1">
            <w:pPr>
              <w:jc w:val="center"/>
              <w:rPr>
                <w:rFonts w:ascii="Times New Roman" w:hAnsi="Times New Roman" w:cs="Times New Roman"/>
                <w:sz w:val="24"/>
                <w:szCs w:val="24"/>
              </w:rPr>
            </w:pPr>
            <w:r>
              <w:rPr>
                <w:rFonts w:ascii="Times New Roman" w:hAnsi="Times New Roman" w:cs="Times New Roman"/>
                <w:sz w:val="24"/>
                <w:szCs w:val="24"/>
              </w:rPr>
              <w:t>11,</w:t>
            </w:r>
            <w:r w:rsidR="000A54C1">
              <w:rPr>
                <w:rFonts w:ascii="Times New Roman" w:hAnsi="Times New Roman" w:cs="Times New Roman"/>
                <w:sz w:val="24"/>
                <w:szCs w:val="24"/>
              </w:rPr>
              <w:t>96</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b/>
                <w:color w:val="000000"/>
                <w:sz w:val="24"/>
                <w:szCs w:val="24"/>
              </w:rPr>
            </w:pPr>
            <w:r>
              <w:rPr>
                <w:rFonts w:ascii="Times New Roman" w:eastAsia="Calibri" w:hAnsi="Times New Roman" w:cs="Times New Roman"/>
                <w:b/>
                <w:sz w:val="24"/>
                <w:szCs w:val="24"/>
                <w:lang w:eastAsia="en-US"/>
              </w:rPr>
              <w:t>МЯРКА 7 „</w:t>
            </w:r>
            <w:r>
              <w:rPr>
                <w:rFonts w:ascii="Times New Roman" w:eastAsia="Times New Roman" w:hAnsi="Times New Roman" w:cs="Times New Roman"/>
                <w:b/>
                <w:color w:val="000000"/>
                <w:sz w:val="24"/>
                <w:szCs w:val="24"/>
              </w:rPr>
              <w:t>ОСНОВНИ УСЛУГИ И ОБНОВЯВАНЕ НА СЕЛАТА В СЕЛСКИТЕ РАЙОНИ“</w:t>
            </w:r>
          </w:p>
        </w:tc>
        <w:tc>
          <w:tcPr>
            <w:tcW w:w="947" w:type="pct"/>
            <w:shd w:val="clear" w:color="auto" w:fill="auto"/>
            <w:tcMar>
              <w:top w:w="57" w:type="dxa"/>
              <w:left w:w="57" w:type="dxa"/>
              <w:bottom w:w="57" w:type="dxa"/>
              <w:right w:w="57" w:type="dxa"/>
            </w:tcMar>
            <w:vAlign w:val="center"/>
          </w:tcPr>
          <w:p w:rsidR="009329C9" w:rsidRDefault="00B5212B">
            <w:pPr>
              <w:spacing w:after="0"/>
              <w:jc w:val="center"/>
              <w:rPr>
                <w:rFonts w:ascii="Times New Roman" w:eastAsia="Calibri" w:hAnsi="Times New Roman" w:cs="Times New Roman"/>
                <w:b/>
                <w:sz w:val="24"/>
                <w:szCs w:val="24"/>
                <w:lang w:val="en-US" w:eastAsia="en-US"/>
              </w:rPr>
            </w:pPr>
            <w:r>
              <w:rPr>
                <w:rFonts w:ascii="Times New Roman" w:eastAsia="Calibri" w:hAnsi="Times New Roman" w:cs="Times New Roman"/>
                <w:b/>
                <w:sz w:val="24"/>
                <w:szCs w:val="24"/>
                <w:lang w:eastAsia="en-US"/>
              </w:rPr>
              <w:t>1 517 092,00</w:t>
            </w:r>
          </w:p>
        </w:tc>
        <w:tc>
          <w:tcPr>
            <w:tcW w:w="409" w:type="pct"/>
            <w:shd w:val="clear" w:color="auto" w:fill="auto"/>
            <w:tcMar>
              <w:top w:w="57" w:type="dxa"/>
              <w:left w:w="57" w:type="dxa"/>
              <w:bottom w:w="57" w:type="dxa"/>
              <w:right w:w="57" w:type="dxa"/>
            </w:tcMar>
            <w:vAlign w:val="center"/>
          </w:tcPr>
          <w:p w:rsidR="009329C9" w:rsidRDefault="00B5212B" w:rsidP="000A54C1">
            <w:pPr>
              <w:tabs>
                <w:tab w:val="left" w:pos="142"/>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000A54C1">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w:t>
            </w:r>
            <w:r w:rsidR="000A54C1">
              <w:rPr>
                <w:rFonts w:ascii="Times New Roman" w:eastAsia="Times New Roman" w:hAnsi="Times New Roman" w:cs="Times New Roman"/>
                <w:b/>
                <w:color w:val="000000"/>
                <w:sz w:val="24"/>
                <w:szCs w:val="24"/>
              </w:rPr>
              <w:t>41</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Инвестиции в създаването, подобряването или разширяването на всички видове малка по мащаби инфраструктура </w:t>
            </w:r>
          </w:p>
        </w:tc>
        <w:tc>
          <w:tcPr>
            <w:tcW w:w="947" w:type="pct"/>
            <w:shd w:val="clear" w:color="auto" w:fill="auto"/>
            <w:tcMar>
              <w:top w:w="57" w:type="dxa"/>
              <w:left w:w="57" w:type="dxa"/>
              <w:bottom w:w="57" w:type="dxa"/>
              <w:right w:w="57" w:type="dxa"/>
            </w:tcMar>
            <w:vAlign w:val="center"/>
          </w:tcPr>
          <w:p w:rsidR="009329C9" w:rsidRDefault="00B5212B">
            <w:pPr>
              <w:spacing w:after="0"/>
              <w:jc w:val="center"/>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993 392,00</w:t>
            </w:r>
          </w:p>
        </w:tc>
        <w:tc>
          <w:tcPr>
            <w:tcW w:w="409" w:type="pct"/>
            <w:shd w:val="clear" w:color="auto" w:fill="auto"/>
            <w:tcMar>
              <w:top w:w="57" w:type="dxa"/>
              <w:left w:w="57" w:type="dxa"/>
              <w:bottom w:w="57" w:type="dxa"/>
              <w:right w:w="57" w:type="dxa"/>
            </w:tcMar>
            <w:vAlign w:val="center"/>
          </w:tcPr>
          <w:p w:rsidR="009329C9" w:rsidRDefault="000A54C1" w:rsidP="000A54C1">
            <w:pPr>
              <w:tabs>
                <w:tab w:val="left" w:pos="142"/>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B5212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12</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7.5</w:t>
            </w:r>
          </w:p>
        </w:tc>
        <w:tc>
          <w:tcPr>
            <w:tcW w:w="3155" w:type="pct"/>
            <w:shd w:val="clear" w:color="auto" w:fill="auto"/>
            <w:tcMar>
              <w:top w:w="57" w:type="dxa"/>
              <w:left w:w="57" w:type="dxa"/>
              <w:bottom w:w="57" w:type="dxa"/>
              <w:right w:w="57" w:type="dxa"/>
            </w:tcMar>
            <w:vAlign w:val="center"/>
          </w:tcPr>
          <w:p w:rsidR="009329C9" w:rsidRDefault="00B5212B">
            <w:pPr>
              <w:tabs>
                <w:tab w:val="left" w:pos="130"/>
              </w:tabs>
              <w:spacing w:after="0"/>
              <w:ind w:right="186"/>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w:t>
            </w:r>
          </w:p>
        </w:tc>
        <w:tc>
          <w:tcPr>
            <w:tcW w:w="947" w:type="pct"/>
            <w:shd w:val="clear" w:color="auto" w:fill="auto"/>
            <w:tcMar>
              <w:top w:w="57" w:type="dxa"/>
              <w:left w:w="57" w:type="dxa"/>
              <w:bottom w:w="57" w:type="dxa"/>
              <w:right w:w="57" w:type="dxa"/>
            </w:tcMar>
            <w:vAlign w:val="center"/>
          </w:tcPr>
          <w:p w:rsidR="009329C9" w:rsidRDefault="00B5212B">
            <w:pPr>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423 700,00</w:t>
            </w:r>
          </w:p>
        </w:tc>
        <w:tc>
          <w:tcPr>
            <w:tcW w:w="409" w:type="pct"/>
            <w:shd w:val="clear" w:color="auto" w:fill="auto"/>
            <w:tcMar>
              <w:top w:w="57" w:type="dxa"/>
              <w:left w:w="57" w:type="dxa"/>
              <w:bottom w:w="57" w:type="dxa"/>
              <w:right w:w="57" w:type="dxa"/>
            </w:tcMar>
            <w:vAlign w:val="center"/>
          </w:tcPr>
          <w:p w:rsidR="009329C9" w:rsidRDefault="00B5212B" w:rsidP="000A54C1">
            <w:pPr>
              <w:tabs>
                <w:tab w:val="left" w:pos="142"/>
              </w:tabs>
              <w:spacing w:after="0"/>
              <w:ind w:firstLine="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0A54C1">
              <w:rPr>
                <w:rFonts w:ascii="Times New Roman" w:eastAsia="Times New Roman" w:hAnsi="Times New Roman" w:cs="Times New Roman"/>
                <w:color w:val="000000"/>
                <w:sz w:val="24"/>
                <w:szCs w:val="24"/>
              </w:rPr>
              <w:t>47</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9329C9">
            <w:pPr>
              <w:tabs>
                <w:tab w:val="left" w:pos="142"/>
              </w:tabs>
              <w:spacing w:after="0"/>
              <w:jc w:val="both"/>
              <w:rPr>
                <w:rFonts w:ascii="Times New Roman" w:eastAsia="Times New Roman" w:hAnsi="Times New Roman" w:cs="Times New Roman"/>
                <w:color w:val="000000"/>
                <w:sz w:val="24"/>
                <w:szCs w:val="24"/>
                <w:lang w:val="en-US"/>
              </w:rPr>
            </w:pPr>
          </w:p>
        </w:tc>
        <w:tc>
          <w:tcPr>
            <w:tcW w:w="3155" w:type="pct"/>
            <w:shd w:val="clear" w:color="auto" w:fill="auto"/>
            <w:tcMar>
              <w:top w:w="57" w:type="dxa"/>
              <w:left w:w="57" w:type="dxa"/>
              <w:bottom w:w="57" w:type="dxa"/>
              <w:right w:w="57" w:type="dxa"/>
            </w:tcMar>
            <w:vAlign w:val="center"/>
          </w:tcPr>
          <w:p w:rsidR="009329C9" w:rsidRDefault="00B5212B">
            <w:pPr>
              <w:tabs>
                <w:tab w:val="left" w:pos="130"/>
              </w:tabs>
              <w:spacing w:after="0"/>
              <w:ind w:left="130" w:right="18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Мерки, които не са част от ПРСР 2014 – 2020 г., но са включени в Регламент (EC) № 1305/2013 (финансирани от ЕЗФРСР)</w:t>
            </w:r>
          </w:p>
        </w:tc>
        <w:tc>
          <w:tcPr>
            <w:tcW w:w="947" w:type="pct"/>
            <w:shd w:val="clear" w:color="auto" w:fill="auto"/>
            <w:tcMar>
              <w:top w:w="57" w:type="dxa"/>
              <w:left w:w="57" w:type="dxa"/>
              <w:bottom w:w="57" w:type="dxa"/>
              <w:right w:w="57" w:type="dxa"/>
            </w:tcMar>
            <w:vAlign w:val="center"/>
          </w:tcPr>
          <w:p w:rsidR="009329C9" w:rsidRDefault="009329C9">
            <w:pPr>
              <w:spacing w:after="0"/>
              <w:jc w:val="center"/>
              <w:rPr>
                <w:rFonts w:ascii="Times New Roman" w:eastAsia="Calibri" w:hAnsi="Times New Roman" w:cs="Times New Roman"/>
                <w:sz w:val="24"/>
                <w:szCs w:val="24"/>
                <w:lang w:eastAsia="en-US"/>
              </w:rPr>
            </w:pPr>
          </w:p>
        </w:tc>
        <w:tc>
          <w:tcPr>
            <w:tcW w:w="409" w:type="pct"/>
            <w:shd w:val="clear" w:color="auto" w:fill="auto"/>
            <w:tcMar>
              <w:top w:w="57" w:type="dxa"/>
              <w:left w:w="57" w:type="dxa"/>
              <w:bottom w:w="57" w:type="dxa"/>
              <w:right w:w="57" w:type="dxa"/>
            </w:tcMar>
            <w:vAlign w:val="center"/>
          </w:tcPr>
          <w:p w:rsidR="009329C9" w:rsidRDefault="009329C9">
            <w:pPr>
              <w:tabs>
                <w:tab w:val="left" w:pos="142"/>
              </w:tabs>
              <w:spacing w:after="0"/>
              <w:ind w:firstLine="85"/>
              <w:jc w:val="center"/>
              <w:rPr>
                <w:rFonts w:ascii="Times New Roman" w:eastAsia="Times New Roman" w:hAnsi="Times New Roman" w:cs="Times New Roman"/>
                <w:color w:val="000000"/>
                <w:sz w:val="24"/>
                <w:szCs w:val="24"/>
              </w:rPr>
            </w:pPr>
          </w:p>
        </w:tc>
      </w:tr>
      <w:tr w:rsidR="009329C9">
        <w:trPr>
          <w:trHeight w:val="918"/>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left="130" w:right="1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Мерки, извън обхвата на мерките от Регламент (EC) № 1305/2013, но съответстващи на целите на регламента (финансирани от ЕЗФРСР)</w:t>
            </w:r>
          </w:p>
        </w:tc>
        <w:tc>
          <w:tcPr>
            <w:tcW w:w="947"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rPr>
              <w:t>0 000,00</w:t>
            </w:r>
          </w:p>
        </w:tc>
        <w:tc>
          <w:tcPr>
            <w:tcW w:w="409" w:type="pct"/>
            <w:shd w:val="clear" w:color="auto" w:fill="auto"/>
            <w:tcMar>
              <w:top w:w="57" w:type="dxa"/>
              <w:left w:w="57" w:type="dxa"/>
              <w:bottom w:w="57" w:type="dxa"/>
              <w:right w:w="57" w:type="dxa"/>
            </w:tcMar>
            <w:vAlign w:val="center"/>
          </w:tcPr>
          <w:p w:rsidR="009329C9" w:rsidRDefault="00B5212B" w:rsidP="000A54C1">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r w:rsidR="000A54C1">
              <w:rPr>
                <w:rFonts w:ascii="Times New Roman" w:eastAsia="Times New Roman" w:hAnsi="Times New Roman" w:cs="Times New Roman"/>
                <w:b/>
                <w:sz w:val="24"/>
                <w:szCs w:val="24"/>
              </w:rPr>
              <w:t>82</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7.11.</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Съхраняване, развитие и валоризиране на специфичните местни идентичности и местната култураи спорт</w:t>
            </w:r>
          </w:p>
        </w:tc>
        <w:tc>
          <w:tcPr>
            <w:tcW w:w="947"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0 000,00</w:t>
            </w:r>
          </w:p>
        </w:tc>
        <w:tc>
          <w:tcPr>
            <w:tcW w:w="409" w:type="pct"/>
            <w:shd w:val="clear" w:color="auto" w:fill="auto"/>
            <w:tcMar>
              <w:top w:w="57" w:type="dxa"/>
              <w:left w:w="57" w:type="dxa"/>
              <w:bottom w:w="57" w:type="dxa"/>
              <w:right w:w="57" w:type="dxa"/>
            </w:tcMar>
            <w:vAlign w:val="center"/>
          </w:tcPr>
          <w:p w:rsidR="009329C9" w:rsidRDefault="00B5212B" w:rsidP="000A54C1">
            <w:pPr>
              <w:tabs>
                <w:tab w:val="left" w:pos="142"/>
              </w:tabs>
              <w:spacing w:after="0"/>
              <w:ind w:firstLine="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0A54C1">
              <w:rPr>
                <w:rFonts w:ascii="Times New Roman" w:eastAsia="Times New Roman" w:hAnsi="Times New Roman" w:cs="Times New Roman"/>
                <w:sz w:val="24"/>
                <w:szCs w:val="24"/>
              </w:rPr>
              <w:t>82</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МЕРКИ, ФИНАНСИРАНИ ОТ ОПНОИР (ЕСФ)</w:t>
            </w:r>
          </w:p>
        </w:tc>
        <w:tc>
          <w:tcPr>
            <w:tcW w:w="947" w:type="pct"/>
            <w:shd w:val="clear" w:color="auto" w:fill="auto"/>
            <w:tcMar>
              <w:top w:w="57" w:type="dxa"/>
              <w:left w:w="57" w:type="dxa"/>
              <w:bottom w:w="57" w:type="dxa"/>
              <w:right w:w="57" w:type="dxa"/>
            </w:tcMar>
            <w:vAlign w:val="center"/>
          </w:tcPr>
          <w:p w:rsidR="009329C9" w:rsidRDefault="000A54C1" w:rsidP="000A54C1">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665 812</w:t>
            </w:r>
            <w:r w:rsidR="00B5212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04</w:t>
            </w:r>
          </w:p>
        </w:tc>
        <w:tc>
          <w:tcPr>
            <w:tcW w:w="409" w:type="pct"/>
            <w:shd w:val="clear" w:color="auto" w:fill="auto"/>
            <w:tcMar>
              <w:top w:w="57" w:type="dxa"/>
              <w:left w:w="57" w:type="dxa"/>
              <w:bottom w:w="57" w:type="dxa"/>
              <w:right w:w="57" w:type="dxa"/>
            </w:tcMar>
            <w:vAlign w:val="center"/>
          </w:tcPr>
          <w:p w:rsidR="009329C9" w:rsidRDefault="00B5212B" w:rsidP="000A54C1">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0A54C1">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5</w:t>
            </w:r>
          </w:p>
        </w:tc>
      </w:tr>
      <w:tr w:rsidR="000A54C1">
        <w:trPr>
          <w:trHeight w:val="60"/>
        </w:trPr>
        <w:tc>
          <w:tcPr>
            <w:tcW w:w="489" w:type="pct"/>
            <w:shd w:val="clear" w:color="auto" w:fill="auto"/>
            <w:tcMar>
              <w:top w:w="57" w:type="dxa"/>
              <w:left w:w="57" w:type="dxa"/>
              <w:bottom w:w="57" w:type="dxa"/>
              <w:right w:w="57" w:type="dxa"/>
            </w:tcMar>
            <w:vAlign w:val="center"/>
          </w:tcPr>
          <w:p w:rsidR="000A54C1" w:rsidRDefault="000A54C1" w:rsidP="000A54C1">
            <w:pPr>
              <w:tabs>
                <w:tab w:val="left" w:pos="142"/>
              </w:tabs>
              <w:spacing w:after="0"/>
              <w:ind w:firstLine="85"/>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lang w:val="en-US"/>
              </w:rPr>
              <w:t>ii</w:t>
            </w:r>
          </w:p>
        </w:tc>
        <w:tc>
          <w:tcPr>
            <w:tcW w:w="3155" w:type="pct"/>
            <w:shd w:val="clear" w:color="auto" w:fill="auto"/>
            <w:tcMar>
              <w:top w:w="57" w:type="dxa"/>
              <w:left w:w="57" w:type="dxa"/>
              <w:bottom w:w="57" w:type="dxa"/>
              <w:right w:w="57" w:type="dxa"/>
            </w:tcMar>
            <w:vAlign w:val="center"/>
          </w:tcPr>
          <w:p w:rsidR="000A54C1" w:rsidRDefault="000A54C1" w:rsidP="000A54C1">
            <w:pPr>
              <w:tabs>
                <w:tab w:val="left" w:pos="142"/>
              </w:tabs>
              <w:spacing w:after="0"/>
              <w:ind w:right="186"/>
              <w:jc w:val="both"/>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Социално-икономическа интеграция на маргинализирани общности като ромите. </w:t>
            </w:r>
          </w:p>
        </w:tc>
        <w:tc>
          <w:tcPr>
            <w:tcW w:w="947" w:type="pct"/>
            <w:shd w:val="clear" w:color="auto" w:fill="auto"/>
            <w:tcMar>
              <w:top w:w="57" w:type="dxa"/>
              <w:left w:w="57" w:type="dxa"/>
              <w:bottom w:w="57" w:type="dxa"/>
              <w:right w:w="57" w:type="dxa"/>
            </w:tcMar>
            <w:vAlign w:val="center"/>
          </w:tcPr>
          <w:p w:rsidR="000A54C1" w:rsidRPr="000A54C1" w:rsidRDefault="000A54C1" w:rsidP="000A54C1">
            <w:pPr>
              <w:tabs>
                <w:tab w:val="left" w:pos="142"/>
              </w:tabs>
              <w:spacing w:after="0"/>
              <w:ind w:firstLine="85"/>
              <w:jc w:val="center"/>
              <w:rPr>
                <w:rFonts w:ascii="Times New Roman" w:eastAsia="Times New Roman" w:hAnsi="Times New Roman" w:cs="Times New Roman"/>
                <w:sz w:val="24"/>
                <w:szCs w:val="24"/>
              </w:rPr>
            </w:pPr>
            <w:r w:rsidRPr="000A54C1">
              <w:rPr>
                <w:rFonts w:ascii="Times New Roman" w:eastAsia="Times New Roman" w:hAnsi="Times New Roman" w:cs="Times New Roman"/>
                <w:sz w:val="24"/>
                <w:szCs w:val="24"/>
              </w:rPr>
              <w:t>665 812,04</w:t>
            </w:r>
          </w:p>
        </w:tc>
        <w:tc>
          <w:tcPr>
            <w:tcW w:w="409" w:type="pct"/>
            <w:shd w:val="clear" w:color="auto" w:fill="auto"/>
            <w:tcMar>
              <w:top w:w="57" w:type="dxa"/>
              <w:left w:w="57" w:type="dxa"/>
              <w:bottom w:w="57" w:type="dxa"/>
              <w:right w:w="57" w:type="dxa"/>
            </w:tcMar>
            <w:vAlign w:val="center"/>
          </w:tcPr>
          <w:p w:rsidR="000A54C1" w:rsidRPr="000A54C1" w:rsidRDefault="000A54C1" w:rsidP="000A54C1">
            <w:pPr>
              <w:tabs>
                <w:tab w:val="left" w:pos="142"/>
              </w:tabs>
              <w:spacing w:after="0"/>
              <w:ind w:firstLine="85"/>
              <w:jc w:val="center"/>
              <w:rPr>
                <w:rFonts w:ascii="Times New Roman" w:eastAsia="Times New Roman" w:hAnsi="Times New Roman" w:cs="Times New Roman"/>
                <w:sz w:val="24"/>
                <w:szCs w:val="24"/>
              </w:rPr>
            </w:pPr>
            <w:r w:rsidRPr="000A54C1">
              <w:rPr>
                <w:rFonts w:ascii="Times New Roman" w:eastAsia="Times New Roman" w:hAnsi="Times New Roman" w:cs="Times New Roman"/>
                <w:sz w:val="24"/>
                <w:szCs w:val="24"/>
              </w:rPr>
              <w:t>5,45</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МЕРКИ, ФИНАНСИРАНИ ОТ ОПОС (ЕФРР)</w:t>
            </w:r>
          </w:p>
        </w:tc>
        <w:tc>
          <w:tcPr>
            <w:tcW w:w="947" w:type="pct"/>
            <w:shd w:val="clear" w:color="auto" w:fill="auto"/>
            <w:tcMar>
              <w:top w:w="57" w:type="dxa"/>
              <w:left w:w="57" w:type="dxa"/>
              <w:bottom w:w="57" w:type="dxa"/>
              <w:right w:w="57" w:type="dxa"/>
            </w:tcMar>
            <w:vAlign w:val="center"/>
          </w:tcPr>
          <w:p w:rsidR="009329C9" w:rsidRDefault="00FC4B3A">
            <w:pPr>
              <w:tabs>
                <w:tab w:val="left" w:pos="142"/>
              </w:tabs>
              <w:spacing w:after="0"/>
              <w:ind w:firstLine="8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4 785 157,</w:t>
            </w:r>
            <w:r w:rsidR="00B5212B">
              <w:rPr>
                <w:rFonts w:ascii="Times New Roman" w:eastAsia="Times New Roman" w:hAnsi="Times New Roman" w:cs="Times New Roman"/>
                <w:b/>
                <w:sz w:val="24"/>
                <w:szCs w:val="24"/>
              </w:rPr>
              <w:t>54</w:t>
            </w:r>
          </w:p>
        </w:tc>
        <w:tc>
          <w:tcPr>
            <w:tcW w:w="409" w:type="pct"/>
            <w:shd w:val="clear" w:color="auto" w:fill="auto"/>
            <w:tcMar>
              <w:top w:w="57" w:type="dxa"/>
              <w:left w:w="57" w:type="dxa"/>
              <w:bottom w:w="57" w:type="dxa"/>
              <w:right w:w="57" w:type="dxa"/>
            </w:tcMar>
            <w:vAlign w:val="center"/>
          </w:tcPr>
          <w:p w:rsidR="009329C9" w:rsidRDefault="00B5212B" w:rsidP="00FC4B3A">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FC4B3A">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w:t>
            </w:r>
            <w:r w:rsidR="00FC4B3A">
              <w:rPr>
                <w:rFonts w:ascii="Times New Roman" w:eastAsia="Times New Roman" w:hAnsi="Times New Roman" w:cs="Times New Roman"/>
                <w:b/>
                <w:sz w:val="24"/>
                <w:szCs w:val="24"/>
              </w:rPr>
              <w:t>14</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9329C9">
            <w:pPr>
              <w:tabs>
                <w:tab w:val="left" w:pos="142"/>
              </w:tabs>
              <w:spacing w:after="0"/>
              <w:ind w:firstLine="85"/>
              <w:jc w:val="center"/>
              <w:rPr>
                <w:rFonts w:ascii="Times New Roman" w:eastAsia="Times New Roman" w:hAnsi="Times New Roman" w:cs="Times New Roman"/>
                <w:sz w:val="24"/>
                <w:szCs w:val="24"/>
              </w:rPr>
            </w:pP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rPr>
                <w:rFonts w:ascii="Times New Roman" w:eastAsia="Times New Roman" w:hAnsi="Times New Roman" w:cs="Times New Roman"/>
                <w:b/>
                <w:sz w:val="24"/>
                <w:szCs w:val="24"/>
                <w:lang w:val="en-US"/>
              </w:rPr>
            </w:pPr>
            <w:r>
              <w:rPr>
                <w:rFonts w:ascii="Times New Roman" w:hAnsi="Times New Roman" w:cs="Times New Roman"/>
                <w:sz w:val="24"/>
                <w:szCs w:val="24"/>
              </w:rPr>
              <w:t>„Подобряване на природозащитното състояние на видове и местообитания от мрежата Натура 2000 чрез подхода ВОМР“</w:t>
            </w:r>
          </w:p>
        </w:tc>
        <w:tc>
          <w:tcPr>
            <w:tcW w:w="947" w:type="pct"/>
            <w:shd w:val="clear" w:color="auto" w:fill="auto"/>
            <w:tcMar>
              <w:top w:w="57" w:type="dxa"/>
              <w:left w:w="57" w:type="dxa"/>
              <w:bottom w:w="57" w:type="dxa"/>
              <w:right w:w="57" w:type="dxa"/>
            </w:tcMar>
            <w:vAlign w:val="center"/>
          </w:tcPr>
          <w:p w:rsidR="009329C9" w:rsidRDefault="00B5212B" w:rsidP="00FC4B3A">
            <w:pPr>
              <w:tabs>
                <w:tab w:val="left" w:pos="142"/>
              </w:tabs>
              <w:spacing w:after="0"/>
              <w:ind w:firstLine="85"/>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4 785</w:t>
            </w:r>
            <w:r w:rsidR="00FC4B3A">
              <w:rPr>
                <w:rFonts w:ascii="Times New Roman" w:eastAsia="Times New Roman" w:hAnsi="Times New Roman" w:cs="Times New Roman"/>
                <w:sz w:val="24"/>
                <w:szCs w:val="24"/>
              </w:rPr>
              <w:t> </w:t>
            </w:r>
            <w:r>
              <w:rPr>
                <w:rFonts w:ascii="Times New Roman" w:eastAsia="Times New Roman" w:hAnsi="Times New Roman" w:cs="Times New Roman"/>
                <w:sz w:val="24"/>
                <w:szCs w:val="24"/>
              </w:rPr>
              <w:t>157</w:t>
            </w:r>
            <w:r w:rsidR="00FC4B3A">
              <w:rPr>
                <w:rFonts w:ascii="Times New Roman" w:eastAsia="Times New Roman" w:hAnsi="Times New Roman" w:cs="Times New Roman"/>
                <w:sz w:val="24"/>
                <w:szCs w:val="24"/>
              </w:rPr>
              <w:t>,</w:t>
            </w:r>
            <w:r>
              <w:rPr>
                <w:rFonts w:ascii="Times New Roman" w:eastAsia="Times New Roman" w:hAnsi="Times New Roman" w:cs="Times New Roman"/>
                <w:sz w:val="24"/>
                <w:szCs w:val="24"/>
              </w:rPr>
              <w:t>54</w:t>
            </w:r>
          </w:p>
        </w:tc>
        <w:tc>
          <w:tcPr>
            <w:tcW w:w="409" w:type="pct"/>
            <w:shd w:val="clear" w:color="auto" w:fill="auto"/>
            <w:tcMar>
              <w:top w:w="57" w:type="dxa"/>
              <w:left w:w="57" w:type="dxa"/>
              <w:bottom w:w="57" w:type="dxa"/>
              <w:right w:w="57" w:type="dxa"/>
            </w:tcMar>
            <w:vAlign w:val="center"/>
          </w:tcPr>
          <w:p w:rsidR="009329C9" w:rsidRDefault="00B5212B" w:rsidP="00FC4B3A">
            <w:pPr>
              <w:tabs>
                <w:tab w:val="left" w:pos="142"/>
              </w:tabs>
              <w:spacing w:after="0"/>
              <w:ind w:firstLine="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C4B3A">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r w:rsidR="00FC4B3A">
              <w:rPr>
                <w:rFonts w:ascii="Times New Roman" w:eastAsia="Times New Roman" w:hAnsi="Times New Roman" w:cs="Times New Roman"/>
                <w:sz w:val="24"/>
                <w:szCs w:val="24"/>
              </w:rPr>
              <w:t>14</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rPr>
                <w:rFonts w:ascii="Times New Roman" w:eastAsia="Times New Roman" w:hAnsi="Times New Roman" w:cs="Times New Roman"/>
                <w:b/>
                <w:sz w:val="24"/>
                <w:szCs w:val="24"/>
              </w:rPr>
            </w:pPr>
            <w:r>
              <w:rPr>
                <w:rFonts w:ascii="Times New Roman" w:eastAsia="Times New Roman" w:hAnsi="Times New Roman" w:cs="Times New Roman"/>
                <w:b/>
                <w:sz w:val="24"/>
                <w:szCs w:val="24"/>
              </w:rPr>
              <w:t> МЕРКИ, ФИНАНСИРАНИ ОТ ОПРЧР (ЕСФ)</w:t>
            </w:r>
          </w:p>
        </w:tc>
        <w:tc>
          <w:tcPr>
            <w:tcW w:w="947" w:type="pct"/>
            <w:shd w:val="clear" w:color="auto" w:fill="auto"/>
            <w:tcMar>
              <w:top w:w="57" w:type="dxa"/>
              <w:left w:w="57" w:type="dxa"/>
              <w:bottom w:w="57" w:type="dxa"/>
              <w:right w:w="57" w:type="dxa"/>
            </w:tcMar>
            <w:vAlign w:val="center"/>
          </w:tcPr>
          <w:p w:rsidR="009329C9" w:rsidRDefault="00B5212B" w:rsidP="00FC4B3A">
            <w:pPr>
              <w:tabs>
                <w:tab w:val="left" w:pos="142"/>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w:t>
            </w:r>
            <w:r w:rsidR="00FC4B3A">
              <w:rPr>
                <w:rFonts w:ascii="Times New Roman" w:eastAsia="Times New Roman" w:hAnsi="Times New Roman" w:cs="Times New Roman"/>
                <w:b/>
                <w:sz w:val="24"/>
                <w:szCs w:val="24"/>
              </w:rPr>
              <w:t>087</w:t>
            </w:r>
            <w:r>
              <w:rPr>
                <w:rFonts w:ascii="Times New Roman" w:eastAsia="Times New Roman" w:hAnsi="Times New Roman" w:cs="Times New Roman"/>
                <w:b/>
                <w:sz w:val="24"/>
                <w:szCs w:val="24"/>
              </w:rPr>
              <w:t> 4</w:t>
            </w:r>
            <w:r w:rsidR="00FC4B3A">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w:t>
            </w:r>
            <w:r w:rsidR="00FC4B3A">
              <w:rPr>
                <w:rFonts w:ascii="Times New Roman" w:eastAsia="Times New Roman" w:hAnsi="Times New Roman" w:cs="Times New Roman"/>
                <w:b/>
                <w:sz w:val="24"/>
                <w:szCs w:val="24"/>
              </w:rPr>
              <w:t>94</w:t>
            </w:r>
          </w:p>
        </w:tc>
        <w:tc>
          <w:tcPr>
            <w:tcW w:w="409" w:type="pct"/>
            <w:shd w:val="clear" w:color="auto" w:fill="auto"/>
            <w:tcMar>
              <w:top w:w="57" w:type="dxa"/>
              <w:left w:w="57" w:type="dxa"/>
              <w:bottom w:w="57" w:type="dxa"/>
              <w:right w:w="57" w:type="dxa"/>
            </w:tcMar>
            <w:vAlign w:val="center"/>
          </w:tcPr>
          <w:p w:rsidR="009329C9" w:rsidRDefault="00FC4B3A" w:rsidP="00FC4B3A">
            <w:pPr>
              <w:tabs>
                <w:tab w:val="left" w:pos="142"/>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B5212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89</w:t>
            </w:r>
          </w:p>
        </w:tc>
      </w:tr>
      <w:tr w:rsidR="009329C9">
        <w:trPr>
          <w:trHeight w:val="596"/>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ПРИОРИТЕТНА ОС № 1 „ПОДОБРЯВАНЕ ДОСТЪПА ДО ЗАЕТОСТ И КАЧЕСТВОТО НА РАБОТНИТЕ МЕСТА”</w:t>
            </w:r>
          </w:p>
        </w:tc>
        <w:tc>
          <w:tcPr>
            <w:tcW w:w="947" w:type="pct"/>
            <w:shd w:val="clear" w:color="auto" w:fill="auto"/>
            <w:tcMar>
              <w:top w:w="57" w:type="dxa"/>
              <w:left w:w="57" w:type="dxa"/>
              <w:bottom w:w="57" w:type="dxa"/>
              <w:right w:w="57" w:type="dxa"/>
            </w:tcMar>
            <w:vAlign w:val="center"/>
          </w:tcPr>
          <w:p w:rsidR="009329C9" w:rsidRDefault="00FC4B3A" w:rsidP="00FC4B3A">
            <w:pPr>
              <w:tabs>
                <w:tab w:val="left" w:pos="142"/>
              </w:tabs>
              <w:spacing w:after="0"/>
              <w:ind w:firstLine="85"/>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677 930,65</w:t>
            </w:r>
          </w:p>
        </w:tc>
        <w:tc>
          <w:tcPr>
            <w:tcW w:w="409" w:type="pct"/>
            <w:shd w:val="clear" w:color="auto" w:fill="auto"/>
            <w:tcMar>
              <w:top w:w="57" w:type="dxa"/>
              <w:left w:w="57" w:type="dxa"/>
              <w:bottom w:w="57" w:type="dxa"/>
              <w:right w:w="57" w:type="dxa"/>
            </w:tcMar>
            <w:vAlign w:val="center"/>
          </w:tcPr>
          <w:p w:rsidR="009329C9" w:rsidRDefault="00FC4B3A" w:rsidP="00FC4B3A">
            <w:pPr>
              <w:tabs>
                <w:tab w:val="left" w:pos="142"/>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B5212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5</w:t>
            </w:r>
            <w:r w:rsidR="00B5212B">
              <w:rPr>
                <w:rFonts w:ascii="Times New Roman" w:eastAsia="Times New Roman" w:hAnsi="Times New Roman" w:cs="Times New Roman"/>
                <w:b/>
                <w:sz w:val="24"/>
                <w:szCs w:val="24"/>
              </w:rPr>
              <w:t>4</w:t>
            </w:r>
          </w:p>
        </w:tc>
      </w:tr>
      <w:tr w:rsidR="009329C9">
        <w:trPr>
          <w:trHeight w:val="596"/>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jc w:val="center"/>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3155" w:type="pct"/>
            <w:shd w:val="clear" w:color="auto" w:fill="auto"/>
            <w:tcMar>
              <w:top w:w="57" w:type="dxa"/>
              <w:left w:w="57" w:type="dxa"/>
              <w:bottom w:w="57" w:type="dxa"/>
              <w:right w:w="57" w:type="dxa"/>
            </w:tcMar>
          </w:tcPr>
          <w:p w:rsidR="009329C9" w:rsidRDefault="00B5212B">
            <w:pPr>
              <w:tabs>
                <w:tab w:val="left" w:pos="142"/>
              </w:tabs>
              <w:spacing w:after="0"/>
              <w:ind w:right="186"/>
              <w:jc w:val="both"/>
              <w:textAlignment w:val="center"/>
              <w:rPr>
                <w:rFonts w:ascii="Times New Roman" w:eastAsia="Times New Roman" w:hAnsi="Times New Roman" w:cs="Times New Roman"/>
                <w:sz w:val="24"/>
                <w:szCs w:val="24"/>
              </w:rPr>
            </w:pPr>
            <w:r>
              <w:rPr>
                <w:rFonts w:ascii="Times New Roman" w:eastAsia="Calibri" w:hAnsi="Times New Roman" w:cs="Times New Roman"/>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възрастови групи”</w:t>
            </w:r>
          </w:p>
        </w:tc>
        <w:tc>
          <w:tcPr>
            <w:tcW w:w="947" w:type="pct"/>
            <w:shd w:val="clear" w:color="auto" w:fill="auto"/>
            <w:tcMar>
              <w:top w:w="57" w:type="dxa"/>
              <w:left w:w="57" w:type="dxa"/>
              <w:bottom w:w="57" w:type="dxa"/>
              <w:right w:w="57" w:type="dxa"/>
            </w:tcMar>
            <w:vAlign w:val="center"/>
          </w:tcPr>
          <w:p w:rsidR="009329C9" w:rsidRDefault="00FC4B3A" w:rsidP="00FC4B3A">
            <w:pPr>
              <w:tabs>
                <w:tab w:val="left" w:pos="142"/>
              </w:tabs>
              <w:spacing w:after="0"/>
              <w:ind w:firstLine="85"/>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524</w:t>
            </w:r>
            <w:r w:rsidR="00B5212B">
              <w:rPr>
                <w:rFonts w:ascii="Times New Roman" w:eastAsia="Times New Roman" w:hAnsi="Times New Roman" w:cs="Times New Roman"/>
                <w:sz w:val="24"/>
                <w:szCs w:val="24"/>
              </w:rPr>
              <w:t> </w:t>
            </w:r>
            <w:r>
              <w:rPr>
                <w:rFonts w:ascii="Times New Roman" w:eastAsia="Times New Roman" w:hAnsi="Times New Roman" w:cs="Times New Roman"/>
                <w:sz w:val="24"/>
                <w:szCs w:val="24"/>
              </w:rPr>
              <w:t>196</w:t>
            </w:r>
            <w:r w:rsidR="00B5212B">
              <w:rPr>
                <w:rFonts w:ascii="Times New Roman" w:eastAsia="Times New Roman" w:hAnsi="Times New Roman" w:cs="Times New Roman"/>
                <w:sz w:val="24"/>
                <w:szCs w:val="24"/>
              </w:rPr>
              <w:t>,</w:t>
            </w:r>
            <w:r>
              <w:rPr>
                <w:rFonts w:ascii="Times New Roman" w:eastAsia="Times New Roman" w:hAnsi="Times New Roman" w:cs="Times New Roman"/>
                <w:sz w:val="24"/>
                <w:szCs w:val="24"/>
              </w:rPr>
              <w:t>31</w:t>
            </w:r>
          </w:p>
        </w:tc>
        <w:tc>
          <w:tcPr>
            <w:tcW w:w="409" w:type="pct"/>
            <w:shd w:val="clear" w:color="auto" w:fill="auto"/>
            <w:tcMar>
              <w:top w:w="57" w:type="dxa"/>
              <w:left w:w="57" w:type="dxa"/>
              <w:bottom w:w="57" w:type="dxa"/>
              <w:right w:w="57" w:type="dxa"/>
            </w:tcMar>
            <w:vAlign w:val="center"/>
          </w:tcPr>
          <w:p w:rsidR="009329C9" w:rsidRDefault="00FC4B3A" w:rsidP="00FC4B3A">
            <w:pPr>
              <w:tabs>
                <w:tab w:val="left" w:pos="142"/>
              </w:tabs>
              <w:spacing w:after="0"/>
              <w:ind w:firstLine="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5212B">
              <w:rPr>
                <w:rFonts w:ascii="Times New Roman" w:eastAsia="Times New Roman" w:hAnsi="Times New Roman" w:cs="Times New Roman"/>
                <w:sz w:val="24"/>
                <w:szCs w:val="24"/>
              </w:rPr>
              <w:t>,</w:t>
            </w:r>
            <w:r>
              <w:rPr>
                <w:rFonts w:ascii="Times New Roman" w:eastAsia="Times New Roman" w:hAnsi="Times New Roman" w:cs="Times New Roman"/>
                <w:sz w:val="24"/>
                <w:szCs w:val="24"/>
              </w:rPr>
              <w:t>29</w:t>
            </w:r>
          </w:p>
        </w:tc>
      </w:tr>
      <w:tr w:rsidR="009329C9">
        <w:trPr>
          <w:trHeight w:val="596"/>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jc w:val="center"/>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1.2.3.</w:t>
            </w:r>
          </w:p>
        </w:tc>
        <w:tc>
          <w:tcPr>
            <w:tcW w:w="3155" w:type="pct"/>
            <w:shd w:val="clear" w:color="auto" w:fill="auto"/>
            <w:tcMar>
              <w:top w:w="57" w:type="dxa"/>
              <w:left w:w="57" w:type="dxa"/>
              <w:bottom w:w="57" w:type="dxa"/>
              <w:right w:w="57" w:type="dxa"/>
            </w:tcMar>
          </w:tcPr>
          <w:p w:rsidR="009329C9" w:rsidRDefault="00B5212B">
            <w:pPr>
              <w:tabs>
                <w:tab w:val="left" w:pos="142"/>
              </w:tabs>
              <w:spacing w:after="0"/>
              <w:ind w:right="186"/>
              <w:jc w:val="both"/>
              <w:textAlignment w:val="center"/>
              <w:rPr>
                <w:rFonts w:ascii="Times New Roman" w:eastAsia="Calibri" w:hAnsi="Times New Roman" w:cs="Times New Roman"/>
                <w:lang w:val="en-US" w:eastAsia="en-US"/>
              </w:rPr>
            </w:pPr>
            <w:r>
              <w:rPr>
                <w:rFonts w:ascii="Times New Roman" w:eastAsia="Calibri" w:hAnsi="Times New Roman" w:cs="Times New Roman"/>
                <w:lang w:eastAsia="en-US"/>
              </w:rPr>
              <w:t xml:space="preserve">„Устойчиво интегриране на пазара на труда на младите хора, в частност тези, които не са ангажирани с трудова дейност, </w:t>
            </w:r>
          </w:p>
          <w:p w:rsidR="009329C9" w:rsidRDefault="00B5212B">
            <w:pPr>
              <w:tabs>
                <w:tab w:val="left" w:pos="142"/>
              </w:tabs>
              <w:spacing w:after="0"/>
              <w:ind w:right="186"/>
              <w:jc w:val="both"/>
              <w:textAlignment w:val="center"/>
              <w:rPr>
                <w:rFonts w:ascii="Times New Roman" w:eastAsia="Calibri" w:hAnsi="Times New Roman" w:cs="Times New Roman"/>
                <w:lang w:eastAsia="en-US"/>
              </w:rPr>
            </w:pPr>
            <w:r>
              <w:rPr>
                <w:rFonts w:ascii="Times New Roman" w:eastAsia="Calibri" w:hAnsi="Times New Roman" w:cs="Times New Roman"/>
                <w:lang w:eastAsia="en-US"/>
              </w:rPr>
              <w:t>безработни младежи извън образование или обучение на възраст до 29 г. вкл., които са със завършено средно или висше образование.</w:t>
            </w:r>
          </w:p>
        </w:tc>
        <w:tc>
          <w:tcPr>
            <w:tcW w:w="947" w:type="pct"/>
            <w:shd w:val="clear" w:color="auto" w:fill="auto"/>
            <w:tcMar>
              <w:top w:w="57" w:type="dxa"/>
              <w:left w:w="57" w:type="dxa"/>
              <w:bottom w:w="57" w:type="dxa"/>
              <w:right w:w="57" w:type="dxa"/>
            </w:tcMar>
            <w:vAlign w:val="center"/>
          </w:tcPr>
          <w:p w:rsidR="009329C9" w:rsidRDefault="00B5212B" w:rsidP="00FC4B3A">
            <w:pPr>
              <w:tabs>
                <w:tab w:val="left" w:pos="142"/>
              </w:tabs>
              <w:spacing w:after="0"/>
              <w:ind w:firstLine="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C4B3A">
              <w:rPr>
                <w:rFonts w:ascii="Times New Roman" w:eastAsia="Times New Roman" w:hAnsi="Times New Roman" w:cs="Times New Roman"/>
                <w:sz w:val="24"/>
                <w:szCs w:val="24"/>
              </w:rPr>
              <w:t>53</w:t>
            </w:r>
            <w:r>
              <w:rPr>
                <w:rFonts w:ascii="Times New Roman" w:eastAsia="Times New Roman" w:hAnsi="Times New Roman" w:cs="Times New Roman"/>
                <w:sz w:val="24"/>
                <w:szCs w:val="24"/>
              </w:rPr>
              <w:t> </w:t>
            </w:r>
            <w:r w:rsidR="00FC4B3A">
              <w:rPr>
                <w:rFonts w:ascii="Times New Roman" w:eastAsia="Times New Roman" w:hAnsi="Times New Roman" w:cs="Times New Roman"/>
                <w:sz w:val="24"/>
                <w:szCs w:val="24"/>
              </w:rPr>
              <w:t>734</w:t>
            </w:r>
            <w:r>
              <w:rPr>
                <w:rFonts w:ascii="Times New Roman" w:eastAsia="Times New Roman" w:hAnsi="Times New Roman" w:cs="Times New Roman"/>
                <w:sz w:val="24"/>
                <w:szCs w:val="24"/>
              </w:rPr>
              <w:t>,</w:t>
            </w:r>
            <w:r w:rsidR="00FC4B3A">
              <w:rPr>
                <w:rFonts w:ascii="Times New Roman" w:eastAsia="Times New Roman" w:hAnsi="Times New Roman" w:cs="Times New Roman"/>
                <w:sz w:val="24"/>
                <w:szCs w:val="24"/>
              </w:rPr>
              <w:t>34</w:t>
            </w:r>
          </w:p>
        </w:tc>
        <w:tc>
          <w:tcPr>
            <w:tcW w:w="409" w:type="pct"/>
            <w:shd w:val="clear" w:color="auto" w:fill="auto"/>
            <w:tcMar>
              <w:top w:w="57" w:type="dxa"/>
              <w:left w:w="57" w:type="dxa"/>
              <w:bottom w:w="57" w:type="dxa"/>
              <w:right w:w="57" w:type="dxa"/>
            </w:tcMar>
            <w:vAlign w:val="center"/>
          </w:tcPr>
          <w:p w:rsidR="009329C9" w:rsidRDefault="00B5212B" w:rsidP="00FC4B3A">
            <w:pPr>
              <w:tabs>
                <w:tab w:val="left" w:pos="142"/>
              </w:tabs>
              <w:spacing w:after="0"/>
              <w:ind w:firstLine="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C4B3A">
              <w:rPr>
                <w:rFonts w:ascii="Times New Roman" w:eastAsia="Times New Roman" w:hAnsi="Times New Roman" w:cs="Times New Roman"/>
                <w:sz w:val="24"/>
                <w:szCs w:val="24"/>
              </w:rPr>
              <w:t>26</w:t>
            </w:r>
          </w:p>
        </w:tc>
      </w:tr>
      <w:tr w:rsidR="009329C9">
        <w:trPr>
          <w:trHeight w:val="596"/>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ПРИОРИТЕТНА ОС № 2 „НАМАЛЯВАНЕ НА БЕДНОСТТА И НАСЪРЧАВАНЕ НА СОЦИАЛНОТО ВКЛЮЧВАНЕ”</w:t>
            </w:r>
          </w:p>
        </w:tc>
        <w:tc>
          <w:tcPr>
            <w:tcW w:w="947" w:type="pct"/>
            <w:shd w:val="clear" w:color="auto" w:fill="auto"/>
            <w:tcMar>
              <w:top w:w="57" w:type="dxa"/>
              <w:left w:w="57" w:type="dxa"/>
              <w:bottom w:w="57" w:type="dxa"/>
              <w:right w:w="57" w:type="dxa"/>
            </w:tcMar>
            <w:vAlign w:val="center"/>
          </w:tcPr>
          <w:p w:rsidR="009329C9" w:rsidRDefault="00FC4B3A" w:rsidP="00FC4B3A">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409</w:t>
            </w:r>
            <w:r w:rsidR="00B5212B">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491</w:t>
            </w:r>
            <w:r w:rsidR="00B5212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29</w:t>
            </w:r>
          </w:p>
        </w:tc>
        <w:tc>
          <w:tcPr>
            <w:tcW w:w="409" w:type="pct"/>
            <w:shd w:val="clear" w:color="auto" w:fill="auto"/>
            <w:tcMar>
              <w:top w:w="57" w:type="dxa"/>
              <w:left w:w="57" w:type="dxa"/>
              <w:bottom w:w="57" w:type="dxa"/>
              <w:right w:w="57" w:type="dxa"/>
            </w:tcMar>
            <w:vAlign w:val="center"/>
          </w:tcPr>
          <w:p w:rsidR="009329C9" w:rsidRDefault="00FC4B3A" w:rsidP="00FC4B3A">
            <w:pPr>
              <w:tabs>
                <w:tab w:val="left" w:pos="142"/>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B5212B">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35</w:t>
            </w:r>
          </w:p>
        </w:tc>
      </w:tr>
      <w:tr w:rsidR="00FC4B3A">
        <w:trPr>
          <w:trHeight w:val="596"/>
        </w:trPr>
        <w:tc>
          <w:tcPr>
            <w:tcW w:w="489" w:type="pct"/>
            <w:shd w:val="clear" w:color="auto" w:fill="auto"/>
            <w:tcMar>
              <w:top w:w="57" w:type="dxa"/>
              <w:left w:w="57" w:type="dxa"/>
              <w:bottom w:w="57" w:type="dxa"/>
              <w:right w:w="57" w:type="dxa"/>
            </w:tcMar>
            <w:vAlign w:val="center"/>
          </w:tcPr>
          <w:p w:rsidR="00FC4B3A" w:rsidRDefault="00FC4B3A" w:rsidP="00FC4B3A">
            <w:pPr>
              <w:tabs>
                <w:tab w:val="left" w:pos="142"/>
              </w:tabs>
              <w:spacing w:after="0"/>
              <w:jc w:val="center"/>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3155" w:type="pct"/>
            <w:shd w:val="clear" w:color="auto" w:fill="auto"/>
            <w:tcMar>
              <w:top w:w="57" w:type="dxa"/>
              <w:left w:w="57" w:type="dxa"/>
              <w:bottom w:w="57" w:type="dxa"/>
              <w:right w:w="57" w:type="dxa"/>
            </w:tcMar>
          </w:tcPr>
          <w:p w:rsidR="00FC4B3A" w:rsidRDefault="00FC4B3A" w:rsidP="00FC4B3A">
            <w:pPr>
              <w:tabs>
                <w:tab w:val="left" w:pos="142"/>
              </w:tabs>
              <w:spacing w:after="0"/>
              <w:ind w:right="186"/>
              <w:jc w:val="both"/>
              <w:textAlignment w:val="center"/>
              <w:rPr>
                <w:rFonts w:ascii="Times New Roman" w:eastAsia="Times New Roman" w:hAnsi="Times New Roman" w:cs="Times New Roman"/>
                <w:sz w:val="24"/>
                <w:szCs w:val="24"/>
              </w:rPr>
            </w:pPr>
            <w:r>
              <w:rPr>
                <w:rFonts w:ascii="Times New Roman" w:eastAsia="Calibri" w:hAnsi="Times New Roman" w:cs="Times New Roman"/>
                <w:lang w:eastAsia="en-US"/>
              </w:rPr>
              <w:t>„Социално-икономическа интеграция на маргинализирани общности като ромите”</w:t>
            </w:r>
          </w:p>
        </w:tc>
        <w:tc>
          <w:tcPr>
            <w:tcW w:w="947" w:type="pct"/>
            <w:shd w:val="clear" w:color="auto" w:fill="auto"/>
            <w:tcMar>
              <w:top w:w="57" w:type="dxa"/>
              <w:left w:w="57" w:type="dxa"/>
              <w:bottom w:w="57" w:type="dxa"/>
              <w:right w:w="57" w:type="dxa"/>
            </w:tcMar>
            <w:vAlign w:val="center"/>
          </w:tcPr>
          <w:p w:rsidR="00FC4B3A" w:rsidRPr="00FC4B3A" w:rsidRDefault="00FC4B3A" w:rsidP="00FC4B3A">
            <w:pPr>
              <w:tabs>
                <w:tab w:val="left" w:pos="142"/>
              </w:tabs>
              <w:spacing w:after="0"/>
              <w:ind w:firstLine="85"/>
              <w:jc w:val="center"/>
              <w:rPr>
                <w:rFonts w:ascii="Times New Roman" w:eastAsia="Times New Roman" w:hAnsi="Times New Roman" w:cs="Times New Roman"/>
                <w:sz w:val="24"/>
                <w:szCs w:val="24"/>
              </w:rPr>
            </w:pPr>
            <w:r w:rsidRPr="00FC4B3A">
              <w:rPr>
                <w:rFonts w:ascii="Times New Roman" w:eastAsia="Times New Roman" w:hAnsi="Times New Roman" w:cs="Times New Roman"/>
                <w:sz w:val="24"/>
                <w:szCs w:val="24"/>
              </w:rPr>
              <w:t>409 491,29</w:t>
            </w:r>
          </w:p>
        </w:tc>
        <w:tc>
          <w:tcPr>
            <w:tcW w:w="409" w:type="pct"/>
            <w:shd w:val="clear" w:color="auto" w:fill="auto"/>
            <w:tcMar>
              <w:top w:w="57" w:type="dxa"/>
              <w:left w:w="57" w:type="dxa"/>
              <w:bottom w:w="57" w:type="dxa"/>
              <w:right w:w="57" w:type="dxa"/>
            </w:tcMar>
            <w:vAlign w:val="center"/>
          </w:tcPr>
          <w:p w:rsidR="00FC4B3A" w:rsidRPr="00FC4B3A" w:rsidRDefault="00FC4B3A" w:rsidP="00FC4B3A">
            <w:pPr>
              <w:tabs>
                <w:tab w:val="left" w:pos="142"/>
              </w:tabs>
              <w:spacing w:after="0"/>
              <w:jc w:val="center"/>
              <w:rPr>
                <w:rFonts w:ascii="Times New Roman" w:eastAsia="Times New Roman" w:hAnsi="Times New Roman" w:cs="Times New Roman"/>
                <w:color w:val="000000"/>
                <w:sz w:val="24"/>
                <w:szCs w:val="24"/>
              </w:rPr>
            </w:pPr>
            <w:r w:rsidRPr="00FC4B3A">
              <w:rPr>
                <w:rFonts w:ascii="Times New Roman" w:eastAsia="Times New Roman" w:hAnsi="Times New Roman" w:cs="Times New Roman"/>
                <w:color w:val="000000"/>
                <w:sz w:val="24"/>
                <w:szCs w:val="24"/>
              </w:rPr>
              <w:t>3,35</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jc w:val="both"/>
              <w:textAlignment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МЕРКИ, ФИНАНСИРАНИ ОТ ОПИК (ЕФРР)</w:t>
            </w:r>
          </w:p>
        </w:tc>
        <w:tc>
          <w:tcPr>
            <w:tcW w:w="947" w:type="pct"/>
            <w:shd w:val="clear" w:color="auto" w:fill="auto"/>
            <w:tcMar>
              <w:top w:w="57" w:type="dxa"/>
              <w:left w:w="57" w:type="dxa"/>
              <w:bottom w:w="57" w:type="dxa"/>
              <w:right w:w="57" w:type="dxa"/>
            </w:tcMar>
            <w:vAlign w:val="center"/>
          </w:tcPr>
          <w:p w:rsidR="009329C9" w:rsidRDefault="00B5212B">
            <w:pPr>
              <w:spacing w:after="0"/>
              <w:jc w:val="center"/>
              <w:rPr>
                <w:rFonts w:ascii="Times New Roman" w:eastAsia="Calibri" w:hAnsi="Times New Roman" w:cs="Times New Roman"/>
                <w:b/>
                <w:sz w:val="24"/>
                <w:szCs w:val="24"/>
                <w:lang w:val="en-US" w:eastAsia="en-US"/>
              </w:rPr>
            </w:pPr>
            <w:r>
              <w:rPr>
                <w:rFonts w:ascii="Times New Roman" w:eastAsia="Calibri" w:hAnsi="Times New Roman" w:cs="Times New Roman"/>
                <w:b/>
                <w:sz w:val="24"/>
                <w:szCs w:val="24"/>
                <w:lang w:val="en-US" w:eastAsia="en-US"/>
              </w:rPr>
              <w:t>1 955 8</w:t>
            </w:r>
            <w:r>
              <w:rPr>
                <w:rFonts w:ascii="Times New Roman" w:eastAsia="Calibri" w:hAnsi="Times New Roman" w:cs="Times New Roman"/>
                <w:b/>
                <w:sz w:val="24"/>
                <w:szCs w:val="24"/>
                <w:lang w:eastAsia="en-US"/>
              </w:rPr>
              <w:t>0</w:t>
            </w:r>
            <w:r>
              <w:rPr>
                <w:rFonts w:ascii="Times New Roman" w:eastAsia="Calibri" w:hAnsi="Times New Roman" w:cs="Times New Roman"/>
                <w:b/>
                <w:sz w:val="24"/>
                <w:szCs w:val="24"/>
                <w:lang w:val="en-US" w:eastAsia="en-US"/>
              </w:rPr>
              <w:t>0.00</w:t>
            </w:r>
          </w:p>
        </w:tc>
        <w:tc>
          <w:tcPr>
            <w:tcW w:w="409" w:type="pct"/>
            <w:shd w:val="clear" w:color="auto" w:fill="auto"/>
            <w:tcMar>
              <w:top w:w="57" w:type="dxa"/>
              <w:left w:w="57" w:type="dxa"/>
              <w:bottom w:w="57" w:type="dxa"/>
              <w:right w:w="57" w:type="dxa"/>
            </w:tcMar>
            <w:vAlign w:val="center"/>
          </w:tcPr>
          <w:p w:rsidR="009329C9" w:rsidRDefault="00B5212B" w:rsidP="00FC4B3A">
            <w:pPr>
              <w:tabs>
                <w:tab w:val="left" w:pos="142"/>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00FC4B3A">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w:t>
            </w:r>
            <w:r w:rsidR="00FC4B3A">
              <w:rPr>
                <w:rFonts w:ascii="Times New Roman" w:eastAsia="Times New Roman" w:hAnsi="Times New Roman" w:cs="Times New Roman"/>
                <w:b/>
                <w:color w:val="000000"/>
                <w:sz w:val="24"/>
                <w:szCs w:val="24"/>
              </w:rPr>
              <w:t>00</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jc w:val="center"/>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jc w:val="both"/>
              <w:textAlignment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Повишаване на производителността на МСП</w:t>
            </w:r>
          </w:p>
        </w:tc>
        <w:tc>
          <w:tcPr>
            <w:tcW w:w="947"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1 955 8</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0.00</w:t>
            </w:r>
          </w:p>
        </w:tc>
        <w:tc>
          <w:tcPr>
            <w:tcW w:w="409" w:type="pct"/>
            <w:shd w:val="clear" w:color="auto" w:fill="auto"/>
            <w:tcMar>
              <w:top w:w="57" w:type="dxa"/>
              <w:left w:w="57" w:type="dxa"/>
              <w:bottom w:w="57" w:type="dxa"/>
              <w:right w:w="57" w:type="dxa"/>
            </w:tcMar>
            <w:vAlign w:val="center"/>
          </w:tcPr>
          <w:p w:rsidR="009329C9" w:rsidRDefault="00B5212B" w:rsidP="00FC4B3A">
            <w:pPr>
              <w:tabs>
                <w:tab w:val="left" w:pos="142"/>
              </w:tabs>
              <w:spacing w:after="0"/>
              <w:ind w:firstLine="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FC4B3A">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00FC4B3A">
              <w:rPr>
                <w:rFonts w:ascii="Times New Roman" w:eastAsia="Times New Roman" w:hAnsi="Times New Roman" w:cs="Times New Roman"/>
                <w:color w:val="000000"/>
                <w:sz w:val="24"/>
                <w:szCs w:val="24"/>
              </w:rPr>
              <w:t>00</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b/>
                <w:bCs/>
                <w:caps/>
                <w:color w:val="000000"/>
                <w:sz w:val="24"/>
                <w:szCs w:val="24"/>
              </w:rPr>
              <w:t>ОБЩО ЗА ПРОЕКТИ КЪМ СТРАТЕГИЯТА ЗА ВОМР:</w:t>
            </w:r>
          </w:p>
        </w:tc>
        <w:tc>
          <w:tcPr>
            <w:tcW w:w="947" w:type="pct"/>
            <w:shd w:val="clear" w:color="auto" w:fill="auto"/>
            <w:tcMar>
              <w:top w:w="57" w:type="dxa"/>
              <w:left w:w="57" w:type="dxa"/>
              <w:bottom w:w="57" w:type="dxa"/>
              <w:right w:w="57" w:type="dxa"/>
            </w:tcMar>
            <w:vAlign w:val="center"/>
          </w:tcPr>
          <w:p w:rsidR="009329C9" w:rsidRDefault="00B5212B" w:rsidP="00FC4B3A">
            <w:pPr>
              <w:tabs>
                <w:tab w:val="left" w:pos="142"/>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12 </w:t>
            </w:r>
            <w:r w:rsidR="00FC4B3A">
              <w:rPr>
                <w:rFonts w:ascii="Times New Roman" w:eastAsia="Times New Roman" w:hAnsi="Times New Roman" w:cs="Times New Roman"/>
                <w:b/>
                <w:color w:val="000000"/>
                <w:sz w:val="24"/>
                <w:szCs w:val="24"/>
              </w:rPr>
              <w:t>226</w:t>
            </w:r>
            <w:r>
              <w:rPr>
                <w:rFonts w:ascii="Times New Roman" w:eastAsia="Times New Roman" w:hAnsi="Times New Roman" w:cs="Times New Roman"/>
                <w:b/>
                <w:color w:val="000000"/>
                <w:sz w:val="24"/>
                <w:szCs w:val="24"/>
              </w:rPr>
              <w:t> </w:t>
            </w:r>
            <w:r w:rsidR="00FC4B3A">
              <w:rPr>
                <w:rFonts w:ascii="Times New Roman" w:eastAsia="Times New Roman" w:hAnsi="Times New Roman" w:cs="Times New Roman"/>
                <w:b/>
                <w:color w:val="000000"/>
                <w:sz w:val="24"/>
                <w:szCs w:val="24"/>
              </w:rPr>
              <w:t>891</w:t>
            </w:r>
            <w:r>
              <w:rPr>
                <w:rFonts w:ascii="Times New Roman" w:eastAsia="Times New Roman" w:hAnsi="Times New Roman" w:cs="Times New Roman"/>
                <w:b/>
                <w:color w:val="000000"/>
                <w:sz w:val="24"/>
                <w:szCs w:val="24"/>
              </w:rPr>
              <w:t>,</w:t>
            </w:r>
            <w:r w:rsidR="00FC4B3A">
              <w:rPr>
                <w:rFonts w:ascii="Times New Roman" w:eastAsia="Times New Roman" w:hAnsi="Times New Roman" w:cs="Times New Roman"/>
                <w:b/>
                <w:color w:val="000000"/>
                <w:sz w:val="24"/>
                <w:szCs w:val="24"/>
              </w:rPr>
              <w:t>37</w:t>
            </w:r>
          </w:p>
        </w:tc>
        <w:tc>
          <w:tcPr>
            <w:tcW w:w="409" w:type="pct"/>
            <w:shd w:val="clear" w:color="auto" w:fill="auto"/>
            <w:tcMar>
              <w:top w:w="57" w:type="dxa"/>
              <w:left w:w="57" w:type="dxa"/>
              <w:bottom w:w="57" w:type="dxa"/>
              <w:right w:w="57" w:type="dxa"/>
            </w:tcMar>
            <w:vAlign w:val="center"/>
          </w:tcPr>
          <w:p w:rsidR="009329C9" w:rsidRDefault="00B5212B">
            <w:pPr>
              <w:tabs>
                <w:tab w:val="left" w:pos="142"/>
              </w:tabs>
              <w:spacing w:after="0"/>
              <w:jc w:val="center"/>
              <w:textAlignment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r w:rsidR="009329C9">
        <w:trPr>
          <w:trHeight w:val="238"/>
        </w:trPr>
        <w:tc>
          <w:tcPr>
            <w:tcW w:w="5000" w:type="pct"/>
            <w:gridSpan w:val="4"/>
            <w:shd w:val="clear" w:color="auto" w:fill="FFFFFF"/>
            <w:tcMar>
              <w:top w:w="57" w:type="dxa"/>
              <w:left w:w="57" w:type="dxa"/>
              <w:bottom w:w="57" w:type="dxa"/>
              <w:right w:w="57" w:type="dxa"/>
            </w:tcMar>
          </w:tcPr>
          <w:p w:rsidR="009329C9" w:rsidRDefault="009329C9">
            <w:pPr>
              <w:tabs>
                <w:tab w:val="left" w:pos="142"/>
              </w:tabs>
              <w:spacing w:after="0"/>
              <w:rPr>
                <w:rFonts w:ascii="Times New Roman" w:eastAsia="Times New Roman" w:hAnsi="Times New Roman" w:cs="Times New Roman"/>
                <w:color w:val="000000"/>
                <w:sz w:val="24"/>
                <w:szCs w:val="24"/>
              </w:rPr>
            </w:pPr>
          </w:p>
        </w:tc>
      </w:tr>
      <w:tr w:rsidR="009329C9">
        <w:trPr>
          <w:trHeight w:val="143"/>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jc w:val="both"/>
              <w:textAlignment w:val="center"/>
              <w:rPr>
                <w:rFonts w:ascii="Times New Roman" w:eastAsia="Times New Roman" w:hAnsi="Times New Roman" w:cs="Times New Roman"/>
                <w:b/>
                <w:color w:val="000000"/>
                <w:sz w:val="24"/>
                <w:szCs w:val="24"/>
              </w:rPr>
            </w:pPr>
            <w:r>
              <w:rPr>
                <w:rFonts w:ascii="Times New Roman" w:eastAsia="Times New Roman" w:hAnsi="Times New Roman" w:cs="Times New Roman"/>
                <w:b/>
                <w:i/>
                <w:iCs/>
                <w:color w:val="000000"/>
                <w:spacing w:val="4"/>
                <w:sz w:val="24"/>
                <w:szCs w:val="24"/>
              </w:rPr>
              <w:t>Текущи разходи и популяризиране на стратегия за водено от общностите местно развитие (25 на сто от общите публични разходи от ЕЗФРСР, включващи разходите по подмярка 19.2 и подмярка 19.4)</w:t>
            </w:r>
          </w:p>
        </w:tc>
        <w:tc>
          <w:tcPr>
            <w:tcW w:w="1356"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1 091 900, 00лв.</w:t>
            </w:r>
          </w:p>
          <w:p w:rsidR="009329C9" w:rsidRDefault="009329C9">
            <w:pPr>
              <w:tabs>
                <w:tab w:val="left" w:pos="142"/>
              </w:tabs>
              <w:spacing w:after="0"/>
              <w:ind w:firstLine="85"/>
              <w:jc w:val="center"/>
              <w:rPr>
                <w:rFonts w:ascii="Times New Roman" w:eastAsia="Times New Roman" w:hAnsi="Times New Roman" w:cs="Times New Roman"/>
                <w:b/>
                <w:color w:val="000000"/>
                <w:sz w:val="24"/>
                <w:szCs w:val="24"/>
              </w:rPr>
            </w:pPr>
          </w:p>
        </w:tc>
      </w:tr>
    </w:tbl>
    <w:p w:rsidR="009329C9" w:rsidRDefault="009329C9">
      <w:pPr>
        <w:pStyle w:val="2"/>
        <w:spacing w:before="0"/>
        <w:ind w:right="-1"/>
        <w:jc w:val="both"/>
        <w:rPr>
          <w:rFonts w:ascii="Times New Roman" w:hAnsi="Times New Roman" w:cs="Times New Roman"/>
          <w:b/>
          <w:color w:val="auto"/>
          <w:sz w:val="24"/>
          <w:szCs w:val="24"/>
        </w:rPr>
      </w:pPr>
    </w:p>
    <w:p w:rsidR="009329C9" w:rsidRDefault="00B5212B">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9329C9" w:rsidRDefault="00B5212B">
      <w:pPr>
        <w:pStyle w:val="2"/>
        <w:pBdr>
          <w:top w:val="single" w:sz="4" w:space="1" w:color="auto"/>
          <w:left w:val="single" w:sz="4" w:space="4" w:color="auto"/>
          <w:bottom w:val="single" w:sz="4" w:space="1" w:color="auto"/>
          <w:right w:val="single" w:sz="4" w:space="4" w:color="auto"/>
        </w:pBdr>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6.2. Финансова обосновка на бюджета и разпределението на средствата по програми и по мерки:</w:t>
      </w:r>
      <w:bookmarkEnd w:id="41"/>
      <w:bookmarkEnd w:id="42"/>
    </w:p>
    <w:p w:rsidR="009329C9" w:rsidRDefault="00B5212B">
      <w:pPr>
        <w:spacing w:after="0"/>
        <w:jc w:val="both"/>
        <w:rPr>
          <w:rFonts w:ascii="Times New Roman" w:hAnsi="Times New Roman" w:cs="Times New Roman"/>
          <w:sz w:val="24"/>
          <w:szCs w:val="24"/>
        </w:rPr>
      </w:pPr>
      <w:r>
        <w:rPr>
          <w:rFonts w:ascii="Times New Roman" w:hAnsi="Times New Roman" w:cs="Times New Roman"/>
          <w:sz w:val="24"/>
          <w:szCs w:val="24"/>
        </w:rPr>
        <w:t xml:space="preserve">Целите на Стратегията за ВОМР ще бъдат постигнати, чрез прилагането на 6 мерки от ПРСР 2014-2020 г.,  и една собствена мярка с общ бюджет </w:t>
      </w:r>
      <w:r>
        <w:rPr>
          <w:rFonts w:ascii="Times New Roman" w:hAnsi="Times New Roman" w:cs="Times New Roman"/>
          <w:b/>
          <w:sz w:val="24"/>
          <w:szCs w:val="24"/>
        </w:rPr>
        <w:t>2 933 700</w:t>
      </w:r>
      <w:r>
        <w:rPr>
          <w:rFonts w:ascii="Times New Roman" w:hAnsi="Times New Roman" w:cs="Times New Roman"/>
          <w:sz w:val="24"/>
          <w:szCs w:val="24"/>
        </w:rPr>
        <w:t xml:space="preserve"> лв. От ОПНОИР е избрана една мярка, която е и единствената допустима по програмата за стратегиите, която е с общ бюджет 665 812,04 лв., по ОПОС е избрана единствената допустима по програмата мярка, като е заложен целият допустим бюджет, поради това, че УО на ОПОС не препоръчва да се включват частично площите на отделните видове и е с общ бюджет 4 785 157,54 лв., по ОПРЧР са заложени 3 мерки и целиятдопустимбюджет, възлизащ на стойност 1 087 421,94 лв и по ОПИК е избрана една мярка с бюджет 1 955 800 лв. Изхождайки от анализите на нуждите и потенциала на територията към:</w:t>
      </w:r>
    </w:p>
    <w:p w:rsidR="009329C9" w:rsidRDefault="00B5212B">
      <w:pPr>
        <w:spacing w:after="0"/>
        <w:jc w:val="both"/>
        <w:rPr>
          <w:rFonts w:ascii="Times New Roman" w:hAnsi="Times New Roman" w:cs="Times New Roman"/>
          <w:sz w:val="24"/>
          <w:szCs w:val="24"/>
        </w:rPr>
      </w:pPr>
      <w:r>
        <w:rPr>
          <w:rFonts w:ascii="Times New Roman" w:eastAsia="Calibri" w:hAnsi="Times New Roman" w:cs="Times New Roman"/>
          <w:b/>
          <w:sz w:val="24"/>
          <w:szCs w:val="24"/>
          <w:u w:val="single"/>
          <w:lang w:eastAsia="en-US"/>
        </w:rPr>
        <w:t xml:space="preserve">Приоритет 1 </w:t>
      </w:r>
      <w:r>
        <w:rPr>
          <w:rFonts w:ascii="Times New Roman" w:eastAsia="Calibri" w:hAnsi="Times New Roman"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r>
        <w:rPr>
          <w:rFonts w:ascii="Times New Roman" w:hAnsi="Times New Roman" w:cs="Times New Roman"/>
          <w:sz w:val="24"/>
          <w:szCs w:val="24"/>
        </w:rPr>
        <w:t xml:space="preserve"> са предвидени 2</w:t>
      </w:r>
      <w:r>
        <w:rPr>
          <w:rFonts w:ascii="Times New Roman" w:eastAsia="Calibri" w:hAnsi="Times New Roman" w:cs="Times New Roman"/>
          <w:sz w:val="24"/>
          <w:szCs w:val="24"/>
          <w:lang w:eastAsia="en-US"/>
        </w:rPr>
        <w:t xml:space="preserve"> 215 607,85 </w:t>
      </w:r>
      <w:r>
        <w:rPr>
          <w:rFonts w:ascii="Times New Roman" w:hAnsi="Times New Roman" w:cs="Times New Roman"/>
          <w:sz w:val="24"/>
          <w:szCs w:val="24"/>
        </w:rPr>
        <w:t xml:space="preserve">лева или 17,49 % от средствата. Специфичните цели на този приоритет ще бъдат постигнати, чрез прилагането на съответните мерки и следния бюджет:Мярка </w:t>
      </w:r>
      <w:r>
        <w:rPr>
          <w:rStyle w:val="5"/>
          <w:rFonts w:ascii="Times New Roman" w:hAnsi="Times New Roman" w:cs="Times New Roman"/>
          <w:b w:val="0"/>
          <w:sz w:val="24"/>
          <w:szCs w:val="24"/>
        </w:rPr>
        <w:t>4.1</w:t>
      </w:r>
      <w:r>
        <w:rPr>
          <w:rFonts w:ascii="Times New Roman" w:hAnsi="Times New Roman" w:cs="Times New Roman"/>
          <w:sz w:val="24"/>
          <w:szCs w:val="24"/>
        </w:rPr>
        <w:t xml:space="preserve"> (ПРСР) „</w:t>
      </w:r>
      <w:r>
        <w:rPr>
          <w:rFonts w:ascii="Times New Roman" w:eastAsia="Calibri" w:hAnsi="Times New Roman" w:cs="Times New Roman"/>
          <w:sz w:val="24"/>
          <w:szCs w:val="24"/>
          <w:lang w:eastAsia="en-US"/>
        </w:rPr>
        <w:t>Инвестиции в земеделски стопанства”</w:t>
      </w:r>
      <w:r>
        <w:rPr>
          <w:rFonts w:ascii="Times New Roman" w:hAnsi="Times New Roman" w:cs="Times New Roman"/>
          <w:sz w:val="24"/>
          <w:szCs w:val="24"/>
        </w:rPr>
        <w:t xml:space="preserve"> – 630 838</w:t>
      </w:r>
      <w:r>
        <w:rPr>
          <w:rFonts w:ascii="Times New Roman" w:eastAsia="Calibri" w:hAnsi="Times New Roman" w:cs="Times New Roman"/>
          <w:sz w:val="24"/>
          <w:szCs w:val="24"/>
          <w:lang w:eastAsia="en-US"/>
        </w:rPr>
        <w:t xml:space="preserve">,91.лв., </w:t>
      </w:r>
      <w:r>
        <w:rPr>
          <w:rFonts w:ascii="Times New Roman" w:hAnsi="Times New Roman" w:cs="Times New Roman"/>
          <w:sz w:val="24"/>
          <w:szCs w:val="24"/>
        </w:rPr>
        <w:t>Мярка 4.2 (ПРСР) „</w:t>
      </w:r>
      <w:r>
        <w:rPr>
          <w:rFonts w:ascii="Times New Roman" w:eastAsia="Times New Roman" w:hAnsi="Times New Roman" w:cs="Times New Roman"/>
          <w:sz w:val="24"/>
          <w:szCs w:val="24"/>
        </w:rPr>
        <w:t xml:space="preserve">Инвестиции в преработка/маркетинг на селскостопански продукти </w:t>
      </w:r>
      <w:r>
        <w:rPr>
          <w:rFonts w:ascii="Times New Roman" w:hAnsi="Times New Roman" w:cs="Times New Roman"/>
          <w:sz w:val="24"/>
          <w:szCs w:val="24"/>
        </w:rPr>
        <w:t xml:space="preserve">" - </w:t>
      </w:r>
      <w:r>
        <w:rPr>
          <w:rFonts w:ascii="Times New Roman" w:eastAsia="Calibri" w:hAnsi="Times New Roman" w:cs="Times New Roman"/>
          <w:sz w:val="24"/>
          <w:szCs w:val="24"/>
          <w:lang w:eastAsia="en-US"/>
        </w:rPr>
        <w:t>122 143,50 лв</w:t>
      </w:r>
      <w:r>
        <w:rPr>
          <w:rFonts w:ascii="Times New Roman" w:hAnsi="Times New Roman" w:cs="Times New Roman"/>
          <w:sz w:val="24"/>
          <w:szCs w:val="24"/>
        </w:rPr>
        <w:t>., Мярка 6.4 (ПРСР)„</w:t>
      </w:r>
      <w:r>
        <w:rPr>
          <w:rFonts w:ascii="Times New Roman" w:eastAsia="Times New Roman" w:hAnsi="Times New Roman" w:cs="Times New Roman"/>
          <w:sz w:val="24"/>
          <w:szCs w:val="24"/>
        </w:rPr>
        <w:t xml:space="preserve">Инвестиционна подкрепа за неземеделски дейности </w:t>
      </w:r>
      <w:r>
        <w:rPr>
          <w:rFonts w:ascii="Times New Roman" w:hAnsi="Times New Roman" w:cs="Times New Roman"/>
          <w:sz w:val="24"/>
          <w:szCs w:val="24"/>
        </w:rPr>
        <w:t xml:space="preserve">от целия бюджет” - </w:t>
      </w:r>
      <w:r>
        <w:rPr>
          <w:rFonts w:ascii="Times New Roman" w:eastAsia="Calibri" w:hAnsi="Times New Roman" w:cs="Times New Roman"/>
          <w:sz w:val="24"/>
          <w:szCs w:val="24"/>
          <w:lang w:eastAsia="en-US"/>
        </w:rPr>
        <w:t>1 462 625,44 лв</w:t>
      </w:r>
      <w:r>
        <w:rPr>
          <w:rFonts w:ascii="Times New Roman" w:hAnsi="Times New Roman" w:cs="Times New Roman"/>
          <w:sz w:val="24"/>
          <w:szCs w:val="24"/>
        </w:rPr>
        <w:t xml:space="preserve">. Те ще  допринесат за постигането на </w:t>
      </w:r>
      <w:r>
        <w:rPr>
          <w:rFonts w:ascii="Times New Roman" w:hAnsi="Times New Roman" w:cs="Times New Roman"/>
          <w:sz w:val="24"/>
          <w:szCs w:val="24"/>
          <w:u w:val="single"/>
        </w:rPr>
        <w:t>Специфична цел</w:t>
      </w:r>
      <w:r>
        <w:rPr>
          <w:rStyle w:val="5"/>
          <w:rFonts w:ascii="Times New Roman" w:hAnsi="Times New Roman" w:cs="Times New Roman"/>
          <w:b w:val="0"/>
          <w:sz w:val="24"/>
          <w:szCs w:val="24"/>
          <w:u w:val="single"/>
        </w:rPr>
        <w:t>1</w:t>
      </w:r>
      <w:r>
        <w:rPr>
          <w:rStyle w:val="5"/>
          <w:rFonts w:ascii="Times New Roman" w:hAnsi="Times New Roman" w:cs="Times New Roman"/>
          <w:b w:val="0"/>
          <w:sz w:val="24"/>
          <w:szCs w:val="24"/>
        </w:rPr>
        <w:t xml:space="preserve">- </w:t>
      </w:r>
      <w:r>
        <w:rPr>
          <w:rFonts w:ascii="Times New Roman" w:eastAsia="Calibri" w:hAnsi="Times New Roman" w:cs="Times New Roman"/>
          <w:sz w:val="24"/>
          <w:szCs w:val="24"/>
          <w:lang w:eastAsia="en-US"/>
        </w:rPr>
        <w:t xml:space="preserve">Повишаване конкурентоспособността на земеделските стопанства и подобряване ефективността на земеделието, </w:t>
      </w:r>
      <w:r>
        <w:rPr>
          <w:rFonts w:ascii="Times New Roman" w:eastAsia="Calibri" w:hAnsi="Times New Roman" w:cs="Times New Roman"/>
          <w:sz w:val="24"/>
          <w:szCs w:val="24"/>
          <w:u w:val="single"/>
          <w:lang w:eastAsia="en-US"/>
        </w:rPr>
        <w:t>Специфична цел 2</w:t>
      </w:r>
      <w:r>
        <w:rPr>
          <w:rFonts w:ascii="Times New Roman" w:eastAsia="Calibri" w:hAnsi="Times New Roman" w:cs="Times New Roman"/>
          <w:sz w:val="24"/>
          <w:szCs w:val="24"/>
          <w:lang w:eastAsia="en-US"/>
        </w:rPr>
        <w:t xml:space="preserve"> - </w:t>
      </w:r>
      <w:r>
        <w:rPr>
          <w:rFonts w:ascii="Times New Roman" w:eastAsia="Times New Roman" w:hAnsi="Times New Roman" w:cs="Times New Roman"/>
          <w:sz w:val="24"/>
          <w:szCs w:val="24"/>
        </w:rPr>
        <w:t xml:space="preserve">Насърчаване на развитието и икономическата ефективност </w:t>
      </w:r>
      <w:r>
        <w:rPr>
          <w:rFonts w:ascii="Times New Roman" w:eastAsia="Calibri" w:hAnsi="Times New Roman" w:cs="Times New Roman"/>
          <w:sz w:val="24"/>
          <w:szCs w:val="24"/>
          <w:lang w:eastAsia="en-US"/>
        </w:rPr>
        <w:t xml:space="preserve">на предприятия от хранително-преработвателната промишленост и </w:t>
      </w:r>
      <w:r>
        <w:rPr>
          <w:rFonts w:ascii="Times New Roman" w:eastAsia="Calibri" w:hAnsi="Times New Roman" w:cs="Times New Roman"/>
          <w:sz w:val="24"/>
          <w:szCs w:val="24"/>
          <w:u w:val="single"/>
          <w:lang w:eastAsia="en-US"/>
        </w:rPr>
        <w:t>Специфична цел 3</w:t>
      </w:r>
      <w:r>
        <w:rPr>
          <w:rFonts w:ascii="Times New Roman" w:eastAsia="Calibri" w:hAnsi="Times New Roman" w:cs="Times New Roman"/>
          <w:sz w:val="24"/>
          <w:szCs w:val="24"/>
          <w:lang w:eastAsia="en-US"/>
        </w:rPr>
        <w:t xml:space="preserve"> -</w:t>
      </w:r>
      <w:r>
        <w:rPr>
          <w:rFonts w:ascii="Times New Roman" w:eastAsia="Times New Roman" w:hAnsi="Times New Roman" w:cs="Times New Roman"/>
          <w:sz w:val="24"/>
          <w:szCs w:val="24"/>
        </w:rPr>
        <w:t xml:space="preserve">Разнообразяване на икономическите дейности, насърчаване на предприемачеството на земеделските стопани и увеличаване на заетостта. </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Приоритет 2 </w:t>
      </w:r>
      <w:r>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Pr>
          <w:rFonts w:ascii="Times New Roman" w:eastAsia="Calibri" w:hAnsi="Times New Roman" w:cs="Times New Roman"/>
          <w:sz w:val="24"/>
          <w:szCs w:val="24"/>
          <w:lang w:eastAsia="en-US"/>
        </w:rPr>
        <w:t>подобряване на основната и на социалната инфраструктура,</w:t>
      </w:r>
      <w:r>
        <w:rPr>
          <w:rFonts w:ascii="Times New Roman" w:eastAsia="Times New Roman" w:hAnsi="Times New Roman" w:cs="Times New Roman"/>
          <w:sz w:val="24"/>
          <w:szCs w:val="24"/>
        </w:rPr>
        <w:t xml:space="preserve">развитие на туризма, укрепване на природните и  културните традиции на местната общност, опазване на околната среда, са предвидени 6 302 249,54 лв. или 49,77 % от средствата. </w:t>
      </w:r>
      <w:r>
        <w:rPr>
          <w:rFonts w:ascii="Times New Roman" w:hAnsi="Times New Roman" w:cs="Times New Roman"/>
          <w:sz w:val="24"/>
          <w:szCs w:val="24"/>
        </w:rPr>
        <w:t>Специфичните цели на този приоритет ще бъдат постигнати, чрез прилагането на съответните мерки и следния бюджет: Мярка 7.2. (ПРСР) „</w:t>
      </w:r>
      <w:r>
        <w:rPr>
          <w:rFonts w:ascii="Times New Roman" w:eastAsia="Times New Roman" w:hAnsi="Times New Roman" w:cs="Times New Roman"/>
          <w:sz w:val="24"/>
          <w:szCs w:val="24"/>
        </w:rPr>
        <w:t xml:space="preserve">Инвестиции в създаването, подобряването или разширяването на всички видове малка по мащаби инфраструктура” - 993 392лв., Мярка 7.5 </w:t>
      </w:r>
      <w:r>
        <w:rPr>
          <w:rFonts w:ascii="Times New Roman" w:hAnsi="Times New Roman" w:cs="Times New Roman"/>
          <w:sz w:val="24"/>
          <w:szCs w:val="24"/>
        </w:rPr>
        <w:t>(ПРСР) „</w:t>
      </w:r>
      <w:r>
        <w:rPr>
          <w:rFonts w:ascii="Times New Roman" w:eastAsia="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  -423 700 лв., Мярка 7.11.</w:t>
      </w:r>
      <w:r>
        <w:rPr>
          <w:rFonts w:ascii="Times New Roman" w:hAnsi="Times New Roman" w:cs="Times New Roman"/>
          <w:sz w:val="24"/>
          <w:szCs w:val="24"/>
        </w:rPr>
        <w:t xml:space="preserve"> (ПРСР) „</w:t>
      </w:r>
      <w:r>
        <w:rPr>
          <w:rFonts w:ascii="Times New Roman" w:eastAsia="Times New Roman" w:hAnsi="Times New Roman" w:cs="Times New Roman"/>
          <w:sz w:val="24"/>
          <w:szCs w:val="24"/>
        </w:rPr>
        <w:t>Съхраняване, развитие и валоризиране на специфичните местни идентичности и местната култураи спорт“ - 100 000лв.  и Мярката по ОПОС Опазване на околната среда като предпоставка за подобряване живота на населението - 4 785 157,54 лв.</w:t>
      </w:r>
      <w:r>
        <w:rPr>
          <w:rFonts w:ascii="Times New Roman" w:hAnsi="Times New Roman" w:cs="Times New Roman"/>
          <w:sz w:val="24"/>
          <w:szCs w:val="24"/>
        </w:rPr>
        <w:t xml:space="preserve"> ще  допринесат за постигането на </w:t>
      </w:r>
      <w:r>
        <w:rPr>
          <w:rFonts w:ascii="Times New Roman" w:hAnsi="Times New Roman" w:cs="Times New Roman"/>
          <w:sz w:val="24"/>
          <w:szCs w:val="24"/>
          <w:u w:val="single"/>
        </w:rPr>
        <w:t>Специфична цел</w:t>
      </w:r>
      <w:r>
        <w:rPr>
          <w:rStyle w:val="5"/>
          <w:rFonts w:ascii="Times New Roman" w:hAnsi="Times New Roman" w:cs="Times New Roman"/>
          <w:b w:val="0"/>
          <w:sz w:val="24"/>
          <w:szCs w:val="24"/>
          <w:u w:val="single"/>
        </w:rPr>
        <w:t>1</w:t>
      </w:r>
      <w:r>
        <w:rPr>
          <w:rStyle w:val="5"/>
          <w:rFonts w:ascii="Times New Roman" w:hAnsi="Times New Roman" w:cs="Times New Roman"/>
          <w:b w:val="0"/>
          <w:sz w:val="24"/>
          <w:szCs w:val="24"/>
        </w:rPr>
        <w:t xml:space="preserve">- </w:t>
      </w:r>
      <w:r>
        <w:rPr>
          <w:rFonts w:ascii="Times New Roman" w:eastAsia="Calibri" w:hAnsi="Times New Roman" w:cs="Times New Roman"/>
          <w:sz w:val="24"/>
          <w:szCs w:val="24"/>
          <w:lang w:eastAsia="en-US"/>
        </w:rPr>
        <w:t xml:space="preserve">Повишаване конкурентоспособността на земеделските стопанства и подобряване ефективността на земеделието, </w:t>
      </w:r>
      <w:r>
        <w:rPr>
          <w:rFonts w:ascii="Times New Roman" w:eastAsia="Calibri" w:hAnsi="Times New Roman" w:cs="Times New Roman"/>
          <w:sz w:val="24"/>
          <w:szCs w:val="24"/>
          <w:u w:val="single"/>
          <w:lang w:eastAsia="en-US"/>
        </w:rPr>
        <w:t>Специфична цел 2</w:t>
      </w:r>
      <w:r>
        <w:rPr>
          <w:rFonts w:ascii="Times New Roman" w:eastAsia="Calibri" w:hAnsi="Times New Roman" w:cs="Times New Roman"/>
          <w:sz w:val="24"/>
          <w:szCs w:val="24"/>
          <w:lang w:eastAsia="en-US"/>
        </w:rPr>
        <w:t xml:space="preserve"> - </w:t>
      </w:r>
      <w:r>
        <w:rPr>
          <w:rFonts w:ascii="Times New Roman" w:eastAsia="Times New Roman" w:hAnsi="Times New Roman" w:cs="Times New Roman"/>
          <w:sz w:val="24"/>
          <w:szCs w:val="24"/>
        </w:rPr>
        <w:t xml:space="preserve">Насърчаване на развитието и икономическата ефективност </w:t>
      </w:r>
      <w:r>
        <w:rPr>
          <w:rFonts w:ascii="Times New Roman" w:eastAsia="Calibri" w:hAnsi="Times New Roman" w:cs="Times New Roman"/>
          <w:sz w:val="24"/>
          <w:szCs w:val="24"/>
          <w:lang w:eastAsia="en-US"/>
        </w:rPr>
        <w:t xml:space="preserve">на предприятия от хранително-преработвателната промишленост и </w:t>
      </w:r>
      <w:r>
        <w:rPr>
          <w:rFonts w:ascii="Times New Roman" w:eastAsia="Calibri" w:hAnsi="Times New Roman" w:cs="Times New Roman"/>
          <w:sz w:val="24"/>
          <w:szCs w:val="24"/>
          <w:u w:val="single"/>
          <w:lang w:eastAsia="en-US"/>
        </w:rPr>
        <w:t>Специфична цел 3</w:t>
      </w:r>
      <w:r>
        <w:rPr>
          <w:rFonts w:ascii="Times New Roman" w:eastAsia="Calibri" w:hAnsi="Times New Roman" w:cs="Times New Roman"/>
          <w:sz w:val="24"/>
          <w:szCs w:val="24"/>
          <w:lang w:eastAsia="en-US"/>
        </w:rPr>
        <w:t xml:space="preserve"> -</w:t>
      </w:r>
      <w:r>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w:t>
      </w:r>
      <w:r>
        <w:rPr>
          <w:rFonts w:ascii="Times New Roman" w:eastAsia="Times New Roman" w:hAnsi="Times New Roman" w:cs="Times New Roman"/>
          <w:sz w:val="24"/>
          <w:szCs w:val="24"/>
        </w:rPr>
        <w:lastRenderedPageBreak/>
        <w:t>чаване на заетостта. Специфична цел 4 – Опазване на околната среда като предпоставка за подобряване живота на населението.</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b/>
          <w:sz w:val="24"/>
          <w:szCs w:val="24"/>
          <w:u w:val="single"/>
        </w:rPr>
        <w:t xml:space="preserve">Приоритет 3 </w:t>
      </w:r>
      <w:r>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w:t>
      </w:r>
      <w:r>
        <w:rPr>
          <w:rFonts w:ascii="Times New Roman" w:eastAsia="Times New Roman" w:hAnsi="Times New Roman" w:cs="Times New Roman"/>
          <w:sz w:val="24"/>
          <w:szCs w:val="24"/>
        </w:rPr>
        <w:t xml:space="preserve">са предвидени 1 753 233.98 лв.. или 14,34% от средствата. </w:t>
      </w:r>
      <w:r>
        <w:rPr>
          <w:rFonts w:ascii="Times New Roman" w:hAnsi="Times New Roman" w:cs="Times New Roman"/>
          <w:sz w:val="24"/>
          <w:szCs w:val="24"/>
        </w:rPr>
        <w:t>Специфичните цели на този приоритет ще бъдат постигнати, чрез прилагането на съответните мерки и следния бюджет: мярка 1.1. (ОПРЧР)</w:t>
      </w:r>
      <w:r>
        <w:rPr>
          <w:rFonts w:ascii="Times New Roman" w:eastAsia="Calibri" w:hAnsi="Times New Roman" w:cs="Times New Roman"/>
          <w:sz w:val="24"/>
          <w:szCs w:val="24"/>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възрастови групи” - 524</w:t>
      </w:r>
      <w:r>
        <w:rPr>
          <w:rFonts w:ascii="Times New Roman" w:eastAsia="Times New Roman" w:hAnsi="Times New Roman" w:cs="Times New Roman"/>
          <w:sz w:val="24"/>
          <w:szCs w:val="24"/>
        </w:rPr>
        <w:t> 191,31 лв., мярка 1.3 (ОПРЧР)</w:t>
      </w:r>
      <w:r>
        <w:rPr>
          <w:rFonts w:ascii="Times New Roman" w:eastAsia="Calibri" w:hAnsi="Times New Roman" w:cs="Times New Roman"/>
          <w:sz w:val="24"/>
          <w:szCs w:val="24"/>
          <w:lang w:eastAsia="en-US"/>
        </w:rPr>
        <w:t xml:space="preserve">„Устойчиво интегриране на пазара на труда на младите хора, в частност тези, които не са ангажирани с трудова дейност, безработни младежи извън образование или обучение на възраст до 29 г. вкл., които са със завършено средно или висше образование - 153 734,34 </w:t>
      </w:r>
      <w:r>
        <w:rPr>
          <w:rFonts w:ascii="Times New Roman" w:eastAsia="Times New Roman" w:hAnsi="Times New Roman" w:cs="Times New Roman"/>
          <w:sz w:val="24"/>
          <w:szCs w:val="24"/>
        </w:rPr>
        <w:t>лв., мярка 2.1.(ОПРЧР)</w:t>
      </w:r>
      <w:r>
        <w:rPr>
          <w:rFonts w:ascii="Times New Roman" w:eastAsia="Calibri" w:hAnsi="Times New Roman" w:cs="Times New Roman"/>
          <w:sz w:val="24"/>
          <w:szCs w:val="24"/>
          <w:lang w:eastAsia="en-US"/>
        </w:rPr>
        <w:t>„Социално-икономическа интеграция на маргинализирани общности като ромите”</w:t>
      </w:r>
      <w:r>
        <w:rPr>
          <w:rFonts w:ascii="Times New Roman" w:eastAsia="Times New Roman" w:hAnsi="Times New Roman" w:cs="Times New Roman"/>
          <w:sz w:val="24"/>
          <w:szCs w:val="24"/>
        </w:rPr>
        <w:t xml:space="preserve"> - 409 491,29 лв. и мярка 9</w:t>
      </w: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xml:space="preserve"> (ОПНОИР/) Социално-икономическа интеграция на маргинализирани общности като ромите - 665 812,04 лв..</w:t>
      </w:r>
      <w:r>
        <w:rPr>
          <w:rFonts w:ascii="Times New Roman" w:hAnsi="Times New Roman" w:cs="Times New Roman"/>
          <w:sz w:val="24"/>
          <w:szCs w:val="24"/>
        </w:rPr>
        <w:t xml:space="preserve"> ще  допринесат за постигането на </w:t>
      </w:r>
      <w:r>
        <w:rPr>
          <w:rFonts w:ascii="Times New Roman" w:eastAsia="Calibri" w:hAnsi="Times New Roman" w:cs="Times New Roman"/>
          <w:sz w:val="24"/>
          <w:szCs w:val="24"/>
          <w:u w:val="single"/>
          <w:lang w:eastAsia="en-US"/>
        </w:rPr>
        <w:t>Специфична цел 1</w:t>
      </w:r>
      <w:r>
        <w:rPr>
          <w:rFonts w:ascii="Times New Roman" w:eastAsia="Calibri" w:hAnsi="Times New Roman" w:cs="Times New Roman"/>
          <w:b/>
          <w:sz w:val="24"/>
          <w:szCs w:val="24"/>
          <w:lang w:eastAsia="en-US"/>
        </w:rPr>
        <w:t xml:space="preserve"> - </w:t>
      </w:r>
      <w:r>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Специфична цел 2</w:t>
      </w:r>
      <w:r>
        <w:rPr>
          <w:rFonts w:ascii="Times New Roman" w:eastAsia="Times New Roman" w:hAnsi="Times New Roman" w:cs="Times New Roman"/>
          <w:sz w:val="24"/>
          <w:szCs w:val="24"/>
        </w:rPr>
        <w:t>-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и</w:t>
      </w:r>
      <w:r>
        <w:rPr>
          <w:rFonts w:ascii="Times New Roman" w:eastAsia="Times New Roman" w:hAnsi="Times New Roman" w:cs="Times New Roman"/>
          <w:sz w:val="24"/>
          <w:szCs w:val="24"/>
          <w:u w:val="single"/>
        </w:rPr>
        <w:t>Специфична цел 3</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 xml:space="preserve">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 </w:t>
      </w:r>
    </w:p>
    <w:p w:rsidR="009329C9" w:rsidRDefault="00B5212B">
      <w:pPr>
        <w:spacing w:after="0"/>
        <w:jc w:val="both"/>
        <w:rPr>
          <w:rFonts w:ascii="Times New Roman" w:hAnsi="Times New Roman" w:cs="Times New Roman"/>
          <w:sz w:val="24"/>
          <w:szCs w:val="24"/>
        </w:rPr>
      </w:pPr>
      <w:r>
        <w:rPr>
          <w:rFonts w:ascii="Times New Roman" w:eastAsia="Times New Roman" w:hAnsi="Times New Roman" w:cs="Times New Roman"/>
          <w:b/>
          <w:sz w:val="24"/>
          <w:szCs w:val="24"/>
          <w:u w:val="single"/>
        </w:rPr>
        <w:t>Приоритет 4</w:t>
      </w:r>
      <w:r>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 са предвидени </w:t>
      </w:r>
      <w:r>
        <w:rPr>
          <w:rFonts w:ascii="Times New Roman" w:eastAsia="Times New Roman" w:hAnsi="Times New Roman" w:cs="Times New Roman"/>
          <w:color w:val="000000"/>
          <w:sz w:val="24"/>
          <w:szCs w:val="24"/>
          <w:lang w:val="en-US"/>
        </w:rPr>
        <w:t>1 955 8</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0.00</w:t>
      </w:r>
      <w:r>
        <w:rPr>
          <w:rFonts w:ascii="Times New Roman" w:eastAsia="Times New Roman" w:hAnsi="Times New Roman" w:cs="Times New Roman"/>
          <w:color w:val="000000"/>
          <w:sz w:val="24"/>
          <w:szCs w:val="24"/>
        </w:rPr>
        <w:t xml:space="preserve"> или 16,48% от средствата.</w:t>
      </w:r>
      <w:r>
        <w:rPr>
          <w:rFonts w:ascii="Times New Roman" w:hAnsi="Times New Roman" w:cs="Times New Roman"/>
          <w:sz w:val="24"/>
          <w:szCs w:val="24"/>
        </w:rPr>
        <w:t xml:space="preserve"> Специфичната цел на този приоритет ще бъде постигнат, чрез прилагането на мярка 2.2 „</w:t>
      </w:r>
      <w:r>
        <w:rPr>
          <w:rFonts w:ascii="Times New Roman" w:eastAsia="Times New Roman" w:hAnsi="Times New Roman" w:cs="Times New Roman"/>
          <w:sz w:val="24"/>
          <w:szCs w:val="24"/>
        </w:rPr>
        <w:t>Капацитет за растеж на МСП по ОПИК“.</w:t>
      </w:r>
    </w:p>
    <w:p w:rsidR="009329C9" w:rsidRDefault="00B5212B">
      <w:pPr>
        <w:rPr>
          <w:rFonts w:ascii="Times New Roman" w:eastAsiaTheme="majorEastAsia" w:hAnsi="Times New Roman" w:cs="Times New Roman"/>
          <w:b/>
          <w:bCs/>
          <w:sz w:val="24"/>
          <w:szCs w:val="24"/>
        </w:rPr>
      </w:pPr>
      <w:bookmarkStart w:id="43" w:name="_Toc449349438"/>
      <w:bookmarkStart w:id="44" w:name="_Toc448392293"/>
      <w:r>
        <w:rPr>
          <w:rFonts w:ascii="Times New Roman" w:hAnsi="Times New Roman" w:cs="Times New Roman"/>
          <w:sz w:val="24"/>
          <w:szCs w:val="24"/>
        </w:rPr>
        <w:br w:type="page"/>
      </w:r>
    </w:p>
    <w:p w:rsidR="009329C9" w:rsidRDefault="00B5212B">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7.    План за действие, показващ че целите са превърнати в действия:</w:t>
      </w:r>
      <w:bookmarkEnd w:id="43"/>
      <w:bookmarkEnd w:id="44"/>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Стратегията за ВОМР се разработва за период до 31 декември 2020 г.</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Изпълнението на стратегията за ВОМР приключва с извършването на последното плащане от УО на програма към бенефициент по проект към стратегията за ВОМР.</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Минимален и максимален срок за изпълнение на проекти по мерки от стратегиите за ВОМР, финансирани от другите програми може да се определя в указанията по § 3 от ЗР на Постановление № 161 за общите изисквания към стратегиите за ВОМР от тези програми.</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Разходите са допустими за финансиране от ЕСИФ, ако те са направени от бенефициент и платени до 31 декември 2023 г. Разходите са допустими за финансиране от ЕЗФРСР единствено когато ДФЗ действително е изплатил съответната помощ до 31 декември 2023 г. </w:t>
      </w:r>
    </w:p>
    <w:p w:rsidR="009329C9" w:rsidRDefault="009329C9">
      <w:pPr>
        <w:tabs>
          <w:tab w:val="left" w:pos="284"/>
        </w:tabs>
        <w:spacing w:after="0"/>
        <w:ind w:right="-1"/>
        <w:jc w:val="both"/>
        <w:rPr>
          <w:rFonts w:ascii="Times New Roman" w:hAnsi="Times New Roman" w:cs="Times New Roman"/>
          <w:sz w:val="24"/>
          <w:szCs w:val="24"/>
        </w:rPr>
      </w:pP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МИГ „Свиленград Ареал“ ще постигне заложените в СВОМР цели чрез ясно разписан план за действие.</w:t>
      </w:r>
    </w:p>
    <w:p w:rsidR="009329C9" w:rsidRDefault="00B5212B">
      <w:pPr>
        <w:pStyle w:val="af4"/>
        <w:numPr>
          <w:ilvl w:val="0"/>
          <w:numId w:val="27"/>
        </w:numPr>
        <w:tabs>
          <w:tab w:val="left" w:pos="284"/>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 xml:space="preserve">След одобряване на Стратегията, екипът на МИГ веднага ще започне да информира и подпомага потенциалните кандидати. </w:t>
      </w:r>
    </w:p>
    <w:p w:rsidR="009329C9" w:rsidRDefault="00B5212B">
      <w:pPr>
        <w:pStyle w:val="af4"/>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 xml:space="preserve">На електронната страница на МИГ ще бъде публикуван индикативен график за приемите по съответните мерки. Не по-късно от 3 месеца преди публикуване на покана за подбор на проекти, ще бъдат общодостъпни в хартиен и електронен вид указания и образци на документи за кандидатстване по всяка мярка. Заедно с това МИГ ще приема и заявления за финансова помощ по определен ред, като извършва подбора им и определя размера на финансовата помощ. </w:t>
      </w:r>
    </w:p>
    <w:p w:rsidR="009329C9" w:rsidRDefault="00B5212B">
      <w:pPr>
        <w:pStyle w:val="af4"/>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Екипът на МИГ ще създаде и поддържа деловодна система и архив на всички актове на органите на МИГ. Също така ще създава и поддържа електронен регистър за всички постъпили проекти, в който отразява състоянието и движението на всеки от тях. Регистърът се публикува на електронната страница на МИГ.</w:t>
      </w:r>
    </w:p>
    <w:p w:rsidR="009329C9" w:rsidRDefault="00B5212B">
      <w:pPr>
        <w:pStyle w:val="af4"/>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След приключването на конкретен прием, екипът на МИГ извършва преценка за съответствие на заявленията и взима решение дали да одобри тяхното финансиране, след което ги съгласува с ДФЗили УО на другите програми</w:t>
      </w:r>
    </w:p>
    <w:p w:rsidR="009329C9" w:rsidRDefault="00B5212B">
      <w:pPr>
        <w:pStyle w:val="af4"/>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Договори с одобрените кандидати МИГ сключва  в качеството си на трета страна съгласно правилата на ПРСР.</w:t>
      </w:r>
    </w:p>
    <w:p w:rsidR="009329C9" w:rsidRDefault="00B5212B">
      <w:pPr>
        <w:pStyle w:val="af4"/>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МИГ оказва методическа подкрепа на получателите на финансова помощ  чрез посещения на място, разясняване на нормативната база, съдействие при работа с институции, отчитане на проектните предложения и в подготовката на заявки за плащане до ДФЗили УО на друга програма</w:t>
      </w:r>
    </w:p>
    <w:p w:rsidR="009329C9" w:rsidRDefault="00B5212B">
      <w:pPr>
        <w:pStyle w:val="af4"/>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Контрол върху работата си МИГ осъществява чрез Мониторинг на изпълнението на проектите, изготвяне на доклади, анализи, отчети, справки и др. във връзка с изпълнението на стратегията за ВОМР, изисвани от УО на всички програми и на ПРСР 2014-2020. В срок до 31 януари на следващата календарна година изготвя и представа на УО на ПРСР 2014-2020 г. Годишен доклад за отчитане на изпълнението на стратегията за ВОМР. Информира своевременно УО на ПРСР за проблеми, възникнали при изпълнението на стратегията.</w:t>
      </w:r>
      <w:bookmarkStart w:id="45" w:name="_Toc448392294"/>
      <w:bookmarkStart w:id="46" w:name="_Toc449349439"/>
    </w:p>
    <w:p w:rsidR="009329C9" w:rsidRDefault="009329C9">
      <w:pPr>
        <w:pStyle w:val="af4"/>
        <w:tabs>
          <w:tab w:val="left" w:pos="284"/>
        </w:tabs>
        <w:spacing w:after="120"/>
        <w:ind w:left="0" w:right="-1"/>
        <w:jc w:val="both"/>
        <w:rPr>
          <w:rFonts w:ascii="Times New Roman" w:hAnsi="Times New Roman" w:cs="Times New Roman"/>
          <w:sz w:val="24"/>
          <w:szCs w:val="24"/>
        </w:rPr>
      </w:pPr>
    </w:p>
    <w:p w:rsidR="009329C9" w:rsidRDefault="009329C9">
      <w:pPr>
        <w:pStyle w:val="af4"/>
        <w:tabs>
          <w:tab w:val="left" w:pos="284"/>
        </w:tabs>
        <w:spacing w:after="120"/>
        <w:ind w:left="0" w:right="-1"/>
        <w:jc w:val="both"/>
        <w:rPr>
          <w:rFonts w:ascii="Times New Roman" w:hAnsi="Times New Roman" w:cs="Times New Roman"/>
          <w:sz w:val="24"/>
          <w:szCs w:val="24"/>
        </w:rPr>
      </w:pPr>
    </w:p>
    <w:p w:rsidR="009329C9" w:rsidRDefault="009329C9">
      <w:pPr>
        <w:pStyle w:val="af4"/>
        <w:tabs>
          <w:tab w:val="left" w:pos="284"/>
        </w:tabs>
        <w:spacing w:after="120"/>
        <w:ind w:left="0" w:right="-1"/>
        <w:jc w:val="both"/>
        <w:rPr>
          <w:rFonts w:ascii="Times New Roman" w:hAnsi="Times New Roman" w:cs="Times New Roman"/>
          <w:sz w:val="24"/>
          <w:szCs w:val="24"/>
        </w:rPr>
      </w:pPr>
    </w:p>
    <w:p w:rsidR="009329C9" w:rsidRDefault="009329C9">
      <w:pPr>
        <w:pStyle w:val="af4"/>
        <w:tabs>
          <w:tab w:val="left" w:pos="284"/>
        </w:tabs>
        <w:spacing w:after="120"/>
        <w:ind w:left="0" w:right="-1"/>
        <w:jc w:val="both"/>
        <w:rPr>
          <w:rFonts w:ascii="Times New Roman" w:hAnsi="Times New Roman" w:cs="Times New Roman"/>
          <w:sz w:val="24"/>
          <w:szCs w:val="24"/>
        </w:rPr>
      </w:pPr>
    </w:p>
    <w:p w:rsidR="009329C9" w:rsidRDefault="00B5212B">
      <w:pPr>
        <w:pStyle w:val="af4"/>
        <w:tabs>
          <w:tab w:val="left" w:pos="284"/>
        </w:tabs>
        <w:spacing w:after="120"/>
        <w:ind w:left="0" w:right="-1"/>
        <w:jc w:val="both"/>
        <w:rPr>
          <w:rFonts w:ascii="Times New Roman" w:hAnsi="Times New Roman" w:cs="Times New Roman"/>
          <w:b/>
          <w:sz w:val="24"/>
          <w:szCs w:val="24"/>
        </w:rPr>
      </w:pPr>
      <w:r>
        <w:rPr>
          <w:rFonts w:ascii="Times New Roman" w:hAnsi="Times New Roman" w:cs="Times New Roman"/>
          <w:b/>
          <w:sz w:val="24"/>
          <w:szCs w:val="24"/>
        </w:rPr>
        <w:lastRenderedPageBreak/>
        <w:t>Приемът на проекти ще бъде разпределен равномерно, както следва:</w:t>
      </w:r>
    </w:p>
    <w:p w:rsidR="009329C9" w:rsidRDefault="009329C9">
      <w:pPr>
        <w:pStyle w:val="af4"/>
        <w:tabs>
          <w:tab w:val="left" w:pos="284"/>
        </w:tabs>
        <w:spacing w:after="120"/>
        <w:ind w:left="0" w:right="-1"/>
        <w:jc w:val="both"/>
        <w:rPr>
          <w:rFonts w:ascii="Times New Roman" w:hAnsi="Times New Roman" w:cs="Times New Roman"/>
          <w:sz w:val="24"/>
          <w:szCs w:val="24"/>
        </w:rPr>
      </w:pPr>
    </w:p>
    <w:p w:rsidR="009329C9" w:rsidRDefault="00B5212B">
      <w:pPr>
        <w:pStyle w:val="af4"/>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sz w:val="24"/>
          <w:szCs w:val="24"/>
          <w:u w:val="single"/>
        </w:rPr>
        <w:t>Приоритет 1</w:t>
      </w:r>
      <w:r>
        <w:rPr>
          <w:rFonts w:ascii="Times New Roman" w:hAnsi="Times New Roman" w:cs="Times New Roman"/>
          <w:sz w:val="24"/>
          <w:szCs w:val="24"/>
        </w:rPr>
        <w:t xml:space="preserve"> 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 в изпълнение на </w:t>
      </w:r>
      <w:r>
        <w:rPr>
          <w:rFonts w:ascii="Times New Roman" w:hAnsi="Times New Roman" w:cs="Times New Roman"/>
          <w:sz w:val="24"/>
          <w:szCs w:val="24"/>
          <w:u w:val="single"/>
        </w:rPr>
        <w:t>Специфична цел 1</w:t>
      </w:r>
      <w:r>
        <w:rPr>
          <w:rFonts w:ascii="Times New Roman" w:hAnsi="Times New Roman" w:cs="Times New Roman"/>
          <w:sz w:val="24"/>
          <w:szCs w:val="24"/>
        </w:rPr>
        <w:t xml:space="preserve"> - Повишаване конкурентоспособността на земеделските стопанства и подобряване ефективността на земеделието ще бъдат организирани 2 приема по Мярка 4.1  „Инвестиции в земеделски стопанства“ – първи в срок от няколко месеца след подписване на договора на МИГ с ДФЗ и втория през следващата година;  по </w:t>
      </w:r>
      <w:r>
        <w:rPr>
          <w:rFonts w:ascii="Times New Roman" w:hAnsi="Times New Roman" w:cs="Times New Roman"/>
          <w:sz w:val="24"/>
          <w:szCs w:val="24"/>
          <w:u w:val="single"/>
        </w:rPr>
        <w:t>Специфична цел 2</w:t>
      </w:r>
      <w:r>
        <w:rPr>
          <w:rFonts w:ascii="Times New Roman" w:hAnsi="Times New Roman" w:cs="Times New Roman"/>
          <w:sz w:val="24"/>
          <w:szCs w:val="24"/>
        </w:rPr>
        <w:t xml:space="preserve"> - Насърчаване на развитието и икономическата ефективност на предприятия от хранително-преработвателната промишленост – 2 приема на документи по Мярка 4.2 „Инвестиции в преработка/маркетинг на селскостопански продукти – след подписване на договора с ДФЗ и през следващата година; в изпълнение на </w:t>
      </w:r>
      <w:r>
        <w:rPr>
          <w:rFonts w:ascii="Times New Roman" w:hAnsi="Times New Roman" w:cs="Times New Roman"/>
          <w:sz w:val="24"/>
          <w:szCs w:val="24"/>
          <w:u w:val="single"/>
        </w:rPr>
        <w:t>Специфична цел 3</w:t>
      </w:r>
      <w:r>
        <w:rPr>
          <w:rFonts w:ascii="Times New Roman" w:hAnsi="Times New Roman" w:cs="Times New Roman"/>
          <w:sz w:val="24"/>
          <w:szCs w:val="24"/>
        </w:rPr>
        <w:t xml:space="preserve"> - Разнообразяване на икономическите дейности, насърчаване на предприемачеството на земеделските стопани и увеличаване на заетостта - отново два приема на документи по Мярка 6.4 „Инвестиционна подкрепа за неземеделски дейности от целия бюджет”, които ще бъдат отворени през две поредни години по средата на изпълнението на Стратегията.</w:t>
      </w:r>
    </w:p>
    <w:p w:rsidR="009329C9" w:rsidRDefault="00B5212B">
      <w:pPr>
        <w:pStyle w:val="af4"/>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sz w:val="24"/>
          <w:szCs w:val="24"/>
          <w:u w:val="single"/>
        </w:rPr>
        <w:t>Приоритет 2</w:t>
      </w:r>
      <w:r>
        <w:rPr>
          <w:rFonts w:ascii="Times New Roman" w:hAnsi="Times New Roman" w:cs="Times New Roman"/>
          <w:sz w:val="24"/>
          <w:szCs w:val="24"/>
        </w:rPr>
        <w:t xml:space="preserve"> Балансирано развитие на територията и повишаване качеството на живот на населението чрез подобряване на основната и на социалната инфраструктура, развитие на туризма, укрепване на природните и  културните традиции на местната общност, опазване на околната среда, в изпълнение на </w:t>
      </w:r>
      <w:r>
        <w:rPr>
          <w:rFonts w:ascii="Times New Roman" w:hAnsi="Times New Roman" w:cs="Times New Roman"/>
          <w:sz w:val="24"/>
          <w:szCs w:val="24"/>
          <w:u w:val="single"/>
        </w:rPr>
        <w:t>Специфична цел 1</w:t>
      </w:r>
      <w:r>
        <w:rPr>
          <w:rFonts w:ascii="Times New Roman" w:hAnsi="Times New Roman" w:cs="Times New Roman"/>
          <w:sz w:val="24"/>
          <w:szCs w:val="24"/>
        </w:rPr>
        <w:t xml:space="preserve"> – Подобряване на условията на живот в населените места чрез развитие на базисната инфраструктура по Мярка 7.2. „Инвестиции в създаването, подобряването или разширяването на всички видове малка по мащаби инфраструктура“ ще бъдат отворени два приема на документи – първият след подписването на договор с ДФЗ, а вторият през следващата година; за изпълнението на </w:t>
      </w:r>
      <w:r>
        <w:rPr>
          <w:rFonts w:ascii="Times New Roman" w:hAnsi="Times New Roman" w:cs="Times New Roman"/>
          <w:sz w:val="24"/>
          <w:szCs w:val="24"/>
          <w:u w:val="single"/>
        </w:rPr>
        <w:t>Специфична цел 2</w:t>
      </w:r>
      <w:r>
        <w:rPr>
          <w:rFonts w:ascii="Times New Roman" w:hAnsi="Times New Roman" w:cs="Times New Roman"/>
          <w:sz w:val="24"/>
          <w:szCs w:val="24"/>
        </w:rPr>
        <w:t xml:space="preserve"> – Развитие на туризма чрез разнообразяване и подобряване на туристическата инфраструктура по мярка 7.5 „Инвестиции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 – 2 приема на документи – две поредни години по средата на изпълнението на Стратегията; </w:t>
      </w:r>
    </w:p>
    <w:p w:rsidR="009329C9" w:rsidRDefault="00B5212B">
      <w:pPr>
        <w:pStyle w:val="af4"/>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в изпълнение на </w:t>
      </w:r>
      <w:r>
        <w:rPr>
          <w:rFonts w:ascii="Times New Roman" w:hAnsi="Times New Roman" w:cs="Times New Roman"/>
          <w:sz w:val="24"/>
          <w:szCs w:val="24"/>
          <w:u w:val="single"/>
        </w:rPr>
        <w:t>Специфична цел 3</w:t>
      </w:r>
      <w:r>
        <w:rPr>
          <w:rFonts w:ascii="Times New Roman" w:hAnsi="Times New Roman" w:cs="Times New Roman"/>
          <w:sz w:val="24"/>
          <w:szCs w:val="24"/>
        </w:rPr>
        <w:t xml:space="preserve"> – Опазване на местната идентичност и популяризиране на културното и природно наследство чрез иновативната мярка 7.11. „Съхраняване, развитие и валоризиране на специфичните местни идентичности и местната култураи спорт“ – 2 приема на документи – първи веднага след подписване на договора с ДФЗ и втори – след две години; в изпълнение на </w:t>
      </w:r>
      <w:r>
        <w:rPr>
          <w:rFonts w:ascii="Times New Roman" w:hAnsi="Times New Roman" w:cs="Times New Roman"/>
          <w:sz w:val="24"/>
          <w:szCs w:val="24"/>
          <w:u w:val="single"/>
        </w:rPr>
        <w:t>Специфична цел 4</w:t>
      </w:r>
      <w:r>
        <w:rPr>
          <w:rFonts w:ascii="Times New Roman" w:hAnsi="Times New Roman" w:cs="Times New Roman"/>
          <w:sz w:val="24"/>
          <w:szCs w:val="24"/>
        </w:rPr>
        <w:t xml:space="preserve"> – Опазване на околната среда като предпоставка за подобряване живота на населението чрез мярката на ОПОС прием на документи ще има през целия период на изпълнение на Стратегията. </w:t>
      </w:r>
    </w:p>
    <w:p w:rsidR="009329C9" w:rsidRDefault="00B5212B">
      <w:pPr>
        <w:pStyle w:val="af4"/>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sz w:val="24"/>
          <w:szCs w:val="24"/>
          <w:u w:val="single"/>
        </w:rPr>
        <w:t>Приоритет 3</w:t>
      </w:r>
      <w:r>
        <w:rPr>
          <w:rFonts w:ascii="Times New Roman" w:hAnsi="Times New Roman" w:cs="Times New Roman"/>
          <w:sz w:val="24"/>
          <w:szCs w:val="24"/>
        </w:rPr>
        <w:t xml:space="preserve">Подобряване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 в изпълнение на </w:t>
      </w:r>
      <w:r>
        <w:rPr>
          <w:rFonts w:ascii="Times New Roman" w:hAnsi="Times New Roman" w:cs="Times New Roman"/>
          <w:sz w:val="24"/>
          <w:szCs w:val="24"/>
          <w:u w:val="single"/>
        </w:rPr>
        <w:t>Специфична цел 1</w:t>
      </w:r>
      <w:r>
        <w:rPr>
          <w:rFonts w:ascii="Times New Roman" w:hAnsi="Times New Roman" w:cs="Times New Roman"/>
          <w:sz w:val="24"/>
          <w:szCs w:val="24"/>
        </w:rPr>
        <w:t xml:space="preserve"> - Развитие на устойчива и качествена заетост за населението на цялата територия на МИГ, преодоляване на безработицата и социалното изключване по мярка 1.1. от ОП РЧР „Достъп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w:t>
      </w:r>
      <w:r>
        <w:rPr>
          <w:rFonts w:ascii="Times New Roman" w:hAnsi="Times New Roman" w:cs="Times New Roman"/>
          <w:sz w:val="24"/>
          <w:szCs w:val="24"/>
        </w:rPr>
        <w:lastRenderedPageBreak/>
        <w:t xml:space="preserve">всички възрастови групи”, както и по мярка 1.3. от ОП РЧР „Устойчиво интегриране на пазара на труда на младите хора, в частност тези, които не са ангажирани с трудова дейност, безработни младежи извън образование или обучение на възраст до 29 г. вкл., които са със завършено средно или висше образование“ - документи ще се приемат на три пъти през три последователни години след подписването на договора между МИГ и ДФЗ чрез равномерно разпределение на средствата; в изпълнение на </w:t>
      </w:r>
      <w:r>
        <w:rPr>
          <w:rFonts w:ascii="Times New Roman" w:hAnsi="Times New Roman" w:cs="Times New Roman"/>
          <w:sz w:val="24"/>
          <w:szCs w:val="24"/>
          <w:u w:val="single"/>
        </w:rPr>
        <w:t>Специфична цел 2</w:t>
      </w:r>
      <w:r>
        <w:rPr>
          <w:rFonts w:ascii="Times New Roman" w:hAnsi="Times New Roman" w:cs="Times New Roman"/>
          <w:sz w:val="24"/>
          <w:szCs w:val="24"/>
        </w:rPr>
        <w:t>-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по мярка 2.1. от ОП РЧР„Социално-икономическа интеграция на маргинализирани общности като ромите“ ще бъдат организирани три приема на документи през три последователни години след подписването на договор а с ДФЗ; за реализацията на</w:t>
      </w:r>
      <w:r>
        <w:rPr>
          <w:rFonts w:ascii="Times New Roman" w:hAnsi="Times New Roman" w:cs="Times New Roman"/>
          <w:sz w:val="24"/>
          <w:szCs w:val="24"/>
          <w:u w:val="single"/>
        </w:rPr>
        <w:t xml:space="preserve">Специфична цел 3 </w:t>
      </w:r>
      <w:r>
        <w:rPr>
          <w:rFonts w:ascii="Times New Roman" w:hAnsi="Times New Roman" w:cs="Times New Roman"/>
          <w:sz w:val="24"/>
          <w:szCs w:val="24"/>
        </w:rPr>
        <w:t>– 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 чрез мярка 9ii на ОПНОИР „Социално-икономическа интеграция на маргинализирани общности като ромите“ ще бъдат организирани два приема на документи през две последователни години по средата на изпълнение на Стратегията..</w:t>
      </w:r>
    </w:p>
    <w:p w:rsidR="009329C9" w:rsidRDefault="00B5212B">
      <w:pPr>
        <w:pStyle w:val="af4"/>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sz w:val="24"/>
          <w:szCs w:val="24"/>
          <w:u w:val="single"/>
        </w:rPr>
        <w:t>Приоритет 4</w:t>
      </w:r>
      <w:r>
        <w:rPr>
          <w:rFonts w:ascii="Times New Roman" w:hAnsi="Times New Roman" w:cs="Times New Roman"/>
          <w:sz w:val="24"/>
          <w:szCs w:val="24"/>
        </w:rPr>
        <w:t xml:space="preserve"> Повишаване на конкурентоспособността на МСП и насърчаване на предприемачеството за реализацията на </w:t>
      </w:r>
      <w:r>
        <w:rPr>
          <w:rFonts w:ascii="Times New Roman" w:hAnsi="Times New Roman" w:cs="Times New Roman"/>
          <w:sz w:val="24"/>
          <w:szCs w:val="24"/>
          <w:u w:val="single"/>
        </w:rPr>
        <w:t>Специфична цел 1</w:t>
      </w:r>
      <w:r>
        <w:rPr>
          <w:rFonts w:ascii="Times New Roman" w:hAnsi="Times New Roman" w:cs="Times New Roman"/>
          <w:sz w:val="24"/>
          <w:szCs w:val="24"/>
        </w:rPr>
        <w:t xml:space="preserve"> – Повишаване на производителността на МСП на територията на МИГ Свиленград Ареал чрез мярка 2.2 „Капацитет за растеж на МСП“ по ОПИК ще бъдат отворени два приема на документи – веднага след подписване на договора с ДФЗ и две години след това.</w:t>
      </w:r>
    </w:p>
    <w:p w:rsidR="009329C9" w:rsidRDefault="00B5212B">
      <w:pPr>
        <w:pStyle w:val="af4"/>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При необходимост, МИГ може да открие допълнителни приеми след приключване на описаните по-горе, в случай че има остатъци от предвидените суми по различните програми, някои от проектите не бъдат договорени или по някакви други причини.</w:t>
      </w:r>
    </w:p>
    <w:p w:rsidR="009329C9" w:rsidRDefault="00B5212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9329C9" w:rsidRDefault="00B5212B">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8. </w:t>
      </w:r>
      <w:bookmarkEnd w:id="45"/>
      <w:bookmarkEnd w:id="46"/>
      <w:r>
        <w:rPr>
          <w:rFonts w:ascii="Times New Roman" w:hAnsi="Times New Roman" w:cs="Times New Roman"/>
          <w:color w:val="auto"/>
          <w:sz w:val="24"/>
          <w:szCs w:val="24"/>
        </w:rPr>
        <w:t>Описание на уредбата за управлението и мониторинга на стратегията, която показва капацитета на местната инициативна група да изпълни стратегията, и описание на специфичната уредба относно оценката:</w:t>
      </w:r>
    </w:p>
    <w:p w:rsidR="009329C9" w:rsidRDefault="00B5212B">
      <w:pPr>
        <w:pStyle w:val="2"/>
        <w:ind w:right="-1"/>
        <w:jc w:val="both"/>
        <w:rPr>
          <w:rFonts w:ascii="Times New Roman" w:hAnsi="Times New Roman" w:cs="Times New Roman"/>
          <w:color w:val="auto"/>
          <w:sz w:val="24"/>
          <w:szCs w:val="24"/>
        </w:rPr>
      </w:pPr>
      <w:bookmarkStart w:id="47" w:name="_Toc448392295"/>
      <w:bookmarkStart w:id="48" w:name="_Toc449349440"/>
      <w:r>
        <w:rPr>
          <w:rFonts w:ascii="Times New Roman" w:hAnsi="Times New Roman" w:cs="Times New Roman"/>
          <w:color w:val="auto"/>
          <w:sz w:val="24"/>
          <w:szCs w:val="24"/>
        </w:rPr>
        <w:t>Местна инициативна група “Свиленград Ареал” е доброволно сдружение на физически и юридически лица. Сдружението е самостоятелно юридическо лице с нестопанска цел, което се регистрира по Закона за юридическите лица с нестопанска цел и при спазване изискванията на Наредба № 23 от 18.12.2009 г. „За условията и реда за предоставяне на безвъзмездна финансова помощ по мярка „Прилагане на стратегиите за местно развитие“ и по мярка „Управление на местни инициативни групи, придобиване на умения и постигане на обществена активност на съответната територия за местните инициативни групи, прилагащи стратегии за местно развитие“ от ПРСР, както и на останалите изисквания и указания по ос 4 „ЛИДЕР” от Програмата за развитие на селските региони и на МЗХГ.</w:t>
      </w:r>
    </w:p>
    <w:p w:rsidR="009329C9" w:rsidRDefault="00B5212B">
      <w:pPr>
        <w:pStyle w:val="2"/>
        <w:ind w:right="-1"/>
        <w:jc w:val="both"/>
        <w:rPr>
          <w:rFonts w:ascii="Times New Roman" w:hAnsi="Times New Roman" w:cs="Times New Roman"/>
          <w:color w:val="auto"/>
          <w:sz w:val="24"/>
          <w:szCs w:val="24"/>
        </w:rPr>
      </w:pPr>
      <w:r>
        <w:rPr>
          <w:rFonts w:ascii="Times New Roman" w:hAnsi="Times New Roman" w:cs="Times New Roman"/>
          <w:color w:val="auto"/>
          <w:sz w:val="24"/>
          <w:szCs w:val="24"/>
        </w:rPr>
        <w:t>Сдружението е публично-частно партньорство с участието на община Свиленград при условията на чл. 7 от Наредба 23 на МЗХГ. Сдружението се определя за извършване на общественополезна дейност.</w:t>
      </w:r>
    </w:p>
    <w:p w:rsidR="009329C9" w:rsidRDefault="009329C9">
      <w:pPr>
        <w:pStyle w:val="2"/>
        <w:spacing w:before="0"/>
        <w:ind w:right="-1"/>
        <w:jc w:val="both"/>
        <w:rPr>
          <w:rFonts w:ascii="Times New Roman" w:hAnsi="Times New Roman" w:cs="Times New Roman"/>
          <w:b/>
          <w:color w:val="auto"/>
          <w:sz w:val="24"/>
          <w:szCs w:val="24"/>
        </w:rPr>
      </w:pPr>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8.1. Организационна структура на МИГ:</w:t>
      </w:r>
      <w:bookmarkEnd w:id="47"/>
      <w:bookmarkEnd w:id="48"/>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МИГ „Свиленград Ареал“ се състои от: Общо събрание, Управителен съвет, председател на УС, изпълнителен директор, двама експерти СМР, счетоводител и технически асистент.</w:t>
      </w:r>
    </w:p>
    <w:p w:rsidR="009329C9" w:rsidRDefault="00B5212B">
      <w:pPr>
        <w:spacing w:after="120"/>
        <w:ind w:right="-1"/>
        <w:jc w:val="center"/>
        <w:rPr>
          <w:rFonts w:ascii="Times New Roman" w:hAnsi="Times New Roman" w:cs="Times New Roman"/>
          <w:sz w:val="24"/>
          <w:szCs w:val="24"/>
        </w:rPr>
      </w:pPr>
      <w:r>
        <w:rPr>
          <w:rFonts w:ascii="Times New Roman" w:hAnsi="Times New Roman" w:cs="Times New Roman"/>
          <w:b/>
          <w:sz w:val="24"/>
          <w:szCs w:val="24"/>
        </w:rPr>
        <w:t>– организационна структура/схема.</w:t>
      </w:r>
      <w:r>
        <w:rPr>
          <w:rFonts w:ascii="Times New Roman" w:hAnsi="Times New Roman" w:cs="Times New Roman"/>
          <w:noProof/>
          <w:sz w:val="24"/>
          <w:szCs w:val="24"/>
        </w:rPr>
        <w:drawing>
          <wp:inline distT="0" distB="0" distL="0" distR="0">
            <wp:extent cx="5486400" cy="3200400"/>
            <wp:effectExtent l="0" t="0" r="0" b="19050"/>
            <wp:docPr id="8" name="Диагра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329C9" w:rsidRDefault="00B5212B">
      <w:pPr>
        <w:spacing w:after="120"/>
        <w:ind w:right="-1"/>
        <w:rPr>
          <w:rFonts w:ascii="Times New Roman" w:hAnsi="Times New Roman" w:cs="Times New Roman"/>
          <w:sz w:val="24"/>
          <w:szCs w:val="24"/>
        </w:rPr>
      </w:pPr>
      <w:r>
        <w:rPr>
          <w:rFonts w:ascii="Times New Roman" w:hAnsi="Times New Roman" w:cs="Times New Roman"/>
          <w:sz w:val="24"/>
          <w:szCs w:val="24"/>
        </w:rPr>
        <w:t>МИГ се състои от: Общо събрание и Управителен съвет.</w:t>
      </w:r>
    </w:p>
    <w:p w:rsidR="009329C9" w:rsidRDefault="00B5212B">
      <w:pPr>
        <w:spacing w:after="0"/>
        <w:rPr>
          <w:rFonts w:ascii="Times New Roman" w:hAnsi="Times New Roman" w:cs="Times New Roman"/>
          <w:sz w:val="24"/>
          <w:szCs w:val="24"/>
        </w:rPr>
      </w:pPr>
      <w:r>
        <w:rPr>
          <w:rFonts w:ascii="Times New Roman" w:hAnsi="Times New Roman" w:cs="Times New Roman"/>
          <w:b/>
          <w:sz w:val="24"/>
          <w:szCs w:val="24"/>
        </w:rPr>
        <w:t>Общото събрание</w:t>
      </w:r>
      <w:r>
        <w:rPr>
          <w:rFonts w:ascii="Times New Roman" w:hAnsi="Times New Roman" w:cs="Times New Roman"/>
          <w:sz w:val="24"/>
          <w:szCs w:val="24"/>
        </w:rPr>
        <w:t>е от 15 членове на сдружението от които:</w:t>
      </w:r>
      <w:r>
        <w:rPr>
          <w:rFonts w:ascii="Times New Roman" w:hAnsi="Times New Roman" w:cs="Times New Roman"/>
          <w:b/>
          <w:sz w:val="24"/>
          <w:szCs w:val="24"/>
        </w:rPr>
        <w:t>Публичен сектор</w:t>
      </w:r>
      <w:r>
        <w:rPr>
          <w:rFonts w:ascii="Times New Roman" w:hAnsi="Times New Roman" w:cs="Times New Roman"/>
          <w:sz w:val="24"/>
          <w:szCs w:val="24"/>
        </w:rPr>
        <w:t xml:space="preserve"> – един представител от община Свиленград, </w:t>
      </w:r>
      <w:r>
        <w:rPr>
          <w:rFonts w:ascii="Times New Roman" w:hAnsi="Times New Roman" w:cs="Times New Roman"/>
          <w:b/>
          <w:sz w:val="24"/>
          <w:szCs w:val="24"/>
        </w:rPr>
        <w:t>Стопански сектор</w:t>
      </w:r>
      <w:r>
        <w:rPr>
          <w:rFonts w:ascii="Times New Roman" w:hAnsi="Times New Roman" w:cs="Times New Roman"/>
          <w:sz w:val="24"/>
          <w:szCs w:val="24"/>
        </w:rPr>
        <w:t xml:space="preserve"> –7 представители от които - </w:t>
      </w:r>
      <w:r>
        <w:rPr>
          <w:rFonts w:ascii="Times New Roman" w:eastAsia="Calibri" w:hAnsi="Times New Roman" w:cs="Times New Roman"/>
          <w:sz w:val="24"/>
          <w:szCs w:val="24"/>
          <w:lang w:eastAsia="en-US"/>
        </w:rPr>
        <w:t xml:space="preserve">Земеделски производител </w:t>
      </w:r>
      <w:r>
        <w:rPr>
          <w:rFonts w:ascii="Times New Roman" w:hAnsi="Times New Roman" w:cs="Times New Roman"/>
          <w:bCs/>
          <w:sz w:val="24"/>
          <w:szCs w:val="24"/>
        </w:rPr>
        <w:t xml:space="preserve">– сектор растениевъдство - 1 представител; </w:t>
      </w:r>
      <w:r>
        <w:rPr>
          <w:rFonts w:ascii="Times New Roman" w:eastAsia="Calibri" w:hAnsi="Times New Roman" w:cs="Times New Roman"/>
          <w:sz w:val="24"/>
          <w:szCs w:val="24"/>
          <w:lang w:eastAsia="en-US"/>
        </w:rPr>
        <w:t xml:space="preserve">Земеделски производител </w:t>
      </w:r>
      <w:r>
        <w:rPr>
          <w:rFonts w:ascii="Times New Roman" w:hAnsi="Times New Roman" w:cs="Times New Roman"/>
          <w:bCs/>
          <w:sz w:val="24"/>
          <w:szCs w:val="24"/>
        </w:rPr>
        <w:t>– сектор животновъдство - 1 представител; Юридически лица микропредприятия регистрирани по Търговския закон, работещи в сферата на услугите – 2ма представители; Юридически лица микропредприятия регистрирани по Търговския закон, работещи в сферата на производство</w:t>
      </w:r>
      <w:r>
        <w:rPr>
          <w:rFonts w:ascii="Times New Roman" w:hAnsi="Times New Roman" w:cs="Times New Roman"/>
          <w:bCs/>
          <w:sz w:val="24"/>
          <w:szCs w:val="24"/>
        </w:rPr>
        <w:lastRenderedPageBreak/>
        <w:t>то – 1 представител;  Юридически лица регистрирани по Търговския закон – Малки и средни предприятия – 2ма представители;</w:t>
      </w:r>
      <w:r>
        <w:rPr>
          <w:rFonts w:ascii="Times New Roman" w:hAnsi="Times New Roman" w:cs="Times New Roman"/>
          <w:b/>
          <w:sz w:val="24"/>
          <w:szCs w:val="24"/>
        </w:rPr>
        <w:t xml:space="preserve">Нестопански сектор </w:t>
      </w:r>
      <w:r>
        <w:rPr>
          <w:rFonts w:ascii="Times New Roman" w:hAnsi="Times New Roman" w:cs="Times New Roman"/>
          <w:sz w:val="24"/>
          <w:szCs w:val="24"/>
        </w:rPr>
        <w:t>– 7 представители от които –</w:t>
      </w:r>
      <w:r>
        <w:rPr>
          <w:rFonts w:ascii="Times New Roman" w:hAnsi="Times New Roman" w:cs="Times New Roman"/>
          <w:bCs/>
          <w:sz w:val="24"/>
          <w:szCs w:val="24"/>
        </w:rPr>
        <w:t>Юридически лица с нестопанска цел, регистрирани по ЗЮЛНЦ работещи в сферата на местното развитие– 2ма представители; Спортни клубове регистрирани по ЗЮЛНЦ – 2ма представители;</w:t>
      </w:r>
      <w:r>
        <w:rPr>
          <w:rFonts w:ascii="Times New Roman" w:hAnsi="Times New Roman" w:cs="Times New Roman"/>
          <w:sz w:val="24"/>
          <w:szCs w:val="24"/>
        </w:rPr>
        <w:t xml:space="preserve"> Организации регистрирани по Закона за читалищата – 1 представител; Местни лидери – физически лица – 2ма представители.</w:t>
      </w:r>
    </w:p>
    <w:p w:rsidR="009329C9" w:rsidRDefault="00B5212B">
      <w:pPr>
        <w:spacing w:after="0"/>
        <w:rPr>
          <w:rFonts w:ascii="Times New Roman" w:hAnsi="Times New Roman" w:cs="Times New Roman"/>
          <w:sz w:val="24"/>
          <w:szCs w:val="24"/>
        </w:rPr>
      </w:pPr>
      <w:r>
        <w:rPr>
          <w:rFonts w:ascii="Times New Roman" w:hAnsi="Times New Roman" w:cs="Times New Roman"/>
          <w:sz w:val="24"/>
          <w:szCs w:val="24"/>
        </w:rPr>
        <w:t xml:space="preserve">В колективния върховен орган на МИГ Свиленград ареал от общо 18 идентифицирани заинтересовани страни, членуват 10 или това възлиза на 55% представителност. </w:t>
      </w:r>
    </w:p>
    <w:p w:rsidR="009329C9" w:rsidRDefault="009329C9">
      <w:pPr>
        <w:pStyle w:val="2"/>
        <w:spacing w:before="0" w:after="120"/>
        <w:ind w:right="-1"/>
        <w:jc w:val="both"/>
        <w:rPr>
          <w:rFonts w:ascii="Times New Roman" w:hAnsi="Times New Roman" w:cs="Times New Roman"/>
          <w:b/>
          <w:color w:val="auto"/>
          <w:sz w:val="24"/>
          <w:szCs w:val="24"/>
        </w:rPr>
      </w:pPr>
    </w:p>
    <w:p w:rsidR="009329C9" w:rsidRDefault="00B5212B">
      <w:pPr>
        <w:pStyle w:val="2"/>
        <w:spacing w:before="0" w:after="12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Управителният съвет</w:t>
      </w:r>
      <w:r>
        <w:rPr>
          <w:rFonts w:ascii="Times New Roman" w:hAnsi="Times New Roman" w:cs="Times New Roman"/>
          <w:color w:val="auto"/>
          <w:sz w:val="24"/>
          <w:szCs w:val="24"/>
        </w:rPr>
        <w:t>е съставен  от 7 члена на сдружението: един представител на общинската власт – Надя Георгиева, трима представители на стопанския сектор (един представител на земеделския сектор – Иван Бакалов, двама представители на неземеделския сектор - Мариана георгиева, Красимира Манолова), трима представители на неправителствения сектор (двама представители на НПО работещи в сферата на местното развитие – Христина Коларова-Иванова и Петър Вангелов и един спортен клуб – Ася Райкова).</w:t>
      </w:r>
      <w:bookmarkStart w:id="49" w:name="_Toc449349441"/>
      <w:bookmarkStart w:id="50" w:name="_Toc448392296"/>
    </w:p>
    <w:p w:rsidR="009329C9" w:rsidRDefault="00B5212B">
      <w:pPr>
        <w:pStyle w:val="2"/>
        <w:spacing w:before="0" w:after="12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8.2. Управление на МИГ:</w:t>
      </w:r>
      <w:bookmarkEnd w:id="49"/>
      <w:bookmarkEnd w:id="50"/>
    </w:p>
    <w:p w:rsidR="009329C9" w:rsidRDefault="00B5212B">
      <w:pPr>
        <w:spacing w:after="120"/>
        <w:ind w:right="-1"/>
        <w:jc w:val="both"/>
        <w:rPr>
          <w:rFonts w:ascii="Times New Roman" w:hAnsi="Times New Roman" w:cs="Times New Roman"/>
          <w:b/>
          <w:sz w:val="24"/>
          <w:szCs w:val="24"/>
        </w:rPr>
      </w:pPr>
      <w:r>
        <w:rPr>
          <w:rFonts w:ascii="Times New Roman" w:hAnsi="Times New Roman" w:cs="Times New Roman"/>
          <w:b/>
          <w:sz w:val="24"/>
          <w:szCs w:val="24"/>
        </w:rPr>
        <w:t>– органи за управление и контрол;</w:t>
      </w:r>
      <w:r>
        <w:rPr>
          <w:rFonts w:ascii="Times New Roman" w:hAnsi="Times New Roman" w:cs="Times New Roman"/>
          <w:b/>
          <w:sz w:val="24"/>
          <w:szCs w:val="24"/>
        </w:rPr>
        <w:tab/>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b/>
          <w:sz w:val="24"/>
          <w:szCs w:val="24"/>
        </w:rPr>
        <w:t>Oбщото събрание</w:t>
      </w:r>
      <w:r>
        <w:rPr>
          <w:rFonts w:ascii="Times New Roman" w:hAnsi="Times New Roman" w:cs="Times New Roman"/>
          <w:sz w:val="24"/>
          <w:szCs w:val="24"/>
        </w:rPr>
        <w:t xml:space="preserve"> на МИГ е върховен колективен орган на сдружението и се състои от всички членове на сдружението. Съставът на  Общото събрание е от 15 члена,представители на следните сектори: представител на публичния сектор -1, стопански сектор -  5 (земеделски сектор -1; микропредприятия- 3 и ЕТ -1); нестопански сектор – 4 (юридически лица – 2; читалище – 1 и физически лица - 2),като е спазена разпоредбата да не превишават 49 на сто от имащите право на глас, съгласно чл. 28, ал. 1от ЗЮЛНЦ.Членовете на върховния колективен орган и на върховния управителен орган на МИГ трябва да имат седалище и адрес на управление или постоянен адрес или да работят на територията, на която се изпълнява проектът.</w:t>
      </w:r>
    </w:p>
    <w:p w:rsidR="009329C9" w:rsidRDefault="00B5212B">
      <w:pPr>
        <w:spacing w:after="0"/>
        <w:ind w:right="-1"/>
        <w:jc w:val="both"/>
        <w:rPr>
          <w:rFonts w:ascii="Times New Roman" w:hAnsi="Times New Roman" w:cs="Times New Roman"/>
          <w:b/>
          <w:sz w:val="24"/>
          <w:szCs w:val="24"/>
        </w:rPr>
      </w:pPr>
      <w:r>
        <w:rPr>
          <w:rFonts w:ascii="Times New Roman" w:hAnsi="Times New Roman" w:cs="Times New Roman"/>
          <w:b/>
          <w:sz w:val="24"/>
          <w:szCs w:val="24"/>
        </w:rPr>
        <w:t>Правомощия на Общото събрание на МИГ  „Свиленград Ареал“:</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 Изменя и допълва устава;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 Приема Стратегията за местно развитие;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3. Гласува обновяване на Стратегията за местно развитие;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4. Избира и освобождава членовете на Управителния съвет;</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5. Избира председател на управителния съвет;</w:t>
      </w:r>
    </w:p>
    <w:p w:rsidR="009329C9" w:rsidRDefault="00B5212B">
      <w:pPr>
        <w:spacing w:after="0"/>
        <w:ind w:right="-1"/>
        <w:jc w:val="both"/>
        <w:rPr>
          <w:rFonts w:ascii="Times New Roman" w:hAnsi="Times New Roman" w:cs="Times New Roman"/>
          <w:sz w:val="24"/>
          <w:szCs w:val="24"/>
          <w:lang w:val="en-US"/>
        </w:rPr>
      </w:pPr>
      <w:r>
        <w:rPr>
          <w:rFonts w:ascii="Times New Roman" w:hAnsi="Times New Roman" w:cs="Times New Roman"/>
          <w:sz w:val="24"/>
          <w:szCs w:val="24"/>
        </w:rPr>
        <w:t>6. Приема и изключва членове;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rPr>
        <w:t>. Ежегодно приема програма за дейността и бюджет за дейността на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 Ежегодно приема отчета за изпълнението на програмата за дейността и бюджета на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9</w:t>
      </w:r>
      <w:r>
        <w:rPr>
          <w:rFonts w:ascii="Times New Roman" w:hAnsi="Times New Roman" w:cs="Times New Roman"/>
          <w:sz w:val="24"/>
          <w:szCs w:val="24"/>
        </w:rPr>
        <w:t>. Взема решение за откриване и закриване на клонове;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0</w:t>
      </w:r>
      <w:r>
        <w:rPr>
          <w:rFonts w:ascii="Times New Roman" w:hAnsi="Times New Roman" w:cs="Times New Roman"/>
          <w:sz w:val="24"/>
          <w:szCs w:val="24"/>
        </w:rPr>
        <w:t>. Взема решение за участие в други организации;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1</w:t>
      </w:r>
      <w:r>
        <w:rPr>
          <w:rFonts w:ascii="Times New Roman" w:hAnsi="Times New Roman" w:cs="Times New Roman"/>
          <w:sz w:val="24"/>
          <w:szCs w:val="24"/>
        </w:rPr>
        <w:t>. Взема решение за преобразуване или прекратяване на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 Взема решение относно дължимостта и размера на членския внос или на имуществените вноски;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3</w:t>
      </w:r>
      <w:r>
        <w:rPr>
          <w:rFonts w:ascii="Times New Roman" w:hAnsi="Times New Roman" w:cs="Times New Roman"/>
          <w:sz w:val="24"/>
          <w:szCs w:val="24"/>
        </w:rPr>
        <w:t>. Отменя решенията на другите органи на Сдружението, които противоречат на закона, устава или на вътрешни актове, регламентиращи дейността на Сдружението;</w:t>
      </w:r>
    </w:p>
    <w:p w:rsidR="009329C9" w:rsidRDefault="009329C9">
      <w:pPr>
        <w:spacing w:after="0"/>
        <w:ind w:right="-1"/>
        <w:jc w:val="both"/>
        <w:rPr>
          <w:rFonts w:ascii="Times New Roman" w:hAnsi="Times New Roman" w:cs="Times New Roman"/>
          <w:b/>
          <w:sz w:val="24"/>
          <w:szCs w:val="24"/>
        </w:rPr>
      </w:pP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b/>
          <w:sz w:val="24"/>
          <w:szCs w:val="24"/>
        </w:rPr>
        <w:lastRenderedPageBreak/>
        <w:t xml:space="preserve">Управителният съвет на МИГ </w:t>
      </w:r>
      <w:r>
        <w:rPr>
          <w:rFonts w:ascii="Times New Roman" w:hAnsi="Times New Roman" w:cs="Times New Roman"/>
          <w:sz w:val="24"/>
          <w:szCs w:val="24"/>
        </w:rPr>
        <w:t>е колективен управленски орган, който се състои от 7 члена, разпределени между трите сектора: неправителствен, стопански и публичен.</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Членовете на УС могат да бъдат физически или юридически лица, като представителите на публичния сектор, представителите на стопанския сектор и представителите на нестопанския сектор не могат да надвишават 49 на сто от имащите право на глас членове .</w:t>
      </w:r>
    </w:p>
    <w:p w:rsidR="009329C9" w:rsidRDefault="00B5212B">
      <w:pPr>
        <w:spacing w:after="0"/>
        <w:ind w:right="-1"/>
        <w:jc w:val="both"/>
        <w:rPr>
          <w:rFonts w:ascii="Times New Roman" w:hAnsi="Times New Roman" w:cs="Times New Roman"/>
          <w:b/>
          <w:sz w:val="24"/>
          <w:szCs w:val="24"/>
        </w:rPr>
      </w:pPr>
      <w:r>
        <w:rPr>
          <w:rFonts w:ascii="Times New Roman" w:hAnsi="Times New Roman" w:cs="Times New Roman"/>
          <w:b/>
          <w:sz w:val="24"/>
          <w:szCs w:val="24"/>
        </w:rPr>
        <w:t xml:space="preserve">Правомощия на Управителния съвет: </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 Осигурява изпълнението на решенията на Общото събрание;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 Разпорежда се с имуществото на Сдружението при спазване изискванията на устава;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3. Внася в общото събрание проект за годишни Програма за дейността и Бюджет;</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4. Внася в общото събрание отчет за изпълнението на Програмата за дейността и Бюджета на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5. Приема вътрешни правила за извършването на дейността на Сдружението, включително и тази в обща полза и в изпълнение Стратегията за местно развитие и по договорите с МЗХ и Разплащателната агенция, и носи отговорност за това;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6. Приема правила за отчетност и контрол, включително по одобрените проекти по Стратегията за местно развитие;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7.Отговаря за спазването на изискванията по мерките на МЗХ от Програмата за развитие на селските райони (ПРСР) приложими за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 С мнозинство 2/3 избира и освобождава Изпълнителния директор;</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9</w:t>
      </w:r>
      <w:r>
        <w:rPr>
          <w:rFonts w:ascii="Times New Roman" w:hAnsi="Times New Roman" w:cs="Times New Roman"/>
          <w:sz w:val="24"/>
          <w:szCs w:val="24"/>
        </w:rPr>
        <w:t>. Определя длъжностната характеристика и заплатата на Изпълнителния директор;</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rPr>
        <w:t>. Одобрява проекто-договора с Изпълнителния директор и възлага на Председателя на Управителния съвет да го подпише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1</w:t>
      </w:r>
      <w:r>
        <w:rPr>
          <w:rFonts w:ascii="Times New Roman" w:hAnsi="Times New Roman" w:cs="Times New Roman"/>
          <w:sz w:val="24"/>
          <w:szCs w:val="24"/>
        </w:rPr>
        <w:t>. Приема организационна структура, длъжностни характеристики и правила за работата на екипа на Сдружението и на помощните му органи;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 Взема решение за публикуване на покани за кандидатстване с проекти по Стратегията за местно развитие.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3</w:t>
      </w:r>
      <w:r>
        <w:rPr>
          <w:rFonts w:ascii="Times New Roman" w:hAnsi="Times New Roman" w:cs="Times New Roman"/>
          <w:sz w:val="24"/>
          <w:szCs w:val="24"/>
        </w:rPr>
        <w:t>. Одобрява указания за кандидатстване с проекти по Стратегията за местно развитие.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4</w:t>
      </w:r>
      <w:r>
        <w:rPr>
          <w:rFonts w:ascii="Times New Roman" w:hAnsi="Times New Roman" w:cs="Times New Roman"/>
          <w:sz w:val="24"/>
          <w:szCs w:val="24"/>
        </w:rPr>
        <w:t>. Членовете на Управителния съвет са членове на Комисията по избор на проекти.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5</w:t>
      </w:r>
      <w:r>
        <w:rPr>
          <w:rFonts w:ascii="Times New Roman" w:hAnsi="Times New Roman" w:cs="Times New Roman"/>
          <w:sz w:val="24"/>
          <w:szCs w:val="24"/>
        </w:rPr>
        <w:t>. Според вида на оценяваните проекти, избира външни експерти с необходимата квалификация и опит като допълнителни членове на Комисията по избор на проекти с цел осигуряване на обективност, публичност и прозрачност.</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6</w:t>
      </w:r>
      <w:r>
        <w:rPr>
          <w:rFonts w:ascii="Times New Roman" w:hAnsi="Times New Roman" w:cs="Times New Roman"/>
          <w:sz w:val="24"/>
          <w:szCs w:val="24"/>
        </w:rPr>
        <w:t>. Взема решение за избор на проекти за подпомагане.</w:t>
      </w:r>
    </w:p>
    <w:p w:rsidR="009329C9" w:rsidRDefault="00B5212B">
      <w:pPr>
        <w:spacing w:after="0"/>
        <w:ind w:right="-1"/>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7</w:t>
      </w:r>
      <w:r>
        <w:rPr>
          <w:rFonts w:ascii="Times New Roman" w:hAnsi="Times New Roman" w:cs="Times New Roman"/>
          <w:sz w:val="24"/>
          <w:szCs w:val="24"/>
        </w:rPr>
        <w:t xml:space="preserve">. Одобрява Заявленията за одобрение на планирани дейности и разходи в МЗХ </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8</w:t>
      </w:r>
      <w:r>
        <w:rPr>
          <w:rFonts w:ascii="Times New Roman" w:hAnsi="Times New Roman" w:cs="Times New Roman"/>
          <w:sz w:val="24"/>
          <w:szCs w:val="24"/>
        </w:rPr>
        <w:t xml:space="preserve"> Одобрява Заявки за плащане до разплащателната агенция</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19</w:t>
      </w:r>
      <w:r>
        <w:rPr>
          <w:rFonts w:ascii="Times New Roman" w:hAnsi="Times New Roman" w:cs="Times New Roman"/>
          <w:sz w:val="24"/>
          <w:szCs w:val="24"/>
        </w:rPr>
        <w:t xml:space="preserve"> Взема решения за възлагане на поръчки на стойност над 30 000 лева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0</w:t>
      </w:r>
      <w:r>
        <w:rPr>
          <w:rFonts w:ascii="Times New Roman" w:hAnsi="Times New Roman" w:cs="Times New Roman"/>
          <w:sz w:val="24"/>
          <w:szCs w:val="24"/>
        </w:rPr>
        <w:t xml:space="preserve"> Отговаря за информирането на местната общност за дейността на Сдружението и за гарантиране на неговата прозрачност и справедливия достъп до ползите от дейността му на всеки правоимащ.</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1</w:t>
      </w:r>
      <w:r>
        <w:rPr>
          <w:rFonts w:ascii="Times New Roman" w:hAnsi="Times New Roman" w:cs="Times New Roman"/>
          <w:sz w:val="24"/>
          <w:szCs w:val="24"/>
        </w:rPr>
        <w:t xml:space="preserve"> Избира представители на Сдружението в национални и европейски мрежи на селските региони;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2</w:t>
      </w:r>
      <w:r>
        <w:rPr>
          <w:rFonts w:ascii="Times New Roman" w:hAnsi="Times New Roman" w:cs="Times New Roman"/>
          <w:sz w:val="24"/>
          <w:szCs w:val="24"/>
        </w:rPr>
        <w:t xml:space="preserve"> Взема решение за създаване на консултативни органи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3</w:t>
      </w:r>
      <w:r>
        <w:rPr>
          <w:rFonts w:ascii="Times New Roman" w:hAnsi="Times New Roman" w:cs="Times New Roman"/>
          <w:sz w:val="24"/>
          <w:szCs w:val="24"/>
        </w:rPr>
        <w:t xml:space="preserve"> Може да избере от своя състав до двама заместник председатели на Управителния съвет;</w:t>
      </w:r>
    </w:p>
    <w:p w:rsidR="009329C9" w:rsidRDefault="00B5212B">
      <w:pPr>
        <w:spacing w:after="0"/>
        <w:ind w:right="-1"/>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4</w:t>
      </w:r>
      <w:r>
        <w:rPr>
          <w:rFonts w:ascii="Times New Roman" w:hAnsi="Times New Roman" w:cs="Times New Roman"/>
          <w:sz w:val="24"/>
          <w:szCs w:val="24"/>
        </w:rPr>
        <w:t xml:space="preserve"> Взема решение по всички въпроси, които по закон или съгласно устава не спадат в правата на друг орган;</w:t>
      </w:r>
    </w:p>
    <w:p w:rsidR="009329C9" w:rsidRDefault="009329C9">
      <w:pPr>
        <w:spacing w:after="0"/>
        <w:ind w:right="-1"/>
        <w:jc w:val="both"/>
        <w:rPr>
          <w:rFonts w:ascii="Times New Roman" w:hAnsi="Times New Roman" w:cs="Times New Roman"/>
          <w:b/>
          <w:sz w:val="24"/>
          <w:szCs w:val="24"/>
        </w:rPr>
      </w:pPr>
    </w:p>
    <w:p w:rsidR="009329C9" w:rsidRDefault="00B5212B">
      <w:pPr>
        <w:spacing w:after="0"/>
        <w:ind w:right="-1"/>
        <w:jc w:val="both"/>
        <w:rPr>
          <w:rFonts w:ascii="Times New Roman" w:hAnsi="Times New Roman" w:cs="Times New Roman"/>
          <w:b/>
          <w:sz w:val="24"/>
          <w:szCs w:val="24"/>
        </w:rPr>
      </w:pPr>
      <w:r>
        <w:rPr>
          <w:rFonts w:ascii="Times New Roman" w:hAnsi="Times New Roman" w:cs="Times New Roman"/>
          <w:b/>
          <w:sz w:val="24"/>
          <w:szCs w:val="24"/>
        </w:rPr>
        <w:lastRenderedPageBreak/>
        <w:t>Председателят на Управителния съвет :</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 Представлява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 Ръководи заседанията на УС и организира изпълнението на неговите решения.</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3. Отговаря за воденото на книги за протоколите от заседанията на колективните си органи.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4. Провежда и следи за изпълнение на взетите от ОС решения.</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5. Сключва трудови и/или граждански договори със сътрудници и помощен персонал на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6. Съхранява архива и печата на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7. Организира дейността по плащането на членския внос и встъпителните вноски.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8. Отчита дейността си пред Управителния съвет.</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9. В отсъствие на Председателя или при невъзможност да изпълнява задълженията си, функциите по ал. 3 се осъществяват от Заместник председателя.</w:t>
      </w:r>
    </w:p>
    <w:p w:rsidR="009329C9" w:rsidRDefault="009329C9">
      <w:pPr>
        <w:spacing w:after="0"/>
        <w:ind w:right="-1"/>
        <w:jc w:val="both"/>
        <w:rPr>
          <w:rFonts w:ascii="Times New Roman" w:hAnsi="Times New Roman" w:cs="Times New Roman"/>
          <w:sz w:val="24"/>
          <w:szCs w:val="24"/>
          <w:lang w:val="en-US"/>
        </w:rPr>
      </w:pP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b/>
          <w:sz w:val="24"/>
          <w:szCs w:val="24"/>
        </w:rPr>
        <w:t>- описание на позициите и изискванията към изпълнителния директор и персонала.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Екипът на сдружението се състои от Изпълнителен директор, двама експерти по прилагане на дейностите по СВОМР , счетоводител и технически асистент,всички на пълен работен ден.</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b/>
          <w:sz w:val="24"/>
          <w:szCs w:val="24"/>
        </w:rPr>
        <w:t>Изпълнителният директор</w:t>
      </w:r>
      <w:r>
        <w:rPr>
          <w:rFonts w:ascii="Times New Roman" w:hAnsi="Times New Roman" w:cs="Times New Roman"/>
          <w:sz w:val="24"/>
          <w:szCs w:val="24"/>
        </w:rPr>
        <w:t xml:space="preserve"> на МИГ Свиленград Ареал се назначава от Управителния съвет като неговите правомощия и условия на наемане се определят в договор и на пълен работен ден.Основните му функции съгласно Устава предвиждат следното: Отговаря за прилагането на Стратегията за местно развитие съгласно изискванията на МЗХГ;Представлява Сдружението, доколкото е упълномощен от Председателя на Управителния съвет;Организира работата на персонала и експертите на Сдружението;Подпомага работата на комисията за избор на проекти;Изготвя проектите за годишни Програма и Бюджет и Отчетите за тях и ги внася в Управителния съвет;Предлага свикване на Общо събрание и Управителен съвет;Организира консултиране на потенциалните кандидати за финансиране; Организира изпълнение на мерките за информиране на общността;Изпълнява възложените му с договора или решения на Управителния съвет други функции. Съгласно т. 11 от „Насоките за кандидатстванеи условията за изпълнение на одобрените стратегии за ВОМР“ на  УО на ПРСР/23.06.2017 г. и Наредба 22/14.12.2015г. за прилагане на подмярка 19.2 „Прилагане на операции в рамките на стратегии за Водено от общностите местно развитие“ при избор на Изпълнителен директор се спазват следните изисквания: </w:t>
      </w:r>
    </w:p>
    <w:p w:rsidR="009329C9" w:rsidRDefault="00B5212B">
      <w:pPr>
        <w:pStyle w:val="af4"/>
        <w:numPr>
          <w:ilvl w:val="0"/>
          <w:numId w:val="23"/>
        </w:num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завършено висше образование най-малко степен „бакалавър“, </w:t>
      </w:r>
    </w:p>
    <w:p w:rsidR="009329C9" w:rsidRDefault="00B5212B">
      <w:pPr>
        <w:pStyle w:val="af4"/>
        <w:numPr>
          <w:ilvl w:val="0"/>
          <w:numId w:val="23"/>
        </w:num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професионален стаж минимум 5 години, </w:t>
      </w:r>
    </w:p>
    <w:p w:rsidR="009329C9" w:rsidRDefault="00B5212B">
      <w:pPr>
        <w:pStyle w:val="af4"/>
        <w:numPr>
          <w:ilvl w:val="0"/>
          <w:numId w:val="23"/>
        </w:num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управленски опит най-малко две години, </w:t>
      </w:r>
    </w:p>
    <w:p w:rsidR="009329C9" w:rsidRDefault="00B5212B">
      <w:pPr>
        <w:pStyle w:val="af4"/>
        <w:numPr>
          <w:ilvl w:val="0"/>
          <w:numId w:val="23"/>
        </w:num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опит в реализиране на проекти, програма или стратегия със стойност над 100 000 лева, финансирани от ЕС или от други международни донори. </w:t>
      </w:r>
    </w:p>
    <w:p w:rsidR="009329C9" w:rsidRDefault="009329C9">
      <w:pPr>
        <w:spacing w:after="0"/>
        <w:ind w:right="-1"/>
        <w:jc w:val="both"/>
        <w:rPr>
          <w:rFonts w:ascii="Times New Roman" w:hAnsi="Times New Roman" w:cs="Times New Roman"/>
          <w:sz w:val="24"/>
          <w:szCs w:val="24"/>
        </w:rPr>
      </w:pP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С оглед качественото изпълнение и управление на стратегията за местно развитие през периода 2014-2020г. МИГ Свиленград Ареал предвижда постоянен трудов договор на пълен работен ден да бъдат назначени служители на следните позиции:</w:t>
      </w:r>
    </w:p>
    <w:p w:rsidR="009329C9" w:rsidRDefault="009329C9">
      <w:pPr>
        <w:spacing w:after="0"/>
        <w:jc w:val="both"/>
        <w:rPr>
          <w:rFonts w:ascii="Times New Roman" w:hAnsi="Times New Roman" w:cs="Times New Roman"/>
          <w:b/>
          <w:sz w:val="24"/>
          <w:szCs w:val="24"/>
        </w:rPr>
      </w:pPr>
    </w:p>
    <w:p w:rsidR="009329C9" w:rsidRDefault="00B5212B">
      <w:pPr>
        <w:spacing w:after="0"/>
        <w:jc w:val="both"/>
        <w:rPr>
          <w:rFonts w:ascii="Times New Roman" w:hAnsi="Times New Roman" w:cs="Times New Roman"/>
          <w:b/>
          <w:sz w:val="24"/>
          <w:szCs w:val="24"/>
        </w:rPr>
      </w:pPr>
      <w:r>
        <w:rPr>
          <w:rFonts w:ascii="Times New Roman" w:hAnsi="Times New Roman" w:cs="Times New Roman"/>
          <w:b/>
          <w:sz w:val="24"/>
          <w:szCs w:val="24"/>
        </w:rPr>
        <w:t>Експерт по прилагане на стратегията за ВОМР– двама души на пълен работен ден.</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Експертът СМР работи по изпълнение на задачи, които са възложени от Изпълнителния директор в съответствие с целите за прилагане на СВОМР на територията и одобрения годишен </w:t>
      </w:r>
      <w:r>
        <w:rPr>
          <w:rFonts w:ascii="Times New Roman" w:eastAsia="Times New Roman" w:hAnsi="Times New Roman" w:cs="Times New Roman"/>
          <w:sz w:val="24"/>
          <w:szCs w:val="24"/>
        </w:rPr>
        <w:lastRenderedPageBreak/>
        <w:t>план на МИГ за управление на СВОМР. Основните дейности, които изпълняват експертите са свързани с информиране и консултиране на  потенциални получатели на финансиране, активно формулиране на препоръки за създаване и подобряване на конкретни практики в приоритетните области на стратегията, провеждане на мониторинг, изготвяне на обобщени междинни отчети по напредъка на проектите, и изпълнението на СВОМР, подготовка на документация за кандидатстване, текуща и интензивна комуникация с потенциални бенефициенти и съответно УО на оперативните програми, подготовка на информационни и ресурсни материали за интернет страница и печатни материали по конкретни теми, поддържане на рубрика въпроси и отговори в интернет страницата на МИГ, изготвяне на експертни становища, фасилитиране и подпомагане работата на тематични групи ако се създадат, подготовка и провеждане на обществени обсъждания. От ЕСМР1 ще се очаква да следи текущо и да е отлично запознат с прилагането на Програма за развитие на селските райони 2014-2020г., Оперативна програма „Иновации и конкурентоспособност“ 2014-2020г. и Оперативна програма „Околна среда”, приложими в територията за различен кръг потенци</w:t>
      </w:r>
      <w:r>
        <w:rPr>
          <w:rFonts w:ascii="Times New Roman" w:hAnsi="Times New Roman" w:cs="Times New Roman"/>
          <w:sz w:val="24"/>
          <w:szCs w:val="24"/>
        </w:rPr>
        <w:t>ални получатели, а от ЕСМР2 – същото за  ОП „</w:t>
      </w:r>
      <w:r>
        <w:rPr>
          <w:rFonts w:ascii="Times New Roman" w:eastAsia="Times New Roman" w:hAnsi="Times New Roman" w:cs="Times New Roman"/>
          <w:sz w:val="24"/>
          <w:szCs w:val="24"/>
        </w:rPr>
        <w:t>Развитие на човешките ресурси“ 2014-2020г. и Оперативна програма „Наука и образование за интелигентен растеж“ 2014-2020г.</w:t>
      </w:r>
    </w:p>
    <w:p w:rsidR="009329C9" w:rsidRDefault="00B5212B">
      <w:pPr>
        <w:spacing w:after="0"/>
        <w:jc w:val="both"/>
        <w:rPr>
          <w:rFonts w:ascii="Times New Roman" w:hAnsi="Times New Roman" w:cs="Times New Roman"/>
          <w:sz w:val="24"/>
          <w:szCs w:val="24"/>
        </w:rPr>
      </w:pPr>
      <w:r>
        <w:rPr>
          <w:rFonts w:ascii="Times New Roman" w:hAnsi="Times New Roman" w:cs="Times New Roman"/>
          <w:sz w:val="24"/>
          <w:szCs w:val="24"/>
        </w:rPr>
        <w:t>Според изискванията на т. 11 от „Насоките за кандидатстване и условията за изпълнение на одобрените стратегии за ВОМР“ на  УО на ПРСР/23.06.2017 г експертите по прилагане на Стратегията за ВОМР трябва да имат:</w:t>
      </w:r>
    </w:p>
    <w:p w:rsidR="009329C9" w:rsidRDefault="00B5212B">
      <w:pPr>
        <w:pStyle w:val="af4"/>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завършено висше образование, най-малко степе „бакалавър“</w:t>
      </w:r>
    </w:p>
    <w:p w:rsidR="009329C9" w:rsidRDefault="00B5212B">
      <w:pPr>
        <w:pStyle w:val="af4"/>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професионален стаж най-малко 2 години</w:t>
      </w:r>
    </w:p>
    <w:p w:rsidR="009329C9" w:rsidRDefault="009329C9">
      <w:pPr>
        <w:spacing w:after="0"/>
        <w:jc w:val="both"/>
        <w:rPr>
          <w:rFonts w:ascii="Times New Roman" w:hAnsi="Times New Roman" w:cs="Times New Roman"/>
          <w:sz w:val="24"/>
          <w:szCs w:val="24"/>
        </w:rPr>
      </w:pPr>
    </w:p>
    <w:p w:rsidR="009329C9" w:rsidRDefault="00B5212B">
      <w:pPr>
        <w:spacing w:after="0"/>
        <w:jc w:val="both"/>
        <w:rPr>
          <w:rFonts w:ascii="Times New Roman" w:hAnsi="Times New Roman" w:cs="Times New Roman"/>
          <w:b/>
          <w:sz w:val="24"/>
          <w:szCs w:val="24"/>
        </w:rPr>
      </w:pPr>
      <w:r>
        <w:rPr>
          <w:rFonts w:ascii="Times New Roman" w:hAnsi="Times New Roman" w:cs="Times New Roman"/>
          <w:b/>
          <w:sz w:val="24"/>
          <w:szCs w:val="24"/>
        </w:rPr>
        <w:t>Счетоводителна пълен работен ден.</w:t>
      </w:r>
    </w:p>
    <w:p w:rsidR="009329C9" w:rsidRDefault="00B5212B">
      <w:pPr>
        <w:spacing w:after="0"/>
        <w:jc w:val="both"/>
        <w:rPr>
          <w:rFonts w:ascii="Times New Roman" w:hAnsi="Times New Roman" w:cs="Times New Roman"/>
          <w:sz w:val="24"/>
          <w:szCs w:val="24"/>
        </w:rPr>
      </w:pPr>
      <w:r>
        <w:rPr>
          <w:rFonts w:ascii="Times New Roman" w:hAnsi="Times New Roman" w:cs="Times New Roman"/>
          <w:sz w:val="24"/>
          <w:szCs w:val="24"/>
        </w:rPr>
        <w:t xml:space="preserve">Счетоводителят (С) следи за разходването и управлението на средствата на МИГ, както и на средствата за прилагане на СВОМР, в съответствие с: българските счетоводни стандарти, изисквания за отчетност и управление на средства на организации, регистрирани в обществено полезна дейност; изискванията на Разплащателната агенция, Управляващия орган на ПРСР 2014-2020г. и УО на другите ОП; следи и упражнява контрол по формата и начина на използване на планираните средства в съответствие с одобрения бюджет на МИГ по мярка 19.4 (Текущи разходи и популяризиране на СВОМР); следи и упражнява контрол за използване на разходи по допустимост и в рамките на одобрения план и бюджет на получателите на финансиране по СВОМР в рамките на функциите за мониторинг на МИГ; следи за оформянето и подаването на искания за предоставяне на средства; подготвя и следи за представянето на финансови отчети в срок до ПРСР и другите ОП в съответствие с формалните изисквания, форми и указания, подадени от тях; участва в разработване на годишни планове и бюджет необходим за управление на СВОМР;разработва процедури и правила за използване на средствата и взимане на решения по използването им в съответствие с добри практики за управление, практиките и изискванията на УО на ПРСР и другите ОП; оказва техническа помощ и консултиране на получатели на финансиране по СВОМР при подготовка на отчетни документи и искания за плащане; възлага задачи на Техническия асистент по проекта и следи за изпълнението им свързани с оформяне на документация; отговаря за изработването и прилагането на конкретни процедури и правила за архивиране на счетоводната отчетност; изготвя текущи отчети и информация за целите на управление за Изпълнителния директор за представяне пред УС и други органи на МИГ; изготвя всички годишни отчети за целите на отчитане като организация в обществено полезна дейност пред МП; подготвя финансовата </w:t>
      </w:r>
      <w:r>
        <w:rPr>
          <w:rFonts w:ascii="Times New Roman" w:hAnsi="Times New Roman" w:cs="Times New Roman"/>
          <w:sz w:val="24"/>
          <w:szCs w:val="24"/>
        </w:rPr>
        <w:lastRenderedPageBreak/>
        <w:t>част на годишния отчет за целите на публикуване на интернет страница и печатни документи.</w:t>
      </w:r>
    </w:p>
    <w:p w:rsidR="009329C9" w:rsidRDefault="00B5212B">
      <w:pPr>
        <w:spacing w:after="0"/>
        <w:jc w:val="both"/>
        <w:rPr>
          <w:rFonts w:ascii="Times New Roman" w:hAnsi="Times New Roman" w:cs="Times New Roman"/>
          <w:sz w:val="24"/>
          <w:szCs w:val="24"/>
        </w:rPr>
      </w:pPr>
      <w:r>
        <w:rPr>
          <w:rFonts w:ascii="Times New Roman" w:hAnsi="Times New Roman" w:cs="Times New Roman"/>
          <w:sz w:val="24"/>
          <w:szCs w:val="24"/>
        </w:rPr>
        <w:t>За длъжността Счетоводител, според т.11 от „Насоките за кандидатстване и условията за изпълнение на одобрените стратегии за ВОМР“ на  УО на ПРСР/23.06.2017 г се прилагат изискванията на чл.18 от Закона за счетоводството, без да се изисква изпълнение на изискванията за длъжност „експерт“.</w:t>
      </w:r>
    </w:p>
    <w:p w:rsidR="009329C9" w:rsidRDefault="009329C9">
      <w:pPr>
        <w:spacing w:after="0"/>
        <w:jc w:val="both"/>
        <w:rPr>
          <w:rFonts w:ascii="Times New Roman" w:eastAsia="Times New Roman" w:hAnsi="Times New Roman" w:cs="Times New Roman"/>
          <w:sz w:val="24"/>
          <w:szCs w:val="24"/>
        </w:rPr>
      </w:pPr>
    </w:p>
    <w:p w:rsidR="009329C9" w:rsidRDefault="00B5212B">
      <w:pPr>
        <w:jc w:val="both"/>
        <w:rPr>
          <w:rFonts w:ascii="Times New Roman" w:hAnsi="Times New Roman" w:cs="Times New Roman"/>
          <w:sz w:val="24"/>
          <w:szCs w:val="24"/>
        </w:rPr>
      </w:pPr>
      <w:r>
        <w:rPr>
          <w:rFonts w:ascii="Times New Roman" w:hAnsi="Times New Roman" w:cs="Times New Roman"/>
          <w:b/>
          <w:sz w:val="24"/>
          <w:szCs w:val="24"/>
        </w:rPr>
        <w:t xml:space="preserve">Технически асистентна пълен работен ден - </w:t>
      </w:r>
      <w:r>
        <w:rPr>
          <w:rFonts w:ascii="Times New Roman" w:eastAsia="Times New Roman" w:hAnsi="Times New Roman" w:cs="Times New Roman"/>
          <w:sz w:val="24"/>
          <w:szCs w:val="24"/>
        </w:rPr>
        <w:t>Асистентът работи по изпълнението на задачите, които са му възложени от Изпълнителния директор и/или екипа от експерти в МИГ</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Основните задачи, </w:t>
      </w:r>
      <w:r>
        <w:rPr>
          <w:rFonts w:ascii="Times New Roman" w:hAnsi="Times New Roman" w:cs="Times New Roman"/>
          <w:sz w:val="24"/>
          <w:szCs w:val="24"/>
        </w:rPr>
        <w:t>които</w:t>
      </w:r>
      <w:r>
        <w:rPr>
          <w:rFonts w:ascii="Times New Roman" w:eastAsia="Times New Roman" w:hAnsi="Times New Roman" w:cs="Times New Roman"/>
          <w:sz w:val="24"/>
          <w:szCs w:val="24"/>
        </w:rPr>
        <w:t xml:space="preserve"> изпълнява, са свързани с организиране на срещи, събиране и осигуряване на информация, организиране на документация в електронен и хартиен формат, текуща и интензивна комуникация с хора, водене на протоколи, обобщаване на информация, поддържане на база данни, поддържане</w:t>
      </w:r>
      <w:r>
        <w:rPr>
          <w:rFonts w:ascii="Times New Roman" w:hAnsi="Times New Roman" w:cs="Times New Roman"/>
          <w:sz w:val="24"/>
          <w:szCs w:val="24"/>
        </w:rPr>
        <w:t xml:space="preserve"> и управление на офис; асистентът </w:t>
      </w:r>
      <w:r>
        <w:rPr>
          <w:rFonts w:ascii="Times New Roman" w:eastAsia="Times New Roman" w:hAnsi="Times New Roman" w:cs="Times New Roman"/>
          <w:sz w:val="24"/>
          <w:szCs w:val="24"/>
        </w:rPr>
        <w:t>не участва в изпълнение на функциите на екипа на МИГ с взимане на решения, освен в рамките на задачи, които са изрично договорени по отношение на управлението и набавянето на офис материали, закупуване на консумативи и управлението и архивиране на информацията, свързана с отчитане на дейности, регистриране на заявления при кандидатстване с проекти и др.</w:t>
      </w:r>
      <w:r>
        <w:rPr>
          <w:rFonts w:ascii="Times New Roman" w:hAnsi="Times New Roman" w:cs="Times New Roman"/>
          <w:sz w:val="24"/>
          <w:szCs w:val="24"/>
        </w:rPr>
        <w:t xml:space="preserve">; </w:t>
      </w:r>
      <w:r>
        <w:rPr>
          <w:rFonts w:ascii="Times New Roman" w:eastAsia="Times New Roman" w:hAnsi="Times New Roman" w:cs="Times New Roman"/>
          <w:sz w:val="24"/>
          <w:szCs w:val="24"/>
        </w:rPr>
        <w:t>има ролята и на лице за контакт, като отговаря на обаждания в офиса на МИГ, координира и регистрира подаване на искания за информация от страна на представители на територията към МИГ и поддържа електронната комуникаци</w:t>
      </w:r>
      <w:r>
        <w:rPr>
          <w:rFonts w:ascii="Times New Roman" w:hAnsi="Times New Roman" w:cs="Times New Roman"/>
          <w:sz w:val="24"/>
          <w:szCs w:val="24"/>
        </w:rPr>
        <w:t xml:space="preserve">я от страна на офиса като цяло.; </w:t>
      </w:r>
      <w:r>
        <w:rPr>
          <w:rFonts w:ascii="Times New Roman" w:eastAsia="Times New Roman" w:hAnsi="Times New Roman" w:cs="Times New Roman"/>
          <w:sz w:val="24"/>
          <w:szCs w:val="24"/>
        </w:rPr>
        <w:t>ще изпълнява ролята на „касиер” в съответствие с правила и форми предоставени от счетоводителя на МИГ  и съгласувани с Изпълни</w:t>
      </w:r>
      <w:r>
        <w:rPr>
          <w:rFonts w:ascii="Times New Roman" w:hAnsi="Times New Roman" w:cs="Times New Roman"/>
          <w:sz w:val="24"/>
          <w:szCs w:val="24"/>
        </w:rPr>
        <w:t xml:space="preserve">телния Директор.; </w:t>
      </w:r>
      <w:r>
        <w:rPr>
          <w:rFonts w:ascii="Times New Roman" w:eastAsia="Times New Roman" w:hAnsi="Times New Roman" w:cs="Times New Roman"/>
          <w:sz w:val="24"/>
          <w:szCs w:val="24"/>
        </w:rPr>
        <w:t>подпомага работата на ИД, експертите по стратегията и счетоводителя на МИГ</w:t>
      </w:r>
      <w:r>
        <w:rPr>
          <w:rFonts w:ascii="Times New Roman" w:hAnsi="Times New Roman" w:cs="Times New Roman"/>
          <w:sz w:val="24"/>
          <w:szCs w:val="24"/>
        </w:rPr>
        <w:t xml:space="preserve">. </w:t>
      </w:r>
    </w:p>
    <w:p w:rsidR="009329C9" w:rsidRDefault="00B5212B">
      <w:pPr>
        <w:jc w:val="both"/>
        <w:rPr>
          <w:rFonts w:ascii="Times New Roman" w:eastAsia="Times New Roman" w:hAnsi="Times New Roman" w:cs="Times New Roman"/>
          <w:sz w:val="24"/>
          <w:szCs w:val="24"/>
          <w:lang w:val="ru-RU"/>
        </w:rPr>
      </w:pPr>
      <w:r>
        <w:rPr>
          <w:rFonts w:ascii="Times New Roman" w:hAnsi="Times New Roman" w:cs="Times New Roman"/>
          <w:sz w:val="24"/>
          <w:szCs w:val="24"/>
        </w:rPr>
        <w:t>Допълнително ще бъдат наемани на граждански договори външни експерти запознати с прилагането на мерките по различните програми в Стратегията.</w:t>
      </w:r>
    </w:p>
    <w:p w:rsidR="009329C9" w:rsidRDefault="00B5212B">
      <w:pPr>
        <w:pStyle w:val="2"/>
        <w:spacing w:before="0"/>
        <w:ind w:right="-1"/>
        <w:jc w:val="both"/>
        <w:rPr>
          <w:rFonts w:ascii="Times New Roman" w:hAnsi="Times New Roman" w:cs="Times New Roman"/>
          <w:b/>
          <w:color w:val="auto"/>
          <w:sz w:val="24"/>
          <w:szCs w:val="24"/>
        </w:rPr>
      </w:pPr>
      <w:bookmarkStart w:id="51" w:name="_Toc448392297"/>
      <w:bookmarkStart w:id="52" w:name="_Toc449349442"/>
      <w:r>
        <w:rPr>
          <w:rFonts w:ascii="Times New Roman" w:hAnsi="Times New Roman" w:cs="Times New Roman"/>
          <w:b/>
          <w:color w:val="auto"/>
          <w:sz w:val="24"/>
          <w:szCs w:val="24"/>
        </w:rPr>
        <w:t>8.3. Капацитет на местната инициативна група да изпълни стратегията за ВОМР:</w:t>
      </w:r>
      <w:bookmarkEnd w:id="51"/>
      <w:bookmarkEnd w:id="52"/>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С цел спазването на изискванията на т. 11 от „Насоките за кандидатстване и условията за изпълнение на одобрените стратегии за ВОМР“ на  УО на ПРСР/23.06.2017 г  и  чл. 13, ал.1, т. 1 на Наредба 22/14.12.2015г. за прилагане на подмярка 19.2 „Прилагане на операции в рамките на стратегии за Водено от общностите местно развитие“ за осигуряване на самостоятелен офис на МИГ има сключенидва договора за помещения намиращи се в град Свиленград. Единият договор осигурява </w:t>
      </w:r>
      <w:r>
        <w:rPr>
          <w:rFonts w:ascii="Times New Roman" w:hAnsi="Times New Roman" w:cs="Times New Roman"/>
          <w:b/>
          <w:sz w:val="24"/>
          <w:szCs w:val="24"/>
        </w:rPr>
        <w:t>помещение, предназначено за работно за екипа</w:t>
      </w:r>
      <w:r>
        <w:rPr>
          <w:rFonts w:ascii="Times New Roman" w:hAnsi="Times New Roman" w:cs="Times New Roman"/>
          <w:sz w:val="24"/>
          <w:szCs w:val="24"/>
        </w:rPr>
        <w:t xml:space="preserve"> за управление, а другият договор осигурява </w:t>
      </w:r>
      <w:r>
        <w:rPr>
          <w:rFonts w:ascii="Times New Roman" w:hAnsi="Times New Roman" w:cs="Times New Roman"/>
          <w:b/>
          <w:sz w:val="24"/>
          <w:szCs w:val="24"/>
        </w:rPr>
        <w:t>помещение, което е място за срещи и заседания</w:t>
      </w:r>
      <w:r>
        <w:rPr>
          <w:rFonts w:ascii="Times New Roman" w:hAnsi="Times New Roman" w:cs="Times New Roman"/>
          <w:sz w:val="24"/>
          <w:szCs w:val="24"/>
        </w:rPr>
        <w:t>, както и архивно помещение. Работното помещение на екипа е достъпно за хора с увреждания.За всеки служител има осигурено необходимото офис оборудване, обзавеждане и техника, в това число, пет бюра, компютър за всеки служител, един принтер и едно мултифункционално устройство.</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По отношение на </w:t>
      </w:r>
      <w:r>
        <w:rPr>
          <w:rFonts w:ascii="Times New Roman" w:hAnsi="Times New Roman" w:cs="Times New Roman"/>
          <w:b/>
          <w:sz w:val="24"/>
          <w:szCs w:val="24"/>
        </w:rPr>
        <w:t>административния капацитет,</w:t>
      </w:r>
      <w:r>
        <w:rPr>
          <w:rFonts w:ascii="Times New Roman" w:hAnsi="Times New Roman" w:cs="Times New Roman"/>
          <w:sz w:val="24"/>
          <w:szCs w:val="24"/>
        </w:rPr>
        <w:t>МИГ има изпълнен проект за подготовка на Стратегия за местно развитие под мярка 431-2 „Придобиване на умения и постигане на обществена активност" от П</w:t>
      </w:r>
      <w:r>
        <w:rPr>
          <w:rFonts w:ascii="Times New Roman" w:hAnsi="Times New Roman" w:cs="Times New Roman"/>
          <w:sz w:val="24"/>
          <w:szCs w:val="24"/>
          <w:lang w:val="en-US" w:eastAsia="en-US"/>
        </w:rPr>
        <w:t xml:space="preserve">PCP </w:t>
      </w:r>
      <w:r>
        <w:rPr>
          <w:rFonts w:ascii="Times New Roman" w:hAnsi="Times New Roman" w:cs="Times New Roman"/>
          <w:sz w:val="24"/>
          <w:szCs w:val="24"/>
        </w:rPr>
        <w:t>2007 - 2013 г.</w:t>
      </w:r>
    </w:p>
    <w:p w:rsidR="009329C9" w:rsidRDefault="00B5212B">
      <w:pPr>
        <w:pStyle w:val="15"/>
        <w:shd w:val="clear" w:color="auto" w:fill="auto"/>
        <w:spacing w:before="0" w:after="0" w:line="276" w:lineRule="auto"/>
        <w:ind w:right="20" w:firstLine="0"/>
        <w:rPr>
          <w:sz w:val="24"/>
          <w:szCs w:val="24"/>
        </w:rPr>
      </w:pPr>
      <w:r>
        <w:t xml:space="preserve">В Управителните органи на МИГ и в Общото събрание са включени хора с добри познания на процесите на финансиране от фондове от ЕСи с опит в кандидатстването и изпълнението на проекти по националните програми, които участваха и активно в процесите по разработване на стратегията за местно развитие. Управителните органи </w:t>
      </w:r>
      <w:r>
        <w:rPr>
          <w:sz w:val="24"/>
          <w:szCs w:val="24"/>
          <w:lang w:val="ru-RU"/>
        </w:rPr>
        <w:t xml:space="preserve">периодично ще извършват изследвания и </w:t>
      </w:r>
      <w:r>
        <w:rPr>
          <w:sz w:val="24"/>
          <w:szCs w:val="24"/>
          <w:lang w:val="ru-RU"/>
        </w:rPr>
        <w:lastRenderedPageBreak/>
        <w:t>оценки  за балансирано прилагане на стратегията на МИГ  и една окончателна оценка - в годината на приключване на СВОМР. Оценките ще бъдат възложени на външни експерти. При необходимост с решение на УС ще бъде извършван годишен счетоводен одит от независим експерт – счетоводител. Общите критерии, на базата на които ще се прави оценка са:</w:t>
      </w:r>
      <w:r>
        <w:rPr>
          <w:b/>
          <w:sz w:val="24"/>
          <w:szCs w:val="24"/>
          <w:lang w:val="ru-RU"/>
        </w:rPr>
        <w:t>публичност; ефикасност; степен на въздействие върху местните общности; и др</w:t>
      </w:r>
      <w:r>
        <w:rPr>
          <w:sz w:val="24"/>
          <w:szCs w:val="24"/>
          <w:lang w:val="ru-RU"/>
        </w:rPr>
        <w:t>. Междинните оценки и изследвания ще включват и анализ на възникналите положителни и отрицателни тенденции, като на тази база може да бъде предложено преразпределението на публичния принос по мерките.</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За успешното изпълнение на СВОМР – МИГ Свиленград ареал гарантира чрез </w:t>
      </w:r>
      <w:r>
        <w:rPr>
          <w:rFonts w:ascii="Times New Roman" w:hAnsi="Times New Roman" w:cs="Times New Roman"/>
          <w:b/>
          <w:sz w:val="24"/>
          <w:szCs w:val="24"/>
        </w:rPr>
        <w:t>екипа за управление</w:t>
      </w:r>
      <w:r>
        <w:rPr>
          <w:rFonts w:ascii="Times New Roman" w:hAnsi="Times New Roman" w:cs="Times New Roman"/>
          <w:sz w:val="24"/>
          <w:szCs w:val="24"/>
        </w:rPr>
        <w:t xml:space="preserve">, който е с богат опит в разработването и изпълнението на проекти по различните оперативни програми. </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Изпълнителен директор – Милена Янева Стефанова-Георгиева.</w:t>
      </w:r>
      <w:r>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администрация Свиленград, активно участва в дейноста на МИГ „Свиленград Ареал“ от началото на създаването му. Била е Началник на отдел „Местно икономическо развитие, проект и програми” в Общинска администрация, Свиленград, в рамките на две години и три месеца, ръководител на много проекти финансирани от различни програми в това число Програма за развитие на селските райони 2007-2013, Оперативна програма Регионално развитие, Програмите за трансгранично сътрудничество Гърция- България 2007-2013 и България-Турция 2007-2013, </w:t>
      </w:r>
      <w:r>
        <w:rPr>
          <w:rFonts w:ascii="Times New Roman" w:eastAsia="Times New Roman" w:hAnsi="Times New Roman" w:cs="Times New Roman"/>
          <w:sz w:val="24"/>
          <w:szCs w:val="24"/>
        </w:rPr>
        <w:t>Финансов механизъм на Европейското икономическо пространство 2009-2014г.</w:t>
      </w:r>
      <w:r>
        <w:rPr>
          <w:rFonts w:ascii="Times New Roman" w:hAnsi="Times New Roman" w:cs="Times New Roman"/>
          <w:sz w:val="24"/>
          <w:szCs w:val="24"/>
        </w:rPr>
        <w:t xml:space="preserve"> с Програмен оператор Министерство на културата.Участвала като член на екип по управление на проект по Оперативна програма Околна среда 2007- 2013г.Управител на частна фирма ММ Проджектс ООД, която се занимава с подготовка и изпълнение на проекти. Фирмата е регистрирана и работи от 2012г. до момента. Участвала в сформирането на МИГ „Свиленград Ареал“ и от 2010 до 2016г. е била член на сдружението. </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Експерт СМР 1 -  Елена Недкова Таушанова</w:t>
      </w:r>
      <w:r>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администрация, Свиленград, активно участва в дейноста на МИГ „Свиленград Ареал“ от началото на създаването му. През периода 2007-2013г. е избрана за Изпълнителен директор на МИГ. Била е ръководител на проекти и член на екипи по изпълнение на различни програми в това число Програма за развитие на селските райони 2007-2013, Оперативна програма Регионално развитие 2007-2013г., Оперативна програма Околна среда 2007- 2013г., Оперативна програма „Региони в растеж“. </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Експерт СМР 2 -  Мима Димитрова Шомова</w:t>
      </w:r>
      <w:r>
        <w:rPr>
          <w:rFonts w:ascii="Times New Roman" w:hAnsi="Times New Roman" w:cs="Times New Roman"/>
          <w:sz w:val="24"/>
          <w:szCs w:val="24"/>
        </w:rPr>
        <w:t xml:space="preserve">. Единадесет години е работила като начален учител, шест години работи като експерт култура и туризъм в общинска администрация, Свиленград. Била е член на екипа на проекти, реализирани от общината в сферата на организиране на различни събития. Била е координатор на проект по ОП„Развитие на човешките ресурси“ 2007-2013г.; Ръководител е на проект по ОП „Наука и образование за интелигентен растеж“. </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 xml:space="preserve">Технически асистент – Анна Михайлова Терцева. </w:t>
      </w:r>
      <w:r>
        <w:rPr>
          <w:rFonts w:ascii="Times New Roman" w:hAnsi="Times New Roman" w:cs="Times New Roman"/>
          <w:sz w:val="24"/>
          <w:szCs w:val="24"/>
        </w:rPr>
        <w:t xml:space="preserve"> От десет години работи като експерт Проекти, програми и инвестиции в общинска администрация, Свиленград. Има опит в разработването и изпълнението на проекти. Била е координатор на два проекта и ръководител на един проект. Работила е по Програмата за европейско териториално сътрудничество Гърция- България 2007-2013 и по ОП„Административен капацитет.“</w:t>
      </w:r>
      <w:bookmarkStart w:id="53" w:name="_Toc449349443"/>
      <w:bookmarkStart w:id="54" w:name="_Toc448392298"/>
    </w:p>
    <w:p w:rsidR="009329C9" w:rsidRDefault="009329C9">
      <w:pPr>
        <w:tabs>
          <w:tab w:val="left" w:pos="284"/>
        </w:tabs>
        <w:spacing w:after="0"/>
        <w:ind w:right="-1"/>
        <w:jc w:val="both"/>
        <w:rPr>
          <w:rFonts w:ascii="Times New Roman" w:hAnsi="Times New Roman" w:cs="Times New Roman"/>
          <w:b/>
          <w:sz w:val="24"/>
          <w:szCs w:val="24"/>
        </w:rPr>
      </w:pP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lastRenderedPageBreak/>
        <w:t>За повишаване на административния капацитет</w:t>
      </w:r>
      <w:r>
        <w:rPr>
          <w:rFonts w:ascii="Times New Roman" w:hAnsi="Times New Roman" w:cs="Times New Roman"/>
          <w:sz w:val="24"/>
          <w:szCs w:val="24"/>
        </w:rPr>
        <w:t xml:space="preserve">, членовете от общото събрание на МИГ, Изпълнителният директор и експерт СМР 2 преминаха обучението, което бе проведено за СВОМР по мярка 19.1. Служителите от община Свиленград, които са в екипа за управление периодично преминават през обучения, свързани с изграждане на административен капацитет по управление на средствата от ЕС. Това гарантира наличие на административен капацитет и познаване на изискванията и нормативната база, с която ще работи МИГ.  </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Финансовата обезпеченост на средствата за управление на МИГ</w:t>
      </w:r>
      <w:r>
        <w:rPr>
          <w:rFonts w:ascii="Times New Roman" w:hAnsi="Times New Roman" w:cs="Times New Roman"/>
          <w:sz w:val="24"/>
          <w:szCs w:val="24"/>
        </w:rPr>
        <w:t xml:space="preserve"> се гарантират основно чрез отпускане на временна финансова помощ от страна на община Свиленград в размер до 3,5% т.е. до 35 000 лв.</w:t>
      </w:r>
    </w:p>
    <w:p w:rsidR="009329C9" w:rsidRDefault="009329C9">
      <w:pPr>
        <w:pStyle w:val="2"/>
        <w:rPr>
          <w:rFonts w:ascii="Times New Roman" w:hAnsi="Times New Roman" w:cs="Times New Roman"/>
          <w:b/>
          <w:color w:val="auto"/>
          <w:sz w:val="24"/>
          <w:szCs w:val="24"/>
        </w:rPr>
      </w:pPr>
    </w:p>
    <w:p w:rsidR="009329C9" w:rsidRDefault="00B5212B">
      <w:pPr>
        <w:pStyle w:val="2"/>
        <w:rPr>
          <w:rFonts w:ascii="Times New Roman" w:hAnsi="Times New Roman" w:cs="Times New Roman"/>
          <w:b/>
          <w:color w:val="auto"/>
          <w:sz w:val="24"/>
          <w:szCs w:val="24"/>
        </w:rPr>
      </w:pPr>
      <w:r>
        <w:rPr>
          <w:rFonts w:ascii="Times New Roman" w:hAnsi="Times New Roman" w:cs="Times New Roman"/>
          <w:b/>
          <w:color w:val="auto"/>
          <w:sz w:val="24"/>
          <w:szCs w:val="24"/>
        </w:rPr>
        <w:t>8.4. Описание на системата за мониторинг и оценка:</w:t>
      </w:r>
      <w:bookmarkEnd w:id="53"/>
      <w:bookmarkEnd w:id="54"/>
    </w:p>
    <w:p w:rsidR="009329C9" w:rsidRDefault="00B5212B">
      <w:pPr>
        <w:pStyle w:val="15"/>
        <w:shd w:val="clear" w:color="auto" w:fill="auto"/>
        <w:spacing w:before="0" w:after="0" w:line="276" w:lineRule="auto"/>
        <w:ind w:firstLine="0"/>
        <w:rPr>
          <w:sz w:val="24"/>
          <w:szCs w:val="24"/>
        </w:rPr>
      </w:pPr>
      <w:bookmarkStart w:id="55" w:name="_Toc449349444"/>
      <w:bookmarkStart w:id="56" w:name="_Toc448392299"/>
      <w:r>
        <w:rPr>
          <w:sz w:val="24"/>
          <w:szCs w:val="24"/>
        </w:rPr>
        <w:t xml:space="preserve">Мониторингът е дейност по систематичното и непрекъснато събиране, анализ и използване на информация с цел управленски контрол, идентифициране и предприемане на корективни действия при изпълнението на Стратегията за ВОМР на МИГ. Оценката се определя като периодична проверка на съответствието, ефективността, ефикасността, въздействието, икономическата </w:t>
      </w:r>
      <w:r>
        <w:rPr>
          <w:rStyle w:val="af6"/>
          <w:sz w:val="24"/>
          <w:szCs w:val="24"/>
        </w:rPr>
        <w:t>и финансова жизнеспособност и устойчивостта на Стратегията за ВОМР на МИГ в контекста на планираните цели. Целите при осъществяването на мониторинг и оценка са:</w:t>
      </w:r>
    </w:p>
    <w:p w:rsidR="009329C9" w:rsidRDefault="00B5212B">
      <w:pPr>
        <w:pStyle w:val="15"/>
        <w:numPr>
          <w:ilvl w:val="0"/>
          <w:numId w:val="28"/>
        </w:numPr>
        <w:shd w:val="clear" w:color="auto" w:fill="auto"/>
        <w:tabs>
          <w:tab w:val="left" w:pos="153"/>
        </w:tabs>
        <w:spacing w:before="0" w:after="0" w:line="276" w:lineRule="auto"/>
        <w:ind w:firstLine="0"/>
        <w:rPr>
          <w:sz w:val="24"/>
          <w:szCs w:val="24"/>
        </w:rPr>
      </w:pPr>
      <w:r>
        <w:rPr>
          <w:sz w:val="24"/>
          <w:szCs w:val="24"/>
        </w:rPr>
        <w:t>Да бъде събрана и систематизирана информация, с цел улесняване на последващото управление, развитие и приоритизация на дейностите по Стратегията.</w:t>
      </w:r>
    </w:p>
    <w:p w:rsidR="009329C9" w:rsidRDefault="00B5212B">
      <w:pPr>
        <w:pStyle w:val="15"/>
        <w:numPr>
          <w:ilvl w:val="0"/>
          <w:numId w:val="28"/>
        </w:numPr>
        <w:shd w:val="clear" w:color="auto" w:fill="auto"/>
        <w:tabs>
          <w:tab w:val="left" w:pos="157"/>
        </w:tabs>
        <w:spacing w:before="0" w:after="0" w:line="276" w:lineRule="auto"/>
        <w:ind w:firstLine="0"/>
        <w:rPr>
          <w:sz w:val="24"/>
          <w:szCs w:val="24"/>
        </w:rPr>
      </w:pPr>
      <w:r>
        <w:rPr>
          <w:sz w:val="24"/>
          <w:szCs w:val="24"/>
        </w:rPr>
        <w:t>Да бъдат определени вероятните слабости или рискове в изпълнението на индивидуалните проекти;</w:t>
      </w:r>
    </w:p>
    <w:p w:rsidR="009329C9" w:rsidRDefault="00B5212B">
      <w:pPr>
        <w:pStyle w:val="15"/>
        <w:numPr>
          <w:ilvl w:val="0"/>
          <w:numId w:val="28"/>
        </w:numPr>
        <w:shd w:val="clear" w:color="auto" w:fill="auto"/>
        <w:tabs>
          <w:tab w:val="left" w:pos="157"/>
        </w:tabs>
        <w:spacing w:before="0" w:after="0" w:line="276" w:lineRule="auto"/>
        <w:ind w:firstLine="0"/>
        <w:rPr>
          <w:sz w:val="24"/>
          <w:szCs w:val="24"/>
        </w:rPr>
      </w:pPr>
      <w:r>
        <w:rPr>
          <w:sz w:val="24"/>
          <w:szCs w:val="24"/>
        </w:rPr>
        <w:t>Да бъде подпомогнато въвеждането на корективни мерки, коиго да отстранят слабостите в хода на изпълнение на индивидуалните проекти и предотвратен риска от възникване на нередности, по-специално касаещи финансовото управление;</w:t>
      </w:r>
    </w:p>
    <w:p w:rsidR="009329C9" w:rsidRDefault="00B5212B">
      <w:pPr>
        <w:pStyle w:val="15"/>
        <w:shd w:val="clear" w:color="auto" w:fill="auto"/>
        <w:spacing w:before="0" w:after="0" w:line="276" w:lineRule="auto"/>
        <w:ind w:firstLine="0"/>
        <w:rPr>
          <w:sz w:val="24"/>
          <w:szCs w:val="24"/>
        </w:rPr>
      </w:pPr>
      <w:r>
        <w:rPr>
          <w:sz w:val="24"/>
          <w:szCs w:val="24"/>
        </w:rPr>
        <w:t>Процедурите за извършване на редовния мониторинг, свързаните с тях проверки за съвместимост и докладване на изпълнението на Стратегията за ВОМР и индивидуалните проекти са разработени от експертния екип са съобразени с нормативната уредба.</w:t>
      </w:r>
    </w:p>
    <w:p w:rsidR="009329C9" w:rsidRDefault="00B5212B">
      <w:pPr>
        <w:pStyle w:val="15"/>
        <w:shd w:val="clear" w:color="auto" w:fill="auto"/>
        <w:spacing w:before="0" w:after="0" w:line="276" w:lineRule="auto"/>
        <w:ind w:firstLine="0"/>
        <w:rPr>
          <w:sz w:val="24"/>
          <w:szCs w:val="24"/>
        </w:rPr>
      </w:pPr>
      <w:r>
        <w:rPr>
          <w:sz w:val="24"/>
          <w:szCs w:val="24"/>
        </w:rPr>
        <w:t>МИГ ще приложи тези изисквания и процедури в зависимост от начина на осъществяване на мониторинг</w:t>
      </w:r>
      <w:r>
        <w:rPr>
          <w:rStyle w:val="11pt2"/>
          <w:rFonts w:ascii="Times New Roman" w:hAnsi="Times New Roman" w:cs="Times New Roman"/>
          <w:sz w:val="24"/>
          <w:szCs w:val="24"/>
        </w:rPr>
        <w:t>(вътрешен и външен).</w:t>
      </w:r>
    </w:p>
    <w:p w:rsidR="009329C9" w:rsidRDefault="00B5212B">
      <w:pPr>
        <w:pStyle w:val="15"/>
        <w:numPr>
          <w:ilvl w:val="1"/>
          <w:numId w:val="28"/>
        </w:numPr>
        <w:shd w:val="clear" w:color="auto" w:fill="auto"/>
        <w:tabs>
          <w:tab w:val="left" w:pos="250"/>
        </w:tabs>
        <w:spacing w:before="0" w:after="0" w:line="276" w:lineRule="auto"/>
        <w:ind w:firstLine="0"/>
        <w:rPr>
          <w:sz w:val="24"/>
          <w:szCs w:val="24"/>
        </w:rPr>
      </w:pPr>
      <w:r>
        <w:rPr>
          <w:rStyle w:val="11pt2"/>
          <w:rFonts w:ascii="Times New Roman" w:hAnsi="Times New Roman" w:cs="Times New Roman"/>
          <w:b/>
          <w:sz w:val="24"/>
          <w:szCs w:val="24"/>
        </w:rPr>
        <w:t>Вътрешен мониторинг</w:t>
      </w:r>
      <w:r>
        <w:rPr>
          <w:sz w:val="24"/>
          <w:szCs w:val="24"/>
        </w:rPr>
        <w:t xml:space="preserve"> - на ниво Стратегия за ВОМР и индивидуални проекти, осъществен от екипа на управление на МИГ/, насочен към:</w:t>
      </w:r>
    </w:p>
    <w:p w:rsidR="009329C9" w:rsidRDefault="00B5212B">
      <w:pPr>
        <w:pStyle w:val="15"/>
        <w:numPr>
          <w:ilvl w:val="0"/>
          <w:numId w:val="28"/>
        </w:numPr>
        <w:shd w:val="clear" w:color="auto" w:fill="auto"/>
        <w:tabs>
          <w:tab w:val="left" w:pos="168"/>
        </w:tabs>
        <w:spacing w:before="0" w:after="0" w:line="276" w:lineRule="auto"/>
        <w:ind w:firstLine="0"/>
        <w:rPr>
          <w:sz w:val="24"/>
          <w:szCs w:val="24"/>
        </w:rPr>
      </w:pPr>
      <w:r>
        <w:rPr>
          <w:sz w:val="24"/>
          <w:szCs w:val="24"/>
        </w:rPr>
        <w:t>Цялостното наблюдение по изпълнението на местната стратегия за развитие и всеки индивидуален проект;</w:t>
      </w:r>
    </w:p>
    <w:p w:rsidR="009329C9" w:rsidRDefault="00B5212B">
      <w:pPr>
        <w:pStyle w:val="15"/>
        <w:numPr>
          <w:ilvl w:val="0"/>
          <w:numId w:val="28"/>
        </w:numPr>
        <w:shd w:val="clear" w:color="auto" w:fill="auto"/>
        <w:tabs>
          <w:tab w:val="left" w:pos="171"/>
        </w:tabs>
        <w:spacing w:before="0" w:after="0" w:line="276" w:lineRule="auto"/>
        <w:ind w:firstLine="0"/>
        <w:rPr>
          <w:sz w:val="24"/>
          <w:szCs w:val="24"/>
        </w:rPr>
      </w:pPr>
      <w:r>
        <w:rPr>
          <w:sz w:val="24"/>
          <w:szCs w:val="24"/>
        </w:rPr>
        <w:t>Разработване и прилагане на процедури за откриване и докладване на нередности;</w:t>
      </w:r>
    </w:p>
    <w:p w:rsidR="009329C9" w:rsidRDefault="00B5212B">
      <w:pPr>
        <w:pStyle w:val="15"/>
        <w:numPr>
          <w:ilvl w:val="0"/>
          <w:numId w:val="28"/>
        </w:numPr>
        <w:shd w:val="clear" w:color="auto" w:fill="auto"/>
        <w:tabs>
          <w:tab w:val="left" w:pos="164"/>
        </w:tabs>
        <w:spacing w:before="0" w:after="0" w:line="276" w:lineRule="auto"/>
        <w:ind w:firstLine="0"/>
        <w:rPr>
          <w:sz w:val="24"/>
          <w:szCs w:val="24"/>
        </w:rPr>
      </w:pPr>
      <w:r>
        <w:rPr>
          <w:sz w:val="24"/>
          <w:szCs w:val="24"/>
        </w:rPr>
        <w:t>Отчитане на всички индикатори за наблюдение, изисквани от Управляващите органи и заложени в Стратегията;</w:t>
      </w:r>
    </w:p>
    <w:p w:rsidR="009329C9" w:rsidRDefault="00B5212B">
      <w:pPr>
        <w:pStyle w:val="15"/>
        <w:numPr>
          <w:ilvl w:val="0"/>
          <w:numId w:val="28"/>
        </w:numPr>
        <w:shd w:val="clear" w:color="auto" w:fill="auto"/>
        <w:tabs>
          <w:tab w:val="left" w:pos="171"/>
        </w:tabs>
        <w:spacing w:before="0" w:after="0" w:line="276" w:lineRule="auto"/>
        <w:ind w:firstLine="0"/>
        <w:rPr>
          <w:sz w:val="24"/>
          <w:szCs w:val="24"/>
        </w:rPr>
      </w:pPr>
      <w:r>
        <w:rPr>
          <w:sz w:val="24"/>
          <w:szCs w:val="24"/>
        </w:rPr>
        <w:t>Предоставяне на всяка изискана информация на УО, свързана с изпълнението на Стратегията и индивидуалните проекти;</w:t>
      </w:r>
    </w:p>
    <w:p w:rsidR="009329C9" w:rsidRDefault="00B5212B">
      <w:pPr>
        <w:pStyle w:val="15"/>
        <w:numPr>
          <w:ilvl w:val="0"/>
          <w:numId w:val="28"/>
        </w:numPr>
        <w:shd w:val="clear" w:color="auto" w:fill="auto"/>
        <w:tabs>
          <w:tab w:val="left" w:pos="171"/>
        </w:tabs>
        <w:spacing w:before="0" w:after="0" w:line="276" w:lineRule="auto"/>
        <w:ind w:firstLine="0"/>
        <w:rPr>
          <w:sz w:val="24"/>
          <w:szCs w:val="24"/>
        </w:rPr>
      </w:pPr>
      <w:r>
        <w:rPr>
          <w:sz w:val="24"/>
          <w:szCs w:val="24"/>
        </w:rPr>
        <w:t xml:space="preserve">Изготвяне на годишни доклади до Управляващия орган на </w:t>
      </w:r>
      <w:r>
        <w:rPr>
          <w:sz w:val="24"/>
          <w:szCs w:val="24"/>
          <w:lang w:val="en-US" w:eastAsia="en-US"/>
        </w:rPr>
        <w:t>IIPCP</w:t>
      </w:r>
      <w:r>
        <w:rPr>
          <w:sz w:val="24"/>
          <w:szCs w:val="24"/>
          <w:lang w:eastAsia="en-US"/>
        </w:rPr>
        <w:t>,</w:t>
      </w:r>
      <w:r>
        <w:rPr>
          <w:sz w:val="24"/>
          <w:szCs w:val="24"/>
        </w:rPr>
        <w:t>както и един финален доклад след окончателното приключване на Стратегията за ВОМР, който е обобщен резултат на приключилите индивидуални проекти.</w:t>
      </w:r>
    </w:p>
    <w:p w:rsidR="009329C9" w:rsidRDefault="00B5212B">
      <w:pPr>
        <w:pStyle w:val="15"/>
        <w:numPr>
          <w:ilvl w:val="0"/>
          <w:numId w:val="29"/>
        </w:numPr>
        <w:shd w:val="clear" w:color="auto" w:fill="auto"/>
        <w:tabs>
          <w:tab w:val="left" w:pos="250"/>
        </w:tabs>
        <w:spacing w:before="0" w:after="0" w:line="276" w:lineRule="auto"/>
        <w:ind w:firstLine="0"/>
        <w:rPr>
          <w:sz w:val="24"/>
          <w:szCs w:val="24"/>
        </w:rPr>
      </w:pPr>
      <w:r>
        <w:rPr>
          <w:rStyle w:val="11pt2"/>
          <w:rFonts w:ascii="Times New Roman" w:hAnsi="Times New Roman" w:cs="Times New Roman"/>
          <w:b/>
          <w:sz w:val="24"/>
          <w:szCs w:val="24"/>
        </w:rPr>
        <w:t>Външен мониторинг</w:t>
      </w:r>
      <w:r>
        <w:rPr>
          <w:sz w:val="24"/>
          <w:szCs w:val="24"/>
        </w:rPr>
        <w:t xml:space="preserve"> (на ниво Стратегия за ВОМР и индивидуалните проекти, осъществен от УО на ПРСР), насочен към:</w:t>
      </w:r>
    </w:p>
    <w:p w:rsidR="009329C9" w:rsidRDefault="00B5212B">
      <w:pPr>
        <w:pStyle w:val="15"/>
        <w:numPr>
          <w:ilvl w:val="0"/>
          <w:numId w:val="28"/>
        </w:numPr>
        <w:shd w:val="clear" w:color="auto" w:fill="auto"/>
        <w:tabs>
          <w:tab w:val="left" w:pos="160"/>
        </w:tabs>
        <w:spacing w:before="0" w:after="0" w:line="276" w:lineRule="auto"/>
        <w:ind w:firstLine="0"/>
        <w:rPr>
          <w:sz w:val="24"/>
          <w:szCs w:val="24"/>
        </w:rPr>
      </w:pPr>
      <w:r>
        <w:rPr>
          <w:sz w:val="24"/>
          <w:szCs w:val="24"/>
        </w:rPr>
        <w:t>Популяризиране на стратегията;</w:t>
      </w:r>
    </w:p>
    <w:p w:rsidR="009329C9" w:rsidRDefault="00B5212B">
      <w:pPr>
        <w:pStyle w:val="15"/>
        <w:numPr>
          <w:ilvl w:val="0"/>
          <w:numId w:val="28"/>
        </w:numPr>
        <w:shd w:val="clear" w:color="auto" w:fill="auto"/>
        <w:tabs>
          <w:tab w:val="left" w:pos="160"/>
        </w:tabs>
        <w:spacing w:before="0" w:after="0" w:line="276" w:lineRule="auto"/>
        <w:ind w:firstLine="0"/>
        <w:rPr>
          <w:sz w:val="24"/>
          <w:szCs w:val="24"/>
        </w:rPr>
      </w:pPr>
      <w:r>
        <w:rPr>
          <w:sz w:val="24"/>
          <w:szCs w:val="24"/>
        </w:rPr>
        <w:lastRenderedPageBreak/>
        <w:t>Финансов и физически напредък;</w:t>
      </w:r>
    </w:p>
    <w:p w:rsidR="009329C9" w:rsidRDefault="00B5212B">
      <w:pPr>
        <w:pStyle w:val="15"/>
        <w:numPr>
          <w:ilvl w:val="0"/>
          <w:numId w:val="28"/>
        </w:numPr>
        <w:shd w:val="clear" w:color="auto" w:fill="auto"/>
        <w:tabs>
          <w:tab w:val="left" w:pos="168"/>
        </w:tabs>
        <w:spacing w:before="0" w:after="0" w:line="276" w:lineRule="auto"/>
        <w:ind w:firstLine="0"/>
        <w:rPr>
          <w:sz w:val="24"/>
          <w:szCs w:val="24"/>
        </w:rPr>
      </w:pPr>
      <w:r>
        <w:rPr>
          <w:sz w:val="24"/>
          <w:szCs w:val="24"/>
        </w:rPr>
        <w:t>Ефективност на екипа на МИГ и процесите, свързани с неговото функциониране;</w:t>
      </w:r>
    </w:p>
    <w:p w:rsidR="009329C9" w:rsidRDefault="00B5212B">
      <w:pPr>
        <w:pStyle w:val="15"/>
        <w:numPr>
          <w:ilvl w:val="0"/>
          <w:numId w:val="28"/>
        </w:numPr>
        <w:shd w:val="clear" w:color="auto" w:fill="auto"/>
        <w:tabs>
          <w:tab w:val="left" w:pos="160"/>
        </w:tabs>
        <w:spacing w:before="0" w:after="0" w:line="276" w:lineRule="auto"/>
        <w:ind w:firstLine="0"/>
        <w:rPr>
          <w:sz w:val="24"/>
          <w:szCs w:val="24"/>
        </w:rPr>
      </w:pPr>
      <w:r>
        <w:rPr>
          <w:sz w:val="24"/>
          <w:szCs w:val="24"/>
        </w:rPr>
        <w:t>Ефективност на партньорите в МИГ.</w:t>
      </w:r>
    </w:p>
    <w:p w:rsidR="009329C9" w:rsidRDefault="00B5212B">
      <w:pPr>
        <w:pStyle w:val="15"/>
        <w:shd w:val="clear" w:color="auto" w:fill="auto"/>
        <w:spacing w:before="0" w:after="0" w:line="276" w:lineRule="auto"/>
        <w:ind w:firstLine="0"/>
        <w:rPr>
          <w:sz w:val="24"/>
          <w:szCs w:val="24"/>
        </w:rPr>
      </w:pPr>
      <w:r>
        <w:rPr>
          <w:sz w:val="24"/>
          <w:szCs w:val="24"/>
        </w:rPr>
        <w:t xml:space="preserve">С оглед подобряване на ефикасността на прилагането на Стратегията. МИГ ще извършва </w:t>
      </w:r>
      <w:r>
        <w:rPr>
          <w:b/>
          <w:sz w:val="24"/>
          <w:szCs w:val="24"/>
        </w:rPr>
        <w:t>цялостно наблюдение по изпълнение на Стратегията и индивидуалните проекти</w:t>
      </w:r>
      <w:r>
        <w:rPr>
          <w:sz w:val="24"/>
          <w:szCs w:val="24"/>
        </w:rPr>
        <w:t xml:space="preserve"> през целия период на прилагане. В обхвата на мониторинга по изпълнение на дейността на групата и индивидуалните проекти ще се акцентира върху следното:</w:t>
      </w:r>
    </w:p>
    <w:p w:rsidR="009329C9" w:rsidRDefault="00B5212B">
      <w:pPr>
        <w:pStyle w:val="15"/>
        <w:numPr>
          <w:ilvl w:val="0"/>
          <w:numId w:val="28"/>
        </w:numPr>
        <w:shd w:val="clear" w:color="auto" w:fill="auto"/>
        <w:tabs>
          <w:tab w:val="left" w:pos="168"/>
        </w:tabs>
        <w:spacing w:before="0" w:after="0" w:line="276" w:lineRule="auto"/>
        <w:ind w:firstLine="0"/>
        <w:rPr>
          <w:sz w:val="24"/>
          <w:szCs w:val="24"/>
        </w:rPr>
      </w:pPr>
      <w:r>
        <w:rPr>
          <w:sz w:val="24"/>
          <w:szCs w:val="24"/>
        </w:rPr>
        <w:t>Напредъкът на местната Стратегия за ВОМР по отношение на изпълнението на нейните конкретни цели;</w:t>
      </w:r>
    </w:p>
    <w:p w:rsidR="009329C9" w:rsidRDefault="00B5212B">
      <w:pPr>
        <w:pStyle w:val="15"/>
        <w:numPr>
          <w:ilvl w:val="0"/>
          <w:numId w:val="28"/>
        </w:numPr>
        <w:shd w:val="clear" w:color="auto" w:fill="auto"/>
        <w:tabs>
          <w:tab w:val="left" w:pos="157"/>
        </w:tabs>
        <w:spacing w:before="0" w:after="0" w:line="276" w:lineRule="auto"/>
        <w:ind w:firstLine="0"/>
        <w:rPr>
          <w:sz w:val="24"/>
          <w:szCs w:val="24"/>
        </w:rPr>
      </w:pPr>
      <w:r>
        <w:rPr>
          <w:sz w:val="24"/>
          <w:szCs w:val="24"/>
        </w:rPr>
        <w:t>Съответствието с общите и специфични цели на всяка една ОП;</w:t>
      </w:r>
    </w:p>
    <w:p w:rsidR="009329C9" w:rsidRDefault="00B5212B">
      <w:pPr>
        <w:pStyle w:val="15"/>
        <w:numPr>
          <w:ilvl w:val="0"/>
          <w:numId w:val="28"/>
        </w:numPr>
        <w:shd w:val="clear" w:color="auto" w:fill="auto"/>
        <w:tabs>
          <w:tab w:val="left" w:pos="150"/>
        </w:tabs>
        <w:spacing w:before="0" w:after="0" w:line="276" w:lineRule="auto"/>
        <w:ind w:firstLine="0"/>
        <w:rPr>
          <w:sz w:val="24"/>
          <w:szCs w:val="24"/>
        </w:rPr>
      </w:pPr>
      <w:r>
        <w:rPr>
          <w:sz w:val="24"/>
          <w:szCs w:val="24"/>
        </w:rPr>
        <w:t>Допустимостта на направените разходи и тяхната пряка връзка за постигане целите на Стратегията:</w:t>
      </w:r>
    </w:p>
    <w:p w:rsidR="009329C9" w:rsidRDefault="00B5212B">
      <w:pPr>
        <w:pStyle w:val="15"/>
        <w:numPr>
          <w:ilvl w:val="0"/>
          <w:numId w:val="28"/>
        </w:numPr>
        <w:shd w:val="clear" w:color="auto" w:fill="auto"/>
        <w:tabs>
          <w:tab w:val="left" w:pos="164"/>
        </w:tabs>
        <w:spacing w:before="0" w:after="0" w:line="276" w:lineRule="auto"/>
        <w:ind w:firstLine="0"/>
        <w:rPr>
          <w:sz w:val="24"/>
          <w:szCs w:val="24"/>
        </w:rPr>
      </w:pPr>
      <w:r>
        <w:rPr>
          <w:sz w:val="24"/>
          <w:szCs w:val="24"/>
        </w:rPr>
        <w:t>Наличието на достатъчно подробна финансова одитна пътека;</w:t>
      </w:r>
    </w:p>
    <w:p w:rsidR="009329C9" w:rsidRDefault="00B5212B">
      <w:pPr>
        <w:pStyle w:val="15"/>
        <w:numPr>
          <w:ilvl w:val="0"/>
          <w:numId w:val="28"/>
        </w:numPr>
        <w:shd w:val="clear" w:color="auto" w:fill="auto"/>
        <w:tabs>
          <w:tab w:val="left" w:pos="168"/>
        </w:tabs>
        <w:spacing w:before="0" w:after="0" w:line="276" w:lineRule="auto"/>
        <w:ind w:firstLine="0"/>
        <w:rPr>
          <w:sz w:val="24"/>
          <w:szCs w:val="24"/>
        </w:rPr>
      </w:pPr>
      <w:r>
        <w:rPr>
          <w:sz w:val="24"/>
          <w:szCs w:val="24"/>
        </w:rPr>
        <w:t>Наличието и правилното водене по реда на Закона за счетоводството на отделни аналитични счетоводни сметки за дейностите, за които е получена безвъзмездна финансова помощ от Европейските фондове за период от 5 години, считано от датата на официално признаване на МИГ и изплащане на помощта;</w:t>
      </w:r>
    </w:p>
    <w:p w:rsidR="009329C9" w:rsidRDefault="00B5212B">
      <w:pPr>
        <w:pStyle w:val="15"/>
        <w:numPr>
          <w:ilvl w:val="0"/>
          <w:numId w:val="28"/>
        </w:numPr>
        <w:shd w:val="clear" w:color="auto" w:fill="auto"/>
        <w:tabs>
          <w:tab w:val="left" w:pos="171"/>
        </w:tabs>
        <w:spacing w:before="0" w:after="0" w:line="276" w:lineRule="auto"/>
        <w:ind w:firstLine="0"/>
        <w:rPr>
          <w:sz w:val="24"/>
          <w:szCs w:val="24"/>
        </w:rPr>
      </w:pPr>
      <w:r>
        <w:rPr>
          <w:sz w:val="24"/>
          <w:szCs w:val="24"/>
        </w:rPr>
        <w:t>Придобитите материални активи въз основа на безвъзмездната финансова помощ да не бъдат преотдавани и преотстъпвани възмездно или безвъзмездно - чрез отдаване под наем, аренда, договор за съвместна дейност и др.;</w:t>
      </w:r>
    </w:p>
    <w:p w:rsidR="009329C9" w:rsidRDefault="00B5212B">
      <w:pPr>
        <w:pStyle w:val="15"/>
        <w:numPr>
          <w:ilvl w:val="0"/>
          <w:numId w:val="28"/>
        </w:numPr>
        <w:shd w:val="clear" w:color="auto" w:fill="auto"/>
        <w:tabs>
          <w:tab w:val="left" w:pos="157"/>
        </w:tabs>
        <w:spacing w:before="0" w:after="0" w:line="276" w:lineRule="auto"/>
        <w:ind w:firstLine="0"/>
        <w:rPr>
          <w:sz w:val="24"/>
          <w:szCs w:val="24"/>
        </w:rPr>
      </w:pPr>
      <w:r>
        <w:rPr>
          <w:sz w:val="24"/>
          <w:szCs w:val="24"/>
        </w:rPr>
        <w:t>Съхранението на всички оригинални документи, свързани с изпълнението на местната Стратегия за ВОМР и индивидуалните проекти;</w:t>
      </w:r>
    </w:p>
    <w:p w:rsidR="009329C9" w:rsidRDefault="00B5212B">
      <w:pPr>
        <w:pStyle w:val="15"/>
        <w:numPr>
          <w:ilvl w:val="0"/>
          <w:numId w:val="28"/>
        </w:numPr>
        <w:shd w:val="clear" w:color="auto" w:fill="auto"/>
        <w:tabs>
          <w:tab w:val="left" w:pos="164"/>
        </w:tabs>
        <w:spacing w:before="0" w:after="0" w:line="276" w:lineRule="auto"/>
        <w:ind w:firstLine="0"/>
        <w:rPr>
          <w:sz w:val="24"/>
          <w:szCs w:val="24"/>
        </w:rPr>
      </w:pPr>
      <w:r>
        <w:rPr>
          <w:sz w:val="24"/>
          <w:szCs w:val="24"/>
        </w:rPr>
        <w:t>Поставянето на видни места - информационни табели, указващи съфинансирането на Европейските фондове и държавния бюджет.</w:t>
      </w:r>
    </w:p>
    <w:p w:rsidR="009329C9" w:rsidRDefault="00B5212B">
      <w:pPr>
        <w:pStyle w:val="15"/>
        <w:numPr>
          <w:ilvl w:val="0"/>
          <w:numId w:val="28"/>
        </w:numPr>
        <w:shd w:val="clear" w:color="auto" w:fill="auto"/>
        <w:tabs>
          <w:tab w:val="left" w:pos="164"/>
        </w:tabs>
        <w:spacing w:before="0" w:after="0" w:line="276" w:lineRule="auto"/>
        <w:ind w:firstLine="0"/>
        <w:rPr>
          <w:sz w:val="24"/>
          <w:szCs w:val="24"/>
        </w:rPr>
      </w:pPr>
      <w:r>
        <w:rPr>
          <w:sz w:val="24"/>
          <w:szCs w:val="24"/>
        </w:rPr>
        <w:t>МИГ ще оказва пълно съдействие на Управляващите органи и Комитетите за наблюдение при извършването на оценки на изпълнението Стратегията за ВОМР.</w:t>
      </w:r>
    </w:p>
    <w:p w:rsidR="009329C9" w:rsidRDefault="00B5212B">
      <w:pPr>
        <w:pStyle w:val="15"/>
        <w:shd w:val="clear" w:color="auto" w:fill="auto"/>
        <w:spacing w:before="0" w:after="0" w:line="276" w:lineRule="auto"/>
        <w:ind w:firstLine="0"/>
        <w:rPr>
          <w:sz w:val="24"/>
          <w:szCs w:val="24"/>
        </w:rPr>
      </w:pPr>
      <w:r>
        <w:rPr>
          <w:sz w:val="24"/>
          <w:szCs w:val="24"/>
        </w:rPr>
        <w:t>Наблюдението и оценката ще отчитат напредъка в прилагането на Стратегията, чрез основните индикатори, финансовите индикатори (брой и стойност на подадените заявления, брой и стойност на одобрените заявления, брой и стойност на сключените договори, брой и стойност на подадените искания за плащане, брой и стойност на одобрените искания за плащане, брой и стойност на успешно приключилите проекти), както и индикаторите за резултати на СВОМР. Екипът ще поддържа създадената електронна информационна система, която има за цел да обезпечи надеждна информация за бюджетните параметри и резултатите от прилагането на Стратегията за УС и партньорите, ангажирани в управлението на СВОМР така, че те да могат да вземат правилни управленски решения. На база на събраната информация по проектите, МИГ ще подготвя и годишните си доклади за изпълнение на Стратегията за местно развитие и ще се отчита пред местната общност.</w:t>
      </w:r>
    </w:p>
    <w:p w:rsidR="009329C9" w:rsidRDefault="00B5212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9329C9" w:rsidRDefault="00B5212B">
      <w:pPr>
        <w:pStyle w:val="1"/>
        <w:pBdr>
          <w:top w:val="single" w:sz="4" w:space="1" w:color="auto"/>
          <w:left w:val="single" w:sz="4" w:space="4" w:color="auto"/>
          <w:bottom w:val="single" w:sz="4" w:space="1" w:color="auto"/>
          <w:right w:val="single" w:sz="4" w:space="4" w:color="auto"/>
        </w:pBdr>
        <w:rPr>
          <w:rFonts w:ascii="Times New Roman" w:hAnsi="Times New Roman" w:cs="Times New Roman"/>
          <w:bCs w:val="0"/>
          <w:color w:val="auto"/>
          <w:sz w:val="24"/>
          <w:szCs w:val="24"/>
        </w:rPr>
      </w:pPr>
      <w:r>
        <w:rPr>
          <w:rFonts w:ascii="Times New Roman" w:hAnsi="Times New Roman" w:cs="Times New Roman"/>
          <w:color w:val="auto"/>
          <w:sz w:val="24"/>
          <w:szCs w:val="24"/>
        </w:rPr>
        <w:lastRenderedPageBreak/>
        <w:t>9. Индикатори за мониторинг и оценка:</w:t>
      </w:r>
      <w:bookmarkEnd w:id="55"/>
      <w:bookmarkEnd w:id="56"/>
    </w:p>
    <w:p w:rsidR="009329C9" w:rsidRDefault="009329C9">
      <w:pPr>
        <w:rPr>
          <w:rFonts w:ascii="Times New Roman" w:eastAsiaTheme="majorEastAsia" w:hAnsi="Times New Roman" w:cs="Times New Roman"/>
          <w:b/>
          <w:sz w:val="24"/>
          <w:szCs w:val="24"/>
        </w:rPr>
      </w:pPr>
      <w:bookmarkStart w:id="57" w:name="_Toc449349445"/>
      <w:bookmarkStart w:id="58" w:name="_Toc448392300"/>
    </w:p>
    <w:p w:rsidR="009329C9" w:rsidRDefault="00B5212B">
      <w:pPr>
        <w:pStyle w:val="2"/>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9.1. Индикатори за цялостното прилагане на стратегията за ВОМР, включително брой създадени работни места:</w:t>
      </w:r>
      <w:bookmarkEnd w:id="57"/>
      <w:bookmarkEnd w:id="58"/>
    </w:p>
    <w:tbl>
      <w:tblPr>
        <w:tblW w:w="9923" w:type="dxa"/>
        <w:tblInd w:w="-72" w:type="dxa"/>
        <w:tblCellMar>
          <w:left w:w="70" w:type="dxa"/>
          <w:right w:w="70" w:type="dxa"/>
        </w:tblCellMar>
        <w:tblLook w:val="04A0" w:firstRow="1" w:lastRow="0" w:firstColumn="1" w:lastColumn="0" w:noHBand="0" w:noVBand="1"/>
      </w:tblPr>
      <w:tblGrid>
        <w:gridCol w:w="1305"/>
        <w:gridCol w:w="3373"/>
        <w:gridCol w:w="1489"/>
        <w:gridCol w:w="1832"/>
        <w:gridCol w:w="1924"/>
      </w:tblGrid>
      <w:tr w:rsidR="009329C9">
        <w:trPr>
          <w:trHeight w:val="424"/>
        </w:trPr>
        <w:tc>
          <w:tcPr>
            <w:tcW w:w="99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120"/>
              <w:ind w:right="-1"/>
              <w:jc w:val="both"/>
              <w:rPr>
                <w:rFonts w:ascii="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Индикатори по отношение на цялостното развитие на СВОМР</w:t>
            </w:r>
          </w:p>
        </w:tc>
      </w:tr>
      <w:tr w:rsidR="009329C9">
        <w:trPr>
          <w:trHeight w:val="20"/>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Вид </w:t>
            </w:r>
          </w:p>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3373"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Мерна </w:t>
            </w:r>
          </w:p>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единица</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Цел до края на стратегията</w:t>
            </w:r>
          </w:p>
        </w:tc>
        <w:tc>
          <w:tcPr>
            <w:tcW w:w="1924" w:type="dxa"/>
            <w:tcBorders>
              <w:top w:val="single" w:sz="4" w:space="0" w:color="auto"/>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Източник на </w:t>
            </w:r>
          </w:p>
          <w:p w:rsidR="009329C9" w:rsidRDefault="00B5212B">
            <w:pPr>
              <w:spacing w:after="0"/>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информация</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проекти, </w:t>
            </w:r>
          </w:p>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Финансиранипо СМР</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бенефициенти, </w:t>
            </w:r>
          </w:p>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подпомогнати по СМР</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Брой консултирани </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потенциални бенефициенти</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дейности за придобиване на умения и постигане на обществена активност</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Резултат</w:t>
            </w: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подпомогнати </w:t>
            </w:r>
          </w:p>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иновативни дейности</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 работни места, разкрити или запазени съществуващи в подпомогнати проекти в рамките на Стратегия за ВОМР</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88 </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Население в територията, което се ползва подобрената среда</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на участници преминали  обучение за квалификация</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rsidP="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bookmarkStart w:id="59" w:name="_GoBack"/>
            <w:bookmarkEnd w:id="59"/>
            <w:r>
              <w:rPr>
                <w:rFonts w:ascii="Times New Roman" w:eastAsia="Times New Roman" w:hAnsi="Times New Roman" w:cs="Times New Roman"/>
                <w:sz w:val="24"/>
                <w:szCs w:val="24"/>
              </w:rPr>
              <w:t xml:space="preserve"> </w:t>
            </w:r>
          </w:p>
        </w:tc>
        <w:tc>
          <w:tcPr>
            <w:tcW w:w="1924" w:type="dxa"/>
            <w:tcBorders>
              <w:top w:val="nil"/>
              <w:left w:val="nil"/>
              <w:bottom w:val="single" w:sz="4" w:space="0" w:color="auto"/>
              <w:right w:val="single" w:sz="4" w:space="0" w:color="auto"/>
            </w:tcBorders>
            <w:vAlign w:val="center"/>
          </w:tcPr>
          <w:p w:rsidR="009329C9" w:rsidRDefault="00B5212B">
            <w:pPr>
              <w:spacing w:after="0"/>
              <w:ind w:right="-1"/>
              <w:rPr>
                <w:rFonts w:ascii="Times New Roman" w:hAnsi="Times New Roman" w:cs="Times New Roman"/>
                <w:sz w:val="24"/>
                <w:szCs w:val="24"/>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подадени заявления за кандидатстване по СВОМР</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924" w:type="dxa"/>
            <w:tcBorders>
              <w:top w:val="nil"/>
              <w:left w:val="nil"/>
              <w:bottom w:val="single" w:sz="4" w:space="0" w:color="auto"/>
              <w:right w:val="single" w:sz="4" w:space="0" w:color="auto"/>
            </w:tcBorders>
            <w:vAlign w:val="center"/>
          </w:tcPr>
          <w:p w:rsidR="009329C9" w:rsidRDefault="00B5212B">
            <w:pPr>
              <w:spacing w:after="0"/>
              <w:ind w:right="-1"/>
              <w:rPr>
                <w:rFonts w:ascii="Times New Roman" w:hAnsi="Times New Roman" w:cs="Times New Roman"/>
                <w:sz w:val="24"/>
                <w:szCs w:val="24"/>
              </w:rPr>
            </w:pPr>
            <w:r>
              <w:rPr>
                <w:rFonts w:ascii="Times New Roman" w:hAnsi="Times New Roman" w:cs="Times New Roman"/>
                <w:sz w:val="24"/>
                <w:szCs w:val="24"/>
              </w:rPr>
              <w:t>База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tcPr>
          <w:p w:rsidR="009329C9" w:rsidRDefault="009329C9">
            <w:pPr>
              <w:spacing w:after="0"/>
              <w:rPr>
                <w:rFonts w:ascii="Times New Roman" w:eastAsia="Times New Roman" w:hAnsi="Times New Roman" w:cs="Times New Roman"/>
                <w:sz w:val="24"/>
                <w:szCs w:val="24"/>
              </w:rPr>
            </w:pP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проекти свързани с подобряване на сгради за предоставяне на обществени услуги</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4" w:type="dxa"/>
            <w:tcBorders>
              <w:top w:val="nil"/>
              <w:left w:val="nil"/>
              <w:bottom w:val="single" w:sz="4" w:space="0" w:color="auto"/>
              <w:right w:val="single" w:sz="4" w:space="0" w:color="auto"/>
            </w:tcBorders>
          </w:tcPr>
          <w:p w:rsidR="009329C9" w:rsidRDefault="009329C9">
            <w:pPr>
              <w:spacing w:after="0"/>
              <w:rPr>
                <w:rFonts w:ascii="Times New Roman" w:hAnsi="Times New Roman" w:cs="Times New Roman"/>
                <w:sz w:val="24"/>
                <w:szCs w:val="24"/>
              </w:rPr>
            </w:pPr>
          </w:p>
          <w:p w:rsidR="009329C9" w:rsidRDefault="00B5212B">
            <w:pPr>
              <w:spacing w:after="0"/>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9329C9">
            <w:pPr>
              <w:spacing w:after="0"/>
              <w:rPr>
                <w:rFonts w:ascii="Times New Roman" w:eastAsia="Times New Roman" w:hAnsi="Times New Roman" w:cs="Times New Roman"/>
                <w:sz w:val="24"/>
                <w:szCs w:val="24"/>
              </w:rPr>
            </w:pP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изградени или ремонтирани детски площадки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24" w:type="dxa"/>
            <w:tcBorders>
              <w:top w:val="single" w:sz="4" w:space="0" w:color="auto"/>
              <w:left w:val="nil"/>
              <w:bottom w:val="single" w:sz="4" w:space="0" w:color="auto"/>
              <w:right w:val="single" w:sz="4" w:space="0" w:color="auto"/>
            </w:tcBorders>
          </w:tcPr>
          <w:p w:rsidR="009329C9" w:rsidRDefault="009329C9">
            <w:pPr>
              <w:spacing w:after="0"/>
              <w:rPr>
                <w:rFonts w:ascii="Times New Roman" w:hAnsi="Times New Roman" w:cs="Times New Roman"/>
                <w:sz w:val="24"/>
                <w:szCs w:val="24"/>
              </w:rPr>
            </w:pPr>
          </w:p>
          <w:p w:rsidR="009329C9" w:rsidRDefault="00B5212B">
            <w:pPr>
              <w:spacing w:after="0"/>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подобрени или ремонтирани зелени площи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24" w:type="dxa"/>
            <w:tcBorders>
              <w:top w:val="single" w:sz="4" w:space="0" w:color="auto"/>
              <w:left w:val="nil"/>
              <w:bottom w:val="single" w:sz="4" w:space="0" w:color="auto"/>
              <w:right w:val="single" w:sz="4" w:space="0" w:color="auto"/>
            </w:tcBorders>
          </w:tcPr>
          <w:p w:rsidR="009329C9" w:rsidRDefault="00B5212B">
            <w:pPr>
              <w:spacing w:after="0"/>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подобрени или създадени центрове за изкуство и/или занаяти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24" w:type="dxa"/>
            <w:tcBorders>
              <w:top w:val="single" w:sz="4" w:space="0" w:color="auto"/>
              <w:left w:val="nil"/>
              <w:bottom w:val="single" w:sz="4" w:space="0" w:color="auto"/>
              <w:right w:val="single" w:sz="4" w:space="0" w:color="auto"/>
            </w:tcBorders>
          </w:tcPr>
          <w:p w:rsidR="009329C9" w:rsidRDefault="00B5212B">
            <w:pPr>
              <w:spacing w:after="0"/>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Организирани и проведени фестивали и събития свързани </w:t>
            </w:r>
            <w:r>
              <w:rPr>
                <w:rFonts w:ascii="Times New Roman" w:eastAsia="Times New Roman" w:hAnsi="Times New Roman" w:cs="Times New Roman"/>
                <w:sz w:val="24"/>
                <w:szCs w:val="24"/>
              </w:rPr>
              <w:lastRenderedPageBreak/>
              <w:t>с местното културно наследство</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24" w:type="dxa"/>
            <w:tcBorders>
              <w:top w:val="single" w:sz="4" w:space="0" w:color="auto"/>
              <w:left w:val="nil"/>
              <w:bottom w:val="single" w:sz="4" w:space="0" w:color="auto"/>
              <w:right w:val="single" w:sz="4" w:space="0" w:color="auto"/>
            </w:tcBorders>
          </w:tcPr>
          <w:p w:rsidR="009329C9" w:rsidRDefault="00B5212B">
            <w:pPr>
              <w:spacing w:after="0"/>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Организирани и проведени  събития свързани със спортни мероприятия</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24" w:type="dxa"/>
            <w:tcBorders>
              <w:top w:val="single" w:sz="4" w:space="0" w:color="auto"/>
              <w:left w:val="nil"/>
              <w:bottom w:val="single" w:sz="4" w:space="0" w:color="auto"/>
              <w:right w:val="single" w:sz="4" w:space="0" w:color="auto"/>
            </w:tcBorders>
          </w:tcPr>
          <w:p w:rsidR="009329C9" w:rsidRDefault="00B5212B">
            <w:pPr>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Проучвания свързани с културното наследство</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4" w:type="dxa"/>
            <w:tcBorders>
              <w:top w:val="single" w:sz="4" w:space="0" w:color="auto"/>
              <w:left w:val="nil"/>
              <w:bottom w:val="single" w:sz="4" w:space="0" w:color="auto"/>
              <w:right w:val="single" w:sz="4" w:space="0" w:color="auto"/>
            </w:tcBorders>
          </w:tcPr>
          <w:p w:rsidR="009329C9" w:rsidRDefault="00B5212B">
            <w:pPr>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vAlign w:val="center"/>
          </w:tcPr>
          <w:p w:rsidR="009329C9" w:rsidRDefault="00B5212B">
            <w:pPr>
              <w:autoSpaceDE w:val="0"/>
              <w:autoSpaceDN w:val="0"/>
              <w:adjustRightInd w:val="0"/>
              <w:spacing w:after="0"/>
              <w:ind w:right="34"/>
              <w:jc w:val="both"/>
              <w:rPr>
                <w:rFonts w:ascii="Times New Roman" w:hAnsi="Times New Roman" w:cs="Times New Roman"/>
                <w:sz w:val="24"/>
                <w:szCs w:val="24"/>
              </w:rPr>
            </w:pPr>
            <w:r>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хектара</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bCs/>
                <w:sz w:val="24"/>
                <w:szCs w:val="24"/>
              </w:rPr>
              <w:t>40 776,87</w:t>
            </w:r>
          </w:p>
        </w:tc>
        <w:tc>
          <w:tcPr>
            <w:tcW w:w="1924" w:type="dxa"/>
            <w:tcBorders>
              <w:top w:val="single" w:sz="4" w:space="0" w:color="auto"/>
              <w:left w:val="nil"/>
              <w:bottom w:val="single" w:sz="4" w:space="0" w:color="auto"/>
              <w:right w:val="single" w:sz="4" w:space="0" w:color="auto"/>
            </w:tcBorders>
          </w:tcPr>
          <w:p w:rsidR="009329C9" w:rsidRDefault="00B5212B">
            <w:r>
              <w:rPr>
                <w:rFonts w:ascii="Times New Roman" w:hAnsi="Times New Roman" w:cs="Times New Roman"/>
                <w:sz w:val="24"/>
                <w:szCs w:val="24"/>
              </w:rPr>
              <w:t>База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vAlign w:val="center"/>
          </w:tcPr>
          <w:p w:rsidR="009329C9" w:rsidRDefault="00B5212B">
            <w:pPr>
              <w:autoSpaceDE w:val="0"/>
              <w:autoSpaceDN w:val="0"/>
              <w:adjustRightInd w:val="0"/>
              <w:spacing w:after="0"/>
              <w:ind w:right="34"/>
              <w:jc w:val="both"/>
              <w:rPr>
                <w:rFonts w:ascii="Times New Roman" w:hAnsi="Times New Roman" w:cs="Times New Roman"/>
                <w:sz w:val="24"/>
                <w:szCs w:val="24"/>
              </w:rPr>
            </w:pPr>
            <w:r>
              <w:rPr>
                <w:rFonts w:ascii="Times New Roman" w:hAnsi="Times New Roman" w:cs="Times New Roman"/>
                <w:sz w:val="24"/>
                <w:szCs w:val="24"/>
              </w:rPr>
              <w:t>Видове, за чието опазване се изпълняват дейности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11</w:t>
            </w:r>
          </w:p>
        </w:tc>
        <w:tc>
          <w:tcPr>
            <w:tcW w:w="1924" w:type="dxa"/>
            <w:tcBorders>
              <w:top w:val="single" w:sz="4" w:space="0" w:color="auto"/>
              <w:left w:val="nil"/>
              <w:bottom w:val="single" w:sz="4" w:space="0" w:color="auto"/>
              <w:right w:val="single" w:sz="4" w:space="0" w:color="auto"/>
            </w:tcBorders>
          </w:tcPr>
          <w:p w:rsidR="009329C9" w:rsidRDefault="00B5212B">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9329C9">
            <w:pPr>
              <w:spacing w:after="0"/>
              <w:ind w:right="-1"/>
              <w:rPr>
                <w:rFonts w:ascii="Times New Roman" w:eastAsia="Times New Roman" w:hAnsi="Times New Roman" w:cs="Times New Roman"/>
                <w:sz w:val="24"/>
                <w:szCs w:val="24"/>
              </w:rPr>
            </w:pP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924" w:type="dxa"/>
            <w:tcBorders>
              <w:top w:val="single" w:sz="4" w:space="0" w:color="auto"/>
              <w:left w:val="nil"/>
              <w:bottom w:val="single" w:sz="4" w:space="0" w:color="auto"/>
              <w:right w:val="single" w:sz="4" w:space="0" w:color="auto"/>
            </w:tcBorders>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9329C9">
            <w:pPr>
              <w:spacing w:after="0"/>
              <w:ind w:right="-1"/>
              <w:rPr>
                <w:rFonts w:ascii="Times New Roman" w:eastAsia="Times New Roman" w:hAnsi="Times New Roman" w:cs="Times New Roman"/>
                <w:sz w:val="24"/>
                <w:szCs w:val="24"/>
              </w:rPr>
            </w:pP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деца, ученици и младежи от маргинализирани общности (вкл. роми) интегрирани в образователната система</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924" w:type="dxa"/>
            <w:tcBorders>
              <w:top w:val="single" w:sz="4" w:space="0" w:color="auto"/>
              <w:left w:val="nil"/>
              <w:bottom w:val="single" w:sz="4" w:space="0" w:color="auto"/>
              <w:right w:val="single" w:sz="4" w:space="0" w:color="auto"/>
            </w:tcBorders>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представители от ромски произход участвали в проектите</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924" w:type="dxa"/>
            <w:tcBorders>
              <w:top w:val="single" w:sz="4" w:space="0" w:color="auto"/>
              <w:left w:val="nil"/>
              <w:bottom w:val="single" w:sz="4" w:space="0" w:color="auto"/>
              <w:right w:val="single" w:sz="4" w:space="0" w:color="auto"/>
            </w:tcBorders>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предприятия, получаващи безвъзмездни средства</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24"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Частни инвестици, допълващи публичната подкрепа за предприятията /безвъзмездни средства/</w:t>
            </w:r>
          </w:p>
        </w:tc>
        <w:tc>
          <w:tcPr>
            <w:tcW w:w="1489" w:type="dxa"/>
            <w:tcBorders>
              <w:top w:val="single" w:sz="4" w:space="0" w:color="auto"/>
              <w:left w:val="nil"/>
              <w:bottom w:val="single" w:sz="4" w:space="0" w:color="auto"/>
              <w:right w:val="single" w:sz="4" w:space="0" w:color="auto"/>
            </w:tcBorders>
            <w:shd w:val="clear" w:color="auto" w:fill="auto"/>
            <w:noWrap/>
          </w:tcPr>
          <w:p w:rsidR="009329C9" w:rsidRDefault="009329C9">
            <w:pPr>
              <w:spacing w:after="0"/>
              <w:ind w:right="-1"/>
              <w:jc w:val="both"/>
              <w:rPr>
                <w:rFonts w:ascii="Times New Roman" w:eastAsia="Times New Roman" w:hAnsi="Times New Roman" w:cs="Times New Roman"/>
                <w:sz w:val="24"/>
                <w:szCs w:val="24"/>
              </w:rPr>
            </w:pPr>
          </w:p>
          <w:p w:rsidR="009329C9" w:rsidRDefault="00B5212B">
            <w:pPr>
              <w:spacing w:after="0"/>
              <w:ind w:right="-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EUR</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112 000</w:t>
            </w:r>
          </w:p>
        </w:tc>
        <w:tc>
          <w:tcPr>
            <w:tcW w:w="1924"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 ИСУН</w:t>
            </w:r>
          </w:p>
        </w:tc>
      </w:tr>
      <w:tr w:rsidR="009329C9">
        <w:trPr>
          <w:trHeight w:val="8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проекти, свързани с рехабилитация на улици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24" w:type="dxa"/>
            <w:tcBorders>
              <w:top w:val="single" w:sz="4" w:space="0" w:color="auto"/>
              <w:left w:val="nil"/>
              <w:bottom w:val="single" w:sz="4" w:space="0" w:color="auto"/>
              <w:right w:val="single" w:sz="4" w:space="0" w:color="auto"/>
            </w:tcBorders>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bl>
    <w:p w:rsidR="009329C9" w:rsidRDefault="009329C9">
      <w:pPr>
        <w:spacing w:after="120"/>
        <w:ind w:right="-1"/>
        <w:jc w:val="both"/>
        <w:rPr>
          <w:rFonts w:ascii="Times New Roman" w:hAnsi="Times New Roman" w:cs="Times New Roman"/>
          <w:b/>
          <w:sz w:val="24"/>
          <w:szCs w:val="24"/>
        </w:rPr>
      </w:pPr>
    </w:p>
    <w:p w:rsidR="009329C9" w:rsidRDefault="00B5212B">
      <w:pPr>
        <w:rPr>
          <w:rFonts w:ascii="Times New Roman" w:hAnsi="Times New Roman" w:cs="Times New Roman"/>
          <w:b/>
          <w:sz w:val="24"/>
          <w:szCs w:val="24"/>
        </w:rPr>
      </w:pPr>
      <w:r>
        <w:rPr>
          <w:rFonts w:ascii="Times New Roman" w:hAnsi="Times New Roman" w:cs="Times New Roman"/>
          <w:b/>
          <w:sz w:val="24"/>
          <w:szCs w:val="24"/>
        </w:rPr>
        <w:br w:type="page"/>
      </w:r>
    </w:p>
    <w:p w:rsidR="009329C9" w:rsidRDefault="00B5212B">
      <w:pPr>
        <w:rPr>
          <w:rFonts w:ascii="Times New Roman" w:eastAsiaTheme="majorEastAsia" w:hAnsi="Times New Roman" w:cs="Times New Roman"/>
          <w:b/>
          <w:sz w:val="24"/>
          <w:szCs w:val="24"/>
        </w:rPr>
      </w:pPr>
      <w:r>
        <w:rPr>
          <w:rFonts w:ascii="Times New Roman" w:hAnsi="Times New Roman" w:cs="Times New Roman"/>
          <w:b/>
          <w:sz w:val="24"/>
          <w:szCs w:val="24"/>
        </w:rPr>
        <w:lastRenderedPageBreak/>
        <w:t>9.2 Индикатори по мерки от ПРСР 2014-2020г.</w:t>
      </w:r>
    </w:p>
    <w:tbl>
      <w:tblPr>
        <w:tblW w:w="9639" w:type="dxa"/>
        <w:tblInd w:w="70" w:type="dxa"/>
        <w:tblCellMar>
          <w:left w:w="70" w:type="dxa"/>
          <w:right w:w="70" w:type="dxa"/>
        </w:tblCellMar>
        <w:tblLook w:val="04A0" w:firstRow="1" w:lastRow="0" w:firstColumn="1" w:lastColumn="0" w:noHBand="0" w:noVBand="1"/>
      </w:tblPr>
      <w:tblGrid>
        <w:gridCol w:w="1418"/>
        <w:gridCol w:w="2551"/>
        <w:gridCol w:w="1701"/>
        <w:gridCol w:w="1843"/>
        <w:gridCol w:w="2126"/>
      </w:tblGrid>
      <w:tr w:rsidR="009329C9">
        <w:trPr>
          <w:trHeight w:val="389"/>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jc w:val="center"/>
              <w:rPr>
                <w:rFonts w:ascii="Times New Roman" w:hAnsi="Times New Roman" w:cs="Times New Roman"/>
                <w:b/>
                <w:sz w:val="24"/>
                <w:szCs w:val="24"/>
              </w:rPr>
            </w:pPr>
            <w:r>
              <w:rPr>
                <w:rFonts w:ascii="Times New Roman" w:hAnsi="Times New Roman" w:cs="Times New Roman"/>
                <w:b/>
                <w:sz w:val="24"/>
                <w:szCs w:val="24"/>
              </w:rPr>
              <w:t>Индикатори по мярка 4.1</w:t>
            </w:r>
          </w:p>
        </w:tc>
      </w:tr>
      <w:tr w:rsidR="009329C9">
        <w:trPr>
          <w:trHeight w:val="67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Вид </w:t>
            </w:r>
          </w:p>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vAlign w:val="center"/>
          </w:tcPr>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Мерна </w:t>
            </w:r>
          </w:p>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единица</w:t>
            </w:r>
          </w:p>
        </w:tc>
        <w:tc>
          <w:tcPr>
            <w:tcW w:w="1843" w:type="dxa"/>
            <w:tcBorders>
              <w:top w:val="single" w:sz="4" w:space="0" w:color="auto"/>
              <w:left w:val="nil"/>
              <w:bottom w:val="single" w:sz="4" w:space="0" w:color="auto"/>
              <w:right w:val="single" w:sz="4" w:space="0" w:color="auto"/>
            </w:tcBorders>
            <w:vAlign w:val="center"/>
          </w:tcPr>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Цел до края на </w:t>
            </w:r>
          </w:p>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стратегията</w:t>
            </w:r>
          </w:p>
        </w:tc>
        <w:tc>
          <w:tcPr>
            <w:tcW w:w="2126" w:type="dxa"/>
            <w:tcBorders>
              <w:top w:val="single" w:sz="4" w:space="0" w:color="auto"/>
              <w:left w:val="nil"/>
              <w:bottom w:val="single" w:sz="4" w:space="0" w:color="auto"/>
              <w:right w:val="single" w:sz="4" w:space="0" w:color="auto"/>
            </w:tcBorders>
            <w:vAlign w:val="center"/>
          </w:tcPr>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Източник на информация</w:t>
            </w:r>
          </w:p>
        </w:tc>
      </w:tr>
      <w:tr w:rsidR="009329C9">
        <w:trPr>
          <w:trHeight w:val="2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12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126"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rsidR="009329C9">
        <w:trPr>
          <w:trHeight w:val="20"/>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Брой бенефициенти, подпомогнати по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126"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rsidR="009329C9">
        <w:trPr>
          <w:trHeight w:val="66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12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Брой проекти свързани с иновации</w:t>
            </w:r>
          </w:p>
        </w:tc>
        <w:tc>
          <w:tcPr>
            <w:tcW w:w="1701"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126"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rsidR="009329C9">
        <w:trPr>
          <w:trHeight w:val="1266"/>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Брой на създадените нови работни места или запазени съществуващи</w:t>
            </w:r>
          </w:p>
        </w:tc>
        <w:tc>
          <w:tcPr>
            <w:tcW w:w="1701"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126"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w:t>
            </w:r>
          </w:p>
        </w:tc>
      </w:tr>
    </w:tbl>
    <w:p w:rsidR="009329C9" w:rsidRDefault="009329C9">
      <w:pPr>
        <w:spacing w:after="120"/>
        <w:ind w:right="-1"/>
        <w:jc w:val="both"/>
        <w:rPr>
          <w:rFonts w:ascii="Times New Roman" w:hAnsi="Times New Roman" w:cs="Times New Roman"/>
        </w:rPr>
      </w:pPr>
    </w:p>
    <w:tbl>
      <w:tblPr>
        <w:tblStyle w:val="af3"/>
        <w:tblW w:w="9746" w:type="dxa"/>
        <w:tblInd w:w="108" w:type="dxa"/>
        <w:tblLook w:val="04A0" w:firstRow="1" w:lastRow="0" w:firstColumn="1" w:lastColumn="0" w:noHBand="0" w:noVBand="1"/>
      </w:tblPr>
      <w:tblGrid>
        <w:gridCol w:w="1418"/>
        <w:gridCol w:w="2551"/>
        <w:gridCol w:w="1701"/>
        <w:gridCol w:w="1951"/>
        <w:gridCol w:w="2125"/>
      </w:tblGrid>
      <w:tr w:rsidR="009329C9">
        <w:tc>
          <w:tcPr>
            <w:tcW w:w="9746" w:type="dxa"/>
            <w:gridSpan w:val="5"/>
            <w:shd w:val="clear" w:color="auto" w:fill="D9D9D9" w:themeFill="background1" w:themeFillShade="D9"/>
          </w:tcPr>
          <w:p w:rsidR="009329C9" w:rsidRDefault="00B5212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Индикатори по мярка 4.2</w:t>
            </w:r>
          </w:p>
        </w:tc>
      </w:tr>
      <w:tr w:rsidR="009329C9">
        <w:tc>
          <w:tcPr>
            <w:tcW w:w="1418" w:type="dxa"/>
          </w:tcPr>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Вид </w:t>
            </w:r>
          </w:p>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w:t>
            </w:r>
          </w:p>
        </w:tc>
        <w:tc>
          <w:tcPr>
            <w:tcW w:w="2551" w:type="dxa"/>
            <w:vAlign w:val="center"/>
          </w:tcPr>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w:t>
            </w:r>
          </w:p>
        </w:tc>
        <w:tc>
          <w:tcPr>
            <w:tcW w:w="1701" w:type="dxa"/>
            <w:vAlign w:val="center"/>
          </w:tcPr>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Мерна </w:t>
            </w:r>
          </w:p>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единица</w:t>
            </w:r>
          </w:p>
        </w:tc>
        <w:tc>
          <w:tcPr>
            <w:tcW w:w="1951" w:type="dxa"/>
            <w:vAlign w:val="center"/>
          </w:tcPr>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Цел до края на стратегията</w:t>
            </w:r>
          </w:p>
        </w:tc>
        <w:tc>
          <w:tcPr>
            <w:tcW w:w="2125" w:type="dxa"/>
            <w:vAlign w:val="center"/>
          </w:tcPr>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Източник на информация</w:t>
            </w:r>
          </w:p>
        </w:tc>
      </w:tr>
      <w:tr w:rsidR="009329C9">
        <w:tc>
          <w:tcPr>
            <w:tcW w:w="1418" w:type="dxa"/>
            <w:vMerge w:val="restart"/>
            <w:vAlign w:val="center"/>
          </w:tcPr>
          <w:p w:rsidR="009329C9" w:rsidRDefault="00B5212B">
            <w:pPr>
              <w:spacing w:after="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Изходен</w:t>
            </w:r>
          </w:p>
        </w:tc>
        <w:tc>
          <w:tcPr>
            <w:tcW w:w="2551" w:type="dxa"/>
          </w:tcPr>
          <w:p w:rsidR="009329C9" w:rsidRDefault="00B5212B">
            <w:pPr>
              <w:spacing w:after="0"/>
              <w:rPr>
                <w:rFonts w:ascii="Times New Roman" w:hAnsi="Times New Roman" w:cs="Times New Roman"/>
                <w:b/>
                <w:color w:val="000000"/>
                <w:sz w:val="24"/>
                <w:szCs w:val="24"/>
              </w:rPr>
            </w:pPr>
            <w:r>
              <w:rPr>
                <w:rFonts w:ascii="Times New Roman" w:hAnsi="Times New Roman" w:cs="Times New Roman"/>
                <w:color w:val="000000"/>
                <w:sz w:val="24"/>
                <w:szCs w:val="24"/>
              </w:rPr>
              <w:t>Брой проекти, финансирани по мярката</w:t>
            </w:r>
          </w:p>
        </w:tc>
        <w:tc>
          <w:tcPr>
            <w:tcW w:w="1701" w:type="dxa"/>
            <w:vAlign w:val="center"/>
          </w:tcPr>
          <w:p w:rsidR="009329C9" w:rsidRDefault="00B5212B">
            <w:pPr>
              <w:spacing w:after="120" w:line="240" w:lineRule="auto"/>
              <w:ind w:right="-1"/>
              <w:rPr>
                <w:rFonts w:ascii="Times New Roman" w:hAnsi="Times New Roman" w:cs="Times New Roman"/>
                <w:b/>
                <w:color w:val="000000"/>
                <w:sz w:val="24"/>
                <w:szCs w:val="24"/>
              </w:rPr>
            </w:pPr>
            <w:r>
              <w:rPr>
                <w:rFonts w:ascii="Times New Roman" w:hAnsi="Times New Roman" w:cs="Times New Roman"/>
                <w:color w:val="000000"/>
                <w:sz w:val="24"/>
                <w:szCs w:val="24"/>
              </w:rPr>
              <w:t>Брой</w:t>
            </w:r>
          </w:p>
        </w:tc>
        <w:tc>
          <w:tcPr>
            <w:tcW w:w="195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5" w:type="dxa"/>
            <w:vAlign w:val="center"/>
          </w:tcPr>
          <w:p w:rsidR="009329C9" w:rsidRDefault="00B5212B">
            <w:pPr>
              <w:spacing w:after="120" w:line="240" w:lineRule="auto"/>
              <w:ind w:right="-1"/>
              <w:rPr>
                <w:rFonts w:ascii="Times New Roman" w:hAnsi="Times New Roman" w:cs="Times New Roman"/>
                <w:b/>
                <w:color w:val="000000"/>
                <w:sz w:val="24"/>
                <w:szCs w:val="24"/>
              </w:rPr>
            </w:pPr>
            <w:r>
              <w:rPr>
                <w:rFonts w:ascii="Times New Roman" w:hAnsi="Times New Roman" w:cs="Times New Roman"/>
                <w:color w:val="000000"/>
                <w:sz w:val="24"/>
                <w:szCs w:val="24"/>
              </w:rPr>
              <w:t>База данни на  МИГ, ИСУН</w:t>
            </w:r>
          </w:p>
        </w:tc>
      </w:tr>
      <w:tr w:rsidR="009329C9">
        <w:tc>
          <w:tcPr>
            <w:tcW w:w="1418" w:type="dxa"/>
            <w:vMerge/>
          </w:tcPr>
          <w:p w:rsidR="009329C9" w:rsidRDefault="009329C9">
            <w:pPr>
              <w:spacing w:after="0" w:line="240" w:lineRule="auto"/>
              <w:ind w:right="-1"/>
              <w:rPr>
                <w:rFonts w:ascii="Times New Roman" w:hAnsi="Times New Roman" w:cs="Times New Roman"/>
                <w:color w:val="000000"/>
                <w:sz w:val="24"/>
                <w:szCs w:val="24"/>
              </w:rPr>
            </w:pPr>
          </w:p>
        </w:tc>
        <w:tc>
          <w:tcPr>
            <w:tcW w:w="2551" w:type="dxa"/>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Брой бенефициенти, подпомогнати по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мярката</w:t>
            </w:r>
          </w:p>
        </w:tc>
        <w:tc>
          <w:tcPr>
            <w:tcW w:w="170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95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5"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rsidR="009329C9">
        <w:tc>
          <w:tcPr>
            <w:tcW w:w="1418" w:type="dxa"/>
            <w:vMerge w:val="restart"/>
            <w:vAlign w:val="center"/>
          </w:tcPr>
          <w:p w:rsidR="009329C9" w:rsidRDefault="00B5212B">
            <w:pPr>
              <w:spacing w:after="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Резултат</w:t>
            </w:r>
          </w:p>
        </w:tc>
        <w:tc>
          <w:tcPr>
            <w:tcW w:w="2551" w:type="dxa"/>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Брой проекти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свързани с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иновации</w:t>
            </w:r>
          </w:p>
        </w:tc>
        <w:tc>
          <w:tcPr>
            <w:tcW w:w="170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95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5"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rsidR="009329C9">
        <w:tc>
          <w:tcPr>
            <w:tcW w:w="1418" w:type="dxa"/>
            <w:vMerge/>
          </w:tcPr>
          <w:p w:rsidR="009329C9" w:rsidRDefault="009329C9">
            <w:pPr>
              <w:spacing w:after="0" w:line="240" w:lineRule="auto"/>
              <w:ind w:right="-1"/>
              <w:rPr>
                <w:rFonts w:ascii="Times New Roman" w:hAnsi="Times New Roman" w:cs="Times New Roman"/>
                <w:color w:val="000000"/>
                <w:sz w:val="24"/>
                <w:szCs w:val="24"/>
              </w:rPr>
            </w:pPr>
          </w:p>
        </w:tc>
        <w:tc>
          <w:tcPr>
            <w:tcW w:w="2551" w:type="dxa"/>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Общ брой на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създадените нови работни места или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запазени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съществуващи</w:t>
            </w:r>
          </w:p>
        </w:tc>
        <w:tc>
          <w:tcPr>
            <w:tcW w:w="170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95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125"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w:t>
            </w:r>
          </w:p>
        </w:tc>
      </w:tr>
    </w:tbl>
    <w:p w:rsidR="009329C9" w:rsidRDefault="009329C9">
      <w:pPr>
        <w:spacing w:after="120"/>
        <w:ind w:right="-1"/>
        <w:jc w:val="both"/>
        <w:rPr>
          <w:rFonts w:ascii="Times New Roman" w:hAnsi="Times New Roman" w:cs="Times New Roman"/>
        </w:rPr>
      </w:pPr>
    </w:p>
    <w:tbl>
      <w:tblPr>
        <w:tblW w:w="9639" w:type="dxa"/>
        <w:tblInd w:w="70" w:type="dxa"/>
        <w:tblCellMar>
          <w:left w:w="70" w:type="dxa"/>
          <w:right w:w="70" w:type="dxa"/>
        </w:tblCellMar>
        <w:tblLook w:val="04A0" w:firstRow="1" w:lastRow="0" w:firstColumn="1" w:lastColumn="0" w:noHBand="0" w:noVBand="1"/>
      </w:tblPr>
      <w:tblGrid>
        <w:gridCol w:w="1418"/>
        <w:gridCol w:w="2693"/>
        <w:gridCol w:w="1559"/>
        <w:gridCol w:w="1701"/>
        <w:gridCol w:w="2268"/>
      </w:tblGrid>
      <w:tr w:rsidR="009329C9">
        <w:trPr>
          <w:trHeight w:val="424"/>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Индикатори по мярка 6.4</w:t>
            </w:r>
          </w:p>
        </w:tc>
      </w:tr>
      <w:tr w:rsidR="009329C9">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Вид индикатор</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Мерна 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Цел до края на </w:t>
            </w:r>
          </w:p>
          <w:p w:rsidR="009329C9" w:rsidRDefault="00B5212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Източник на информация</w:t>
            </w:r>
          </w:p>
        </w:tc>
      </w:tr>
      <w:tr w:rsidR="009329C9">
        <w:trPr>
          <w:trHeight w:val="90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Изходен</w:t>
            </w:r>
          </w:p>
        </w:tc>
        <w:tc>
          <w:tcPr>
            <w:tcW w:w="2693"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проекти, </w:t>
            </w:r>
          </w:p>
          <w:p w:rsidR="009329C9" w:rsidRDefault="00B5212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финансирани по </w:t>
            </w:r>
          </w:p>
          <w:p w:rsidR="009329C9" w:rsidRDefault="00B5212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413"/>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бенефициенти, подпомогнати по </w:t>
            </w:r>
          </w:p>
          <w:p w:rsidR="009329C9" w:rsidRDefault="00B5212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МИГ,ИСУН</w:t>
            </w:r>
          </w:p>
        </w:tc>
      </w:tr>
      <w:tr w:rsidR="009329C9">
        <w:trPr>
          <w:trHeight w:val="70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Резултат</w:t>
            </w:r>
          </w:p>
        </w:tc>
        <w:tc>
          <w:tcPr>
            <w:tcW w:w="2693"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 проекти свързани с иновации</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1279"/>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на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създадените нови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работни места или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запазени съществуващи</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tc>
      </w:tr>
    </w:tbl>
    <w:p w:rsidR="009329C9" w:rsidRDefault="009329C9">
      <w:pPr>
        <w:spacing w:after="120"/>
        <w:ind w:right="-1"/>
        <w:jc w:val="both"/>
        <w:rPr>
          <w:rFonts w:ascii="Times New Roman" w:hAnsi="Times New Roman" w:cs="Times New Roman"/>
          <w:sz w:val="24"/>
          <w:szCs w:val="24"/>
        </w:rPr>
      </w:pPr>
    </w:p>
    <w:tbl>
      <w:tblPr>
        <w:tblW w:w="9639" w:type="dxa"/>
        <w:tblInd w:w="70" w:type="dxa"/>
        <w:tblCellMar>
          <w:left w:w="70" w:type="dxa"/>
          <w:right w:w="70" w:type="dxa"/>
        </w:tblCellMar>
        <w:tblLook w:val="04A0" w:firstRow="1" w:lastRow="0" w:firstColumn="1" w:lastColumn="0" w:noHBand="0" w:noVBand="1"/>
      </w:tblPr>
      <w:tblGrid>
        <w:gridCol w:w="1418"/>
        <w:gridCol w:w="2977"/>
        <w:gridCol w:w="1417"/>
        <w:gridCol w:w="1559"/>
        <w:gridCol w:w="2268"/>
      </w:tblGrid>
      <w:tr w:rsidR="009329C9">
        <w:trPr>
          <w:trHeight w:val="376"/>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Индикатори по мярка 7.2</w:t>
            </w:r>
          </w:p>
        </w:tc>
      </w:tr>
      <w:tr w:rsidR="009329C9">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Вид </w:t>
            </w:r>
          </w:p>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Мерна </w:t>
            </w:r>
          </w:p>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Цел до края на </w:t>
            </w:r>
          </w:p>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Източник на информация</w:t>
            </w:r>
          </w:p>
        </w:tc>
      </w:tr>
      <w:tr w:rsidR="009329C9">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проекти,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709"/>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бенефициенти,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655"/>
        </w:trPr>
        <w:tc>
          <w:tcPr>
            <w:tcW w:w="1418" w:type="dxa"/>
            <w:vMerge w:val="restart"/>
            <w:tcBorders>
              <w:top w:val="single" w:sz="4" w:space="0" w:color="auto"/>
              <w:left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 проекти свързани с подобряване на сгради свързани с предоставяне на обществени услуги</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632"/>
        </w:trPr>
        <w:tc>
          <w:tcPr>
            <w:tcW w:w="1418" w:type="dxa"/>
            <w:vMerge/>
            <w:tcBorders>
              <w:left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изградени или ремонтирани детски площадки </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tc>
      </w:tr>
      <w:tr w:rsidR="009329C9">
        <w:trPr>
          <w:trHeight w:val="556"/>
        </w:trPr>
        <w:tc>
          <w:tcPr>
            <w:tcW w:w="1418" w:type="dxa"/>
            <w:vMerge/>
            <w:tcBorders>
              <w:left w:val="single" w:sz="4" w:space="0" w:color="auto"/>
              <w:right w:val="single" w:sz="4" w:space="0" w:color="auto"/>
            </w:tcBorders>
            <w:vAlign w:val="center"/>
          </w:tcPr>
          <w:p w:rsidR="009329C9" w:rsidRDefault="009329C9">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подобрени или ремонтирани зелени площи</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556"/>
        </w:trPr>
        <w:tc>
          <w:tcPr>
            <w:tcW w:w="1418" w:type="dxa"/>
            <w:vMerge/>
            <w:tcBorders>
              <w:left w:val="single" w:sz="4" w:space="0" w:color="auto"/>
              <w:bottom w:val="single" w:sz="4" w:space="0" w:color="000000"/>
              <w:right w:val="single" w:sz="4" w:space="0" w:color="auto"/>
            </w:tcBorders>
            <w:vAlign w:val="center"/>
          </w:tcPr>
          <w:p w:rsidR="009329C9" w:rsidRDefault="009329C9">
            <w:pPr>
              <w:spacing w:after="120" w:line="240" w:lineRule="auto"/>
              <w:ind w:right="-1"/>
              <w:jc w:val="both"/>
              <w:rPr>
                <w:rFonts w:ascii="Times New Roman" w:eastAsia="Times New Roman" w:hAnsi="Times New Roman" w:cs="Times New Roman"/>
                <w:color w:val="000000"/>
              </w:rPr>
            </w:pPr>
          </w:p>
        </w:tc>
        <w:tc>
          <w:tcPr>
            <w:tcW w:w="2977" w:type="dxa"/>
            <w:tcBorders>
              <w:top w:val="single" w:sz="4" w:space="0" w:color="auto"/>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проекти, свързани с рехабилитация на улици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bl>
    <w:p w:rsidR="009329C9" w:rsidRDefault="009329C9">
      <w:pPr>
        <w:spacing w:after="120"/>
        <w:ind w:right="-1"/>
        <w:jc w:val="both"/>
        <w:rPr>
          <w:rFonts w:ascii="Times New Roman" w:hAnsi="Times New Roman" w:cs="Times New Roman"/>
          <w:sz w:val="24"/>
          <w:szCs w:val="24"/>
        </w:rPr>
      </w:pPr>
    </w:p>
    <w:tbl>
      <w:tblPr>
        <w:tblW w:w="9781" w:type="dxa"/>
        <w:tblInd w:w="70" w:type="dxa"/>
        <w:tblCellMar>
          <w:left w:w="70" w:type="dxa"/>
          <w:right w:w="70" w:type="dxa"/>
        </w:tblCellMar>
        <w:tblLook w:val="04A0" w:firstRow="1" w:lastRow="0" w:firstColumn="1" w:lastColumn="0" w:noHBand="0" w:noVBand="1"/>
      </w:tblPr>
      <w:tblGrid>
        <w:gridCol w:w="1418"/>
        <w:gridCol w:w="2551"/>
        <w:gridCol w:w="1701"/>
        <w:gridCol w:w="1701"/>
        <w:gridCol w:w="2410"/>
      </w:tblGrid>
      <w:tr w:rsidR="009329C9">
        <w:trPr>
          <w:trHeight w:val="302"/>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Индикатори по мярка 7.5</w:t>
            </w:r>
          </w:p>
        </w:tc>
      </w:tr>
      <w:tr w:rsidR="009329C9">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Вид </w:t>
            </w:r>
          </w:p>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Мерна </w:t>
            </w:r>
          </w:p>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Цел до края на </w:t>
            </w:r>
          </w:p>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Източник на информация</w:t>
            </w:r>
          </w:p>
        </w:tc>
      </w:tr>
      <w:tr w:rsidR="009329C9">
        <w:trPr>
          <w:trHeight w:val="61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982"/>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бенефициенти, подпомогнати по </w:t>
            </w:r>
          </w:p>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643"/>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 подобрени или създадени центрове за изкуство и/или занаяти</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tc>
      </w:tr>
      <w:tr w:rsidR="009329C9">
        <w:trPr>
          <w:trHeight w:val="952"/>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Население в територията, което се ползава от подобрената среда.</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tc>
      </w:tr>
    </w:tbl>
    <w:p w:rsidR="009329C9" w:rsidRDefault="009329C9">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418"/>
        <w:gridCol w:w="2977"/>
        <w:gridCol w:w="1417"/>
        <w:gridCol w:w="1559"/>
        <w:gridCol w:w="2410"/>
      </w:tblGrid>
      <w:tr w:rsidR="009329C9">
        <w:trPr>
          <w:trHeight w:val="413"/>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Индикатори по мярка 7.11</w:t>
            </w:r>
          </w:p>
        </w:tc>
      </w:tr>
      <w:tr w:rsidR="009329C9">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Вид </w:t>
            </w:r>
          </w:p>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Мерна </w:t>
            </w:r>
          </w:p>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Цел до края на </w:t>
            </w:r>
          </w:p>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Източник на информация</w:t>
            </w:r>
          </w:p>
        </w:tc>
      </w:tr>
      <w:tr w:rsidR="009329C9">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проекти,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709"/>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бенефициенти,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Организирани и проведени фестивали и събития свързани с местното културно наследство</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tc>
      </w:tr>
      <w:tr w:rsidR="009329C9">
        <w:trPr>
          <w:trHeight w:val="884"/>
        </w:trPr>
        <w:tc>
          <w:tcPr>
            <w:tcW w:w="1418" w:type="dxa"/>
            <w:vMerge/>
            <w:tcBorders>
              <w:top w:val="single" w:sz="4" w:space="0" w:color="auto"/>
              <w:left w:val="single" w:sz="4" w:space="0" w:color="auto"/>
              <w:bottom w:val="single" w:sz="4" w:space="0" w:color="000000"/>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Организирани и проведени събития свързани със спортни мероприятия</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tc>
      </w:tr>
      <w:tr w:rsidR="009329C9">
        <w:trPr>
          <w:trHeight w:val="655"/>
        </w:trPr>
        <w:tc>
          <w:tcPr>
            <w:tcW w:w="1418" w:type="dxa"/>
            <w:vMerge/>
            <w:tcBorders>
              <w:top w:val="single" w:sz="4" w:space="0" w:color="auto"/>
              <w:left w:val="single" w:sz="4" w:space="0" w:color="auto"/>
              <w:bottom w:val="single" w:sz="4" w:space="0" w:color="000000"/>
              <w:right w:val="single" w:sz="4" w:space="0" w:color="auto"/>
            </w:tcBorders>
            <w:vAlign w:val="center"/>
          </w:tcPr>
          <w:p w:rsidR="009329C9" w:rsidRDefault="009329C9">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Проучвания свързани с културното наследство</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bl>
    <w:p w:rsidR="009329C9" w:rsidRDefault="009329C9">
      <w:pPr>
        <w:ind w:right="-1"/>
        <w:jc w:val="both"/>
        <w:rPr>
          <w:rFonts w:ascii="Times New Roman" w:hAnsi="Times New Roman" w:cs="Times New Roman"/>
          <w:sz w:val="24"/>
          <w:szCs w:val="24"/>
        </w:rPr>
      </w:pPr>
    </w:p>
    <w:p w:rsidR="009329C9" w:rsidRDefault="00B5212B">
      <w:pPr>
        <w:pStyle w:val="2"/>
        <w:rPr>
          <w:rFonts w:ascii="Times New Roman" w:hAnsi="Times New Roman" w:cs="Times New Roman"/>
          <w:b/>
          <w:color w:val="auto"/>
          <w:sz w:val="24"/>
          <w:szCs w:val="24"/>
        </w:rPr>
      </w:pPr>
      <w:r>
        <w:rPr>
          <w:rFonts w:ascii="Times New Roman" w:hAnsi="Times New Roman" w:cs="Times New Roman"/>
          <w:b/>
          <w:color w:val="auto"/>
          <w:sz w:val="24"/>
          <w:szCs w:val="24"/>
        </w:rPr>
        <w:t>9.3Индикатори по мерки от ОПОС 2014-2020г.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
        <w:gridCol w:w="5535"/>
        <w:gridCol w:w="1565"/>
        <w:gridCol w:w="1743"/>
      </w:tblGrid>
      <w:tr w:rsidR="009329C9">
        <w:tc>
          <w:tcPr>
            <w:tcW w:w="9746" w:type="dxa"/>
            <w:gridSpan w:val="4"/>
            <w:shd w:val="clear" w:color="auto" w:fill="BFBFBF" w:themeFill="background1" w:themeFillShade="BF"/>
            <w:vAlign w:val="center"/>
          </w:tcPr>
          <w:p w:rsidR="009329C9" w:rsidRDefault="00B5212B">
            <w:pPr>
              <w:autoSpaceDE w:val="0"/>
              <w:autoSpaceDN w:val="0"/>
              <w:adjustRightInd w:val="0"/>
              <w:spacing w:after="0"/>
              <w:ind w:right="567"/>
              <w:jc w:val="center"/>
              <w:rPr>
                <w:rFonts w:ascii="Times New Roman" w:hAnsi="Times New Roman" w:cs="Times New Roman"/>
                <w:b/>
                <w:sz w:val="24"/>
                <w:szCs w:val="24"/>
              </w:rPr>
            </w:pPr>
            <w:r>
              <w:rPr>
                <w:rFonts w:ascii="Times New Roman" w:hAnsi="Times New Roman" w:cs="Times New Roman"/>
                <w:b/>
                <w:sz w:val="24"/>
                <w:szCs w:val="24"/>
              </w:rPr>
              <w:t>ИНДИКАТОРИ ПО Подобряване на природозащитното състояние на видове от мрежата Натура 2000 чрез подхода ВОМР</w:t>
            </w:r>
          </w:p>
        </w:tc>
      </w:tr>
      <w:tr w:rsidR="009329C9">
        <w:tc>
          <w:tcPr>
            <w:tcW w:w="903" w:type="dxa"/>
            <w:vAlign w:val="center"/>
          </w:tcPr>
          <w:p w:rsidR="009329C9" w:rsidRDefault="00B5212B">
            <w:pPr>
              <w:autoSpaceDE w:val="0"/>
              <w:autoSpaceDN w:val="0"/>
              <w:adjustRightInd w:val="0"/>
              <w:spacing w:after="0"/>
              <w:ind w:right="34"/>
              <w:jc w:val="both"/>
              <w:rPr>
                <w:rFonts w:ascii="Times New Roman" w:hAnsi="Times New Roman" w:cs="Times New Roman"/>
                <w:b/>
                <w:sz w:val="24"/>
                <w:szCs w:val="24"/>
                <w:lang w:val="en-US"/>
              </w:rPr>
            </w:pPr>
            <w:r>
              <w:rPr>
                <w:rFonts w:ascii="Times New Roman" w:hAnsi="Times New Roman" w:cs="Times New Roman"/>
                <w:b/>
                <w:sz w:val="24"/>
                <w:szCs w:val="24"/>
                <w:lang w:val="en-US"/>
              </w:rPr>
              <w:t>ID</w:t>
            </w:r>
          </w:p>
        </w:tc>
        <w:tc>
          <w:tcPr>
            <w:tcW w:w="0" w:type="auto"/>
            <w:vAlign w:val="center"/>
          </w:tcPr>
          <w:p w:rsidR="009329C9" w:rsidRDefault="00B5212B">
            <w:pPr>
              <w:autoSpaceDE w:val="0"/>
              <w:autoSpaceDN w:val="0"/>
              <w:adjustRightInd w:val="0"/>
              <w:spacing w:after="0"/>
              <w:ind w:right="567"/>
              <w:jc w:val="both"/>
              <w:rPr>
                <w:rFonts w:ascii="Times New Roman" w:hAnsi="Times New Roman" w:cs="Times New Roman"/>
                <w:b/>
                <w:sz w:val="24"/>
                <w:szCs w:val="24"/>
              </w:rPr>
            </w:pPr>
            <w:r>
              <w:rPr>
                <w:rFonts w:ascii="Times New Roman" w:hAnsi="Times New Roman" w:cs="Times New Roman"/>
                <w:b/>
                <w:sz w:val="24"/>
                <w:szCs w:val="24"/>
              </w:rPr>
              <w:t>Индикатор</w:t>
            </w:r>
          </w:p>
        </w:tc>
        <w:tc>
          <w:tcPr>
            <w:tcW w:w="0" w:type="auto"/>
            <w:vAlign w:val="center"/>
          </w:tcPr>
          <w:p w:rsidR="009329C9" w:rsidRDefault="00B5212B">
            <w:pPr>
              <w:autoSpaceDE w:val="0"/>
              <w:autoSpaceDN w:val="0"/>
              <w:adjustRightInd w:val="0"/>
              <w:spacing w:after="0"/>
              <w:ind w:right="114"/>
              <w:jc w:val="both"/>
              <w:rPr>
                <w:rFonts w:ascii="Times New Roman" w:hAnsi="Times New Roman" w:cs="Times New Roman"/>
                <w:b/>
                <w:sz w:val="24"/>
                <w:szCs w:val="24"/>
              </w:rPr>
            </w:pPr>
            <w:r>
              <w:rPr>
                <w:rFonts w:ascii="Times New Roman" w:hAnsi="Times New Roman" w:cs="Times New Roman"/>
                <w:b/>
                <w:sz w:val="24"/>
                <w:szCs w:val="24"/>
              </w:rPr>
              <w:t xml:space="preserve">Мерна </w:t>
            </w:r>
          </w:p>
          <w:p w:rsidR="009329C9" w:rsidRDefault="00B5212B">
            <w:pPr>
              <w:autoSpaceDE w:val="0"/>
              <w:autoSpaceDN w:val="0"/>
              <w:adjustRightInd w:val="0"/>
              <w:spacing w:after="0"/>
              <w:ind w:right="114"/>
              <w:jc w:val="both"/>
              <w:rPr>
                <w:rFonts w:ascii="Times New Roman" w:hAnsi="Times New Roman" w:cs="Times New Roman"/>
                <w:b/>
                <w:sz w:val="24"/>
                <w:szCs w:val="24"/>
              </w:rPr>
            </w:pPr>
            <w:r>
              <w:rPr>
                <w:rFonts w:ascii="Times New Roman" w:hAnsi="Times New Roman" w:cs="Times New Roman"/>
                <w:b/>
                <w:sz w:val="24"/>
                <w:szCs w:val="24"/>
              </w:rPr>
              <w:t>единица</w:t>
            </w:r>
          </w:p>
        </w:tc>
        <w:tc>
          <w:tcPr>
            <w:tcW w:w="0" w:type="auto"/>
            <w:vAlign w:val="center"/>
          </w:tcPr>
          <w:p w:rsidR="009329C9" w:rsidRDefault="009329C9">
            <w:pPr>
              <w:tabs>
                <w:tab w:val="left" w:pos="837"/>
              </w:tabs>
              <w:autoSpaceDE w:val="0"/>
              <w:autoSpaceDN w:val="0"/>
              <w:adjustRightInd w:val="0"/>
              <w:spacing w:after="0"/>
              <w:ind w:right="33"/>
              <w:jc w:val="both"/>
              <w:rPr>
                <w:rFonts w:ascii="Times New Roman" w:hAnsi="Times New Roman" w:cs="Times New Roman"/>
                <w:b/>
                <w:sz w:val="24"/>
                <w:szCs w:val="24"/>
              </w:rPr>
            </w:pPr>
          </w:p>
        </w:tc>
      </w:tr>
      <w:tr w:rsidR="009329C9">
        <w:tc>
          <w:tcPr>
            <w:tcW w:w="903" w:type="dxa"/>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rsidR="009329C9" w:rsidRDefault="00B5212B">
            <w:pPr>
              <w:autoSpaceDE w:val="0"/>
              <w:autoSpaceDN w:val="0"/>
              <w:adjustRightInd w:val="0"/>
              <w:spacing w:after="0"/>
              <w:ind w:right="34"/>
              <w:jc w:val="both"/>
              <w:rPr>
                <w:rFonts w:ascii="Times New Roman" w:hAnsi="Times New Roman" w:cs="Times New Roman"/>
                <w:sz w:val="24"/>
                <w:szCs w:val="24"/>
              </w:rPr>
            </w:pPr>
            <w:r>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0" w:type="auto"/>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хектара</w:t>
            </w:r>
          </w:p>
        </w:tc>
        <w:tc>
          <w:tcPr>
            <w:tcW w:w="0" w:type="auto"/>
            <w:shd w:val="clear" w:color="auto" w:fill="auto"/>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bCs/>
                <w:sz w:val="24"/>
                <w:szCs w:val="24"/>
              </w:rPr>
              <w:t>40 776,87</w:t>
            </w:r>
          </w:p>
        </w:tc>
      </w:tr>
      <w:tr w:rsidR="009329C9">
        <w:tc>
          <w:tcPr>
            <w:tcW w:w="903" w:type="dxa"/>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9329C9" w:rsidRDefault="00B5212B">
            <w:pPr>
              <w:autoSpaceDE w:val="0"/>
              <w:autoSpaceDN w:val="0"/>
              <w:adjustRightInd w:val="0"/>
              <w:spacing w:after="0"/>
              <w:ind w:right="34"/>
              <w:jc w:val="both"/>
              <w:rPr>
                <w:rFonts w:ascii="Times New Roman" w:hAnsi="Times New Roman" w:cs="Times New Roman"/>
                <w:sz w:val="24"/>
                <w:szCs w:val="24"/>
              </w:rPr>
            </w:pPr>
            <w:r>
              <w:rPr>
                <w:rFonts w:ascii="Times New Roman" w:hAnsi="Times New Roman" w:cs="Times New Roman"/>
                <w:sz w:val="24"/>
                <w:szCs w:val="24"/>
              </w:rPr>
              <w:t>Видове, за чието опазване се изпълняват дейности</w:t>
            </w:r>
          </w:p>
        </w:tc>
        <w:tc>
          <w:tcPr>
            <w:tcW w:w="0" w:type="auto"/>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брой</w:t>
            </w:r>
          </w:p>
        </w:tc>
        <w:tc>
          <w:tcPr>
            <w:tcW w:w="0" w:type="auto"/>
            <w:shd w:val="clear" w:color="auto" w:fill="auto"/>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11</w:t>
            </w:r>
          </w:p>
        </w:tc>
      </w:tr>
    </w:tbl>
    <w:p w:rsidR="009329C9" w:rsidRDefault="009329C9">
      <w:pPr>
        <w:pStyle w:val="2"/>
        <w:rPr>
          <w:rFonts w:ascii="Times New Roman" w:hAnsi="Times New Roman" w:cs="Times New Roman"/>
          <w:b/>
          <w:color w:val="auto"/>
          <w:sz w:val="24"/>
          <w:szCs w:val="24"/>
        </w:rPr>
      </w:pPr>
    </w:p>
    <w:p w:rsidR="009329C9" w:rsidRDefault="00B5212B">
      <w:pPr>
        <w:pStyle w:val="2"/>
        <w:rPr>
          <w:rFonts w:ascii="Times New Roman" w:hAnsi="Times New Roman" w:cs="Times New Roman"/>
          <w:b/>
          <w:color w:val="auto"/>
          <w:sz w:val="24"/>
          <w:szCs w:val="24"/>
        </w:rPr>
      </w:pPr>
      <w:r>
        <w:rPr>
          <w:rFonts w:ascii="Times New Roman" w:hAnsi="Times New Roman" w:cs="Times New Roman"/>
          <w:b/>
          <w:color w:val="auto"/>
          <w:sz w:val="24"/>
          <w:szCs w:val="24"/>
        </w:rPr>
        <w:t>9.4 Индикатори по мерки от ОПНОИР 2014-2020г.</w:t>
      </w:r>
    </w:p>
    <w:tbl>
      <w:tblPr>
        <w:tblW w:w="9822"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9329C9">
        <w:trPr>
          <w:trHeight w:val="679"/>
        </w:trPr>
        <w:tc>
          <w:tcPr>
            <w:tcW w:w="98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 2.1 Социално-икономическа интеграция на маргинализирани общности като ромите</w:t>
            </w:r>
          </w:p>
        </w:tc>
      </w:tr>
      <w:tr w:rsidR="009329C9">
        <w:trPr>
          <w:trHeight w:val="6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 до края 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Източник на информация</w:t>
            </w:r>
          </w:p>
        </w:tc>
      </w:tr>
      <w:tr w:rsidR="009329C9">
        <w:trPr>
          <w:trHeight w:val="717"/>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Брой проекти, </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9"/>
        </w:trPr>
        <w:tc>
          <w:tcPr>
            <w:tcW w:w="1333"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6"/>
        </w:trPr>
        <w:tc>
          <w:tcPr>
            <w:tcW w:w="1333"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704 098,80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696"/>
        </w:trPr>
        <w:tc>
          <w:tcPr>
            <w:tcW w:w="1333" w:type="dxa"/>
            <w:tcBorders>
              <w:top w:val="nil"/>
              <w:left w:val="single" w:sz="4" w:space="0" w:color="auto"/>
              <w:bottom w:val="single" w:sz="4" w:space="0" w:color="000000"/>
              <w:right w:val="single" w:sz="4" w:space="0" w:color="auto"/>
            </w:tcBorders>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 изпълнение</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985"/>
        </w:trPr>
        <w:tc>
          <w:tcPr>
            <w:tcW w:w="1333" w:type="dxa"/>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12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резултат</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деца, ученици и младежи от маргинализирани общности (вкл. роми) интегрирани в образователната система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bl>
    <w:p w:rsidR="009329C9" w:rsidRDefault="009329C9">
      <w:pPr>
        <w:rPr>
          <w:rFonts w:ascii="Times New Roman" w:hAnsi="Times New Roman" w:cs="Times New Roman"/>
        </w:rPr>
      </w:pPr>
    </w:p>
    <w:p w:rsidR="009329C9" w:rsidRDefault="00B5212B">
      <w:pPr>
        <w:pStyle w:val="2"/>
        <w:rPr>
          <w:rFonts w:ascii="Times New Roman" w:hAnsi="Times New Roman" w:cs="Times New Roman"/>
          <w:b/>
          <w:color w:val="auto"/>
          <w:sz w:val="24"/>
          <w:szCs w:val="24"/>
        </w:rPr>
      </w:pPr>
      <w:r>
        <w:rPr>
          <w:rFonts w:ascii="Times New Roman" w:hAnsi="Times New Roman" w:cs="Times New Roman"/>
          <w:b/>
          <w:color w:val="auto"/>
          <w:sz w:val="24"/>
          <w:szCs w:val="24"/>
        </w:rPr>
        <w:t>9.5 Индикатори по мерки от ОПРЧР 2014-2020г.</w:t>
      </w:r>
    </w:p>
    <w:tbl>
      <w:tblPr>
        <w:tblW w:w="9823" w:type="dxa"/>
        <w:tblInd w:w="70" w:type="dxa"/>
        <w:tblCellMar>
          <w:left w:w="70" w:type="dxa"/>
          <w:right w:w="70" w:type="dxa"/>
        </w:tblCellMar>
        <w:tblLook w:val="04A0" w:firstRow="1" w:lastRow="0" w:firstColumn="1" w:lastColumn="0" w:noHBand="0" w:noVBand="1"/>
      </w:tblPr>
      <w:tblGrid>
        <w:gridCol w:w="1334"/>
        <w:gridCol w:w="2835"/>
        <w:gridCol w:w="1559"/>
        <w:gridCol w:w="1701"/>
        <w:gridCol w:w="2394"/>
      </w:tblGrid>
      <w:tr w:rsidR="009329C9">
        <w:trPr>
          <w:trHeight w:val="439"/>
        </w:trPr>
        <w:tc>
          <w:tcPr>
            <w:tcW w:w="98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jc w:val="center"/>
              <w:rPr>
                <w:rFonts w:ascii="Times New Roman" w:eastAsia="Times New Roman" w:hAnsi="Times New Roman" w:cs="Times New Roman"/>
                <w:sz w:val="24"/>
                <w:szCs w:val="24"/>
              </w:rPr>
            </w:pPr>
            <w:r>
              <w:rPr>
                <w:rFonts w:ascii="Times New Roman" w:eastAsia="Calibri" w:hAnsi="Times New Roman" w:cs="Times New Roman"/>
                <w:b/>
                <w:sz w:val="24"/>
                <w:szCs w:val="24"/>
                <w:lang w:eastAsia="en-US"/>
              </w:rPr>
              <w:t xml:space="preserve">МЯРКА 1.1 </w:t>
            </w:r>
            <w:r>
              <w:rPr>
                <w:rFonts w:ascii="Times New Roman" w:eastAsia="Times New Roman" w:hAnsi="Times New Roman" w:cs="Times New Roman"/>
                <w:b/>
                <w:sz w:val="24"/>
                <w:szCs w:val="24"/>
              </w:rPr>
              <w:t>Достъп до заетост</w:t>
            </w:r>
          </w:p>
        </w:tc>
      </w:tr>
      <w:tr w:rsidR="009329C9">
        <w:trPr>
          <w:trHeight w:val="6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 до края 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Източник на информация</w:t>
            </w:r>
          </w:p>
        </w:tc>
      </w:tr>
      <w:tr w:rsidR="009329C9">
        <w:trPr>
          <w:trHeight w:val="717"/>
        </w:trPr>
        <w:tc>
          <w:tcPr>
            <w:tcW w:w="1334"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Брой проекти,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9"/>
        </w:trPr>
        <w:tc>
          <w:tcPr>
            <w:tcW w:w="1334" w:type="dxa"/>
            <w:vMerge/>
            <w:tcBorders>
              <w:top w:val="nil"/>
              <w:left w:val="single" w:sz="4" w:space="0" w:color="auto"/>
              <w:bottom w:val="single" w:sz="4" w:space="0" w:color="000000"/>
              <w:right w:val="single" w:sz="4" w:space="0" w:color="auto"/>
            </w:tcBorders>
            <w:vAlign w:val="center"/>
          </w:tcPr>
          <w:p w:rsidR="009329C9" w:rsidRDefault="009329C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6"/>
        </w:trPr>
        <w:tc>
          <w:tcPr>
            <w:tcW w:w="1334" w:type="dxa"/>
            <w:vMerge/>
            <w:tcBorders>
              <w:top w:val="nil"/>
              <w:left w:val="single" w:sz="4" w:space="0" w:color="auto"/>
              <w:bottom w:val="single" w:sz="4" w:space="0" w:color="000000"/>
              <w:right w:val="single" w:sz="4" w:space="0" w:color="auto"/>
            </w:tcBorders>
            <w:vAlign w:val="center"/>
          </w:tcPr>
          <w:p w:rsidR="009329C9" w:rsidRDefault="009329C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645 414,00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3854"/>
        </w:trPr>
        <w:tc>
          <w:tcPr>
            <w:tcW w:w="1334" w:type="dxa"/>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резултат</w:t>
            </w:r>
          </w:p>
        </w:tc>
        <w:tc>
          <w:tcPr>
            <w:tcW w:w="2835" w:type="dxa"/>
            <w:tcBorders>
              <w:top w:val="nil"/>
              <w:left w:val="nil"/>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СЦ1 - Участници на възраст от 30 до 54 г. вкл. придобили квалификация при напускане на операцията; СЦ2 – Участници на възраст от 30 до 54 г. вкл. С ниско образование придобили квалификация</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напускане на операцията; СЦ3 – Участници на възраст над 54 г. придобили квалификация при напускане на операцията</w:t>
            </w:r>
          </w:p>
        </w:tc>
        <w:tc>
          <w:tcPr>
            <w:tcW w:w="1559" w:type="dxa"/>
            <w:tcBorders>
              <w:top w:val="nil"/>
              <w:left w:val="nil"/>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94" w:type="dxa"/>
            <w:tcBorders>
              <w:top w:val="nil"/>
              <w:left w:val="nil"/>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794"/>
        </w:trPr>
        <w:tc>
          <w:tcPr>
            <w:tcW w:w="1334" w:type="dxa"/>
            <w:tcBorders>
              <w:top w:val="nil"/>
              <w:left w:val="single" w:sz="4" w:space="0" w:color="auto"/>
              <w:bottom w:val="nil"/>
              <w:right w:val="single" w:sz="4" w:space="0" w:color="auto"/>
            </w:tcBorders>
            <w:vAlign w:val="center"/>
          </w:tcPr>
          <w:p w:rsidR="009329C9" w:rsidRDefault="00B5212B">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изпълнение</w:t>
            </w:r>
          </w:p>
        </w:tc>
        <w:tc>
          <w:tcPr>
            <w:tcW w:w="2835" w:type="dxa"/>
            <w:tcBorders>
              <w:top w:val="nil"/>
              <w:left w:val="nil"/>
              <w:bottom w:val="nil"/>
              <w:right w:val="single" w:sz="4" w:space="0" w:color="auto"/>
            </w:tcBorders>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СЦ1 - Безработни участници на възраст от 30 до 54г. вкл.; СЦ2 – Безработни участници на възраст от 30 до 54г. вкл. С ниско образование; СЦ3 – </w:t>
            </w:r>
            <w:r>
              <w:rPr>
                <w:rFonts w:ascii="Times New Roman" w:eastAsia="Times New Roman" w:hAnsi="Times New Roman" w:cs="Times New Roman"/>
                <w:sz w:val="24"/>
                <w:szCs w:val="24"/>
              </w:rPr>
              <w:lastRenderedPageBreak/>
              <w:t>Безработни участници, вкл продължително безработни или неактивни участници извън образование и обучение над 54 год.</w:t>
            </w:r>
          </w:p>
        </w:tc>
        <w:tc>
          <w:tcPr>
            <w:tcW w:w="1559" w:type="dxa"/>
            <w:tcBorders>
              <w:top w:val="nil"/>
              <w:left w:val="nil"/>
              <w:bottom w:val="nil"/>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брой</w:t>
            </w:r>
          </w:p>
        </w:tc>
        <w:tc>
          <w:tcPr>
            <w:tcW w:w="1701" w:type="dxa"/>
            <w:tcBorders>
              <w:top w:val="nil"/>
              <w:left w:val="nil"/>
              <w:bottom w:val="nil"/>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94" w:type="dxa"/>
            <w:tcBorders>
              <w:top w:val="nil"/>
              <w:left w:val="nil"/>
              <w:bottom w:val="nil"/>
              <w:right w:val="single" w:sz="4" w:space="0" w:color="auto"/>
            </w:tcBorders>
            <w:shd w:val="clear" w:color="auto" w:fill="auto"/>
            <w:noWrap/>
          </w:tcPr>
          <w:p w:rsidR="009329C9" w:rsidRDefault="00B5212B">
            <w:pPr>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rPr>
                <w:rFonts w:ascii="Times New Roman" w:hAnsi="Times New Roman" w:cs="Times New Roman"/>
              </w:rPr>
            </w:pPr>
            <w:r>
              <w:rPr>
                <w:rFonts w:ascii="Times New Roman" w:hAnsi="Times New Roman" w:cs="Times New Roman"/>
              </w:rPr>
              <w:t>ИСУН</w:t>
            </w:r>
          </w:p>
        </w:tc>
      </w:tr>
    </w:tbl>
    <w:p w:rsidR="009329C9" w:rsidRDefault="009329C9">
      <w:pPr>
        <w:pStyle w:val="1"/>
        <w:spacing w:before="0" w:after="120"/>
        <w:ind w:right="-1"/>
        <w:jc w:val="both"/>
        <w:rPr>
          <w:rFonts w:ascii="Times New Roman" w:hAnsi="Times New Roman" w:cs="Times New Roman"/>
          <w:color w:val="auto"/>
          <w:sz w:val="24"/>
          <w:szCs w:val="24"/>
        </w:rPr>
      </w:pPr>
      <w:bookmarkStart w:id="60" w:name="_Toc448392302"/>
      <w:bookmarkStart w:id="61" w:name="_Toc449349446"/>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9329C9">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 1.3  Устойчиво интегриране на пазара на труда на младите хора</w:t>
            </w:r>
          </w:p>
        </w:tc>
      </w:tr>
      <w:tr w:rsidR="009329C9">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 до края 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Източник на информация</w:t>
            </w:r>
          </w:p>
        </w:tc>
      </w:tr>
      <w:tr w:rsidR="009329C9">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Брой проекти,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9"/>
        </w:trPr>
        <w:tc>
          <w:tcPr>
            <w:tcW w:w="1292"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6"/>
        </w:trPr>
        <w:tc>
          <w:tcPr>
            <w:tcW w:w="1292"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195 580,00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985"/>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12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резултат</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СЦ3- Безработни участници на възраст до 29г. вкл. Със завършено средно или висше образование, които при напускане на операцията получават квалификация</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915"/>
        </w:trPr>
        <w:tc>
          <w:tcPr>
            <w:tcW w:w="1292" w:type="dxa"/>
            <w:vMerge/>
            <w:tcBorders>
              <w:top w:val="nil"/>
              <w:left w:val="single" w:sz="4" w:space="0" w:color="auto"/>
              <w:bottom w:val="nil"/>
              <w:right w:val="single" w:sz="4" w:space="0" w:color="auto"/>
            </w:tcBorders>
            <w:vAlign w:val="center"/>
          </w:tcPr>
          <w:p w:rsidR="009329C9" w:rsidRDefault="009329C9">
            <w:pPr>
              <w:spacing w:after="120" w:line="240" w:lineRule="auto"/>
              <w:ind w:right="-1"/>
              <w:jc w:val="both"/>
              <w:rPr>
                <w:rFonts w:ascii="Times New Roman" w:eastAsia="Times New Roman" w:hAnsi="Times New Roman" w:cs="Times New Roman"/>
                <w:sz w:val="24"/>
                <w:szCs w:val="24"/>
              </w:rPr>
            </w:pPr>
          </w:p>
        </w:tc>
        <w:tc>
          <w:tcPr>
            <w:tcW w:w="2835" w:type="dxa"/>
            <w:tcBorders>
              <w:top w:val="nil"/>
              <w:left w:val="nil"/>
              <w:bottom w:val="nil"/>
              <w:right w:val="single" w:sz="4" w:space="0" w:color="auto"/>
            </w:tcBorders>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 които при напускане на операцията имат работа, вкл. Като самостоятелно заети лица</w:t>
            </w:r>
          </w:p>
        </w:tc>
        <w:tc>
          <w:tcPr>
            <w:tcW w:w="1559" w:type="dxa"/>
            <w:tcBorders>
              <w:top w:val="nil"/>
              <w:left w:val="nil"/>
              <w:bottom w:val="nil"/>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nil"/>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394" w:type="dxa"/>
            <w:tcBorders>
              <w:top w:val="nil"/>
              <w:left w:val="nil"/>
              <w:bottom w:val="nil"/>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80"/>
        </w:trPr>
        <w:tc>
          <w:tcPr>
            <w:tcW w:w="1292" w:type="dxa"/>
            <w:tcBorders>
              <w:top w:val="nil"/>
              <w:left w:val="single" w:sz="4" w:space="0" w:color="auto"/>
              <w:bottom w:val="single" w:sz="4" w:space="0" w:color="000000"/>
              <w:right w:val="single" w:sz="4" w:space="0" w:color="auto"/>
            </w:tcBorders>
            <w:vAlign w:val="center"/>
          </w:tcPr>
          <w:p w:rsidR="009329C9" w:rsidRDefault="00B5212B">
            <w:pPr>
              <w:spacing w:after="12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bl>
    <w:p w:rsidR="009329C9" w:rsidRDefault="009329C9">
      <w:pPr>
        <w:rPr>
          <w:rFonts w:ascii="Times New Roman" w:hAnsi="Times New Roman" w:cs="Times New Roman"/>
        </w:rPr>
      </w:pPr>
    </w:p>
    <w:tbl>
      <w:tblPr>
        <w:tblW w:w="9822"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9329C9">
        <w:trPr>
          <w:trHeight w:val="439"/>
        </w:trPr>
        <w:tc>
          <w:tcPr>
            <w:tcW w:w="98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МЯРКА 2.1 Социално-икономическа интеграция на маргинализирани общности </w:t>
            </w:r>
          </w:p>
          <w:p w:rsidR="009329C9" w:rsidRDefault="00B5212B">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като ромите</w:t>
            </w:r>
          </w:p>
        </w:tc>
      </w:tr>
      <w:tr w:rsidR="009329C9">
        <w:trPr>
          <w:trHeight w:val="6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 до края 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Източник на информация</w:t>
            </w:r>
          </w:p>
        </w:tc>
      </w:tr>
      <w:tr w:rsidR="009329C9">
        <w:trPr>
          <w:trHeight w:val="717"/>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Изходен</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Брой проекти,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9"/>
        </w:trPr>
        <w:tc>
          <w:tcPr>
            <w:tcW w:w="1333"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560"/>
        </w:trPr>
        <w:tc>
          <w:tcPr>
            <w:tcW w:w="1333"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645 414,00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985"/>
        </w:trPr>
        <w:tc>
          <w:tcPr>
            <w:tcW w:w="1333" w:type="dxa"/>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120" w:line="240"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Роми, които при напускане на операцията са започнали да търсят работа, или имат работа, или са ангажирани с образование/обучение или са получили квалификация или са включени в социални и здравни услуги</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570"/>
        </w:trPr>
        <w:tc>
          <w:tcPr>
            <w:tcW w:w="1333" w:type="dxa"/>
            <w:tcBorders>
              <w:top w:val="single" w:sz="4" w:space="0" w:color="auto"/>
              <w:left w:val="single" w:sz="4" w:space="0" w:color="auto"/>
              <w:bottom w:val="single" w:sz="4" w:space="0" w:color="000000"/>
              <w:right w:val="single" w:sz="4" w:space="0" w:color="auto"/>
            </w:tcBorders>
            <w:vAlign w:val="center"/>
          </w:tcPr>
          <w:p w:rsidR="009329C9" w:rsidRDefault="00B5212B">
            <w:pPr>
              <w:spacing w:after="120" w:line="240"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представители от ромски произход участвали в проектите</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bl>
    <w:p w:rsidR="009329C9" w:rsidRDefault="009329C9">
      <w:pPr>
        <w:rPr>
          <w:rFonts w:ascii="Times New Roman" w:hAnsi="Times New Roman" w:cs="Times New Roman"/>
          <w:b/>
          <w:sz w:val="24"/>
          <w:szCs w:val="24"/>
        </w:rPr>
      </w:pPr>
    </w:p>
    <w:p w:rsidR="009329C9" w:rsidRDefault="00B5212B">
      <w:pPr>
        <w:pStyle w:val="2"/>
        <w:rPr>
          <w:rFonts w:ascii="Times New Roman" w:hAnsi="Times New Roman" w:cs="Times New Roman"/>
          <w:b/>
          <w:color w:val="auto"/>
          <w:sz w:val="24"/>
          <w:szCs w:val="24"/>
        </w:rPr>
      </w:pPr>
      <w:r>
        <w:rPr>
          <w:rFonts w:ascii="Times New Roman" w:hAnsi="Times New Roman" w:cs="Times New Roman"/>
          <w:b/>
          <w:color w:val="auto"/>
          <w:sz w:val="24"/>
          <w:szCs w:val="24"/>
        </w:rPr>
        <w:t>9.6</w:t>
      </w:r>
      <w:r>
        <w:rPr>
          <w:rFonts w:ascii="Times New Roman" w:hAnsi="Times New Roman" w:cs="Times New Roman"/>
          <w:b/>
          <w:color w:val="auto"/>
          <w:sz w:val="24"/>
          <w:szCs w:val="24"/>
          <w:lang w:val="en-US"/>
        </w:rPr>
        <w:t xml:space="preserve"> </w:t>
      </w:r>
      <w:r>
        <w:rPr>
          <w:rFonts w:ascii="Times New Roman" w:hAnsi="Times New Roman" w:cs="Times New Roman"/>
          <w:b/>
          <w:color w:val="auto"/>
          <w:sz w:val="24"/>
          <w:szCs w:val="24"/>
        </w:rPr>
        <w:t>Индикатори по мерки от ОПИК 2014-2020г.</w:t>
      </w:r>
    </w:p>
    <w:tbl>
      <w:tblPr>
        <w:tblW w:w="9795" w:type="dxa"/>
        <w:tblInd w:w="70" w:type="dxa"/>
        <w:tblCellMar>
          <w:left w:w="70" w:type="dxa"/>
          <w:right w:w="70" w:type="dxa"/>
        </w:tblCellMar>
        <w:tblLook w:val="04A0" w:firstRow="1" w:lastRow="0" w:firstColumn="1" w:lastColumn="0" w:noHBand="0" w:noVBand="1"/>
      </w:tblPr>
      <w:tblGrid>
        <w:gridCol w:w="1306"/>
        <w:gridCol w:w="3089"/>
        <w:gridCol w:w="1305"/>
        <w:gridCol w:w="1701"/>
        <w:gridCol w:w="2394"/>
      </w:tblGrid>
      <w:tr w:rsidR="009329C9">
        <w:trPr>
          <w:trHeight w:val="439"/>
        </w:trPr>
        <w:tc>
          <w:tcPr>
            <w:tcW w:w="97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 2.2 Подобряване на производствения капацитет на МСП на територията на Свиленград Ареал</w:t>
            </w:r>
          </w:p>
        </w:tc>
      </w:tr>
      <w:tr w:rsidR="009329C9">
        <w:trPr>
          <w:trHeight w:val="60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30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1305"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 до края 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Източник на информация</w:t>
            </w:r>
          </w:p>
        </w:tc>
      </w:tr>
      <w:tr w:rsidR="009329C9">
        <w:trPr>
          <w:trHeight w:val="717"/>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Изходен</w:t>
            </w:r>
          </w:p>
        </w:tc>
        <w:tc>
          <w:tcPr>
            <w:tcW w:w="3089"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Брой проекти, </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финансирани по мярката</w:t>
            </w:r>
          </w:p>
        </w:tc>
        <w:tc>
          <w:tcPr>
            <w:tcW w:w="1305"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9"/>
        </w:trPr>
        <w:tc>
          <w:tcPr>
            <w:tcW w:w="1306"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бенефициенти подпомогнати по мярката</w:t>
            </w:r>
          </w:p>
        </w:tc>
        <w:tc>
          <w:tcPr>
            <w:tcW w:w="1305"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Мин 5</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19"/>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12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w:t>
            </w:r>
          </w:p>
        </w:tc>
        <w:tc>
          <w:tcPr>
            <w:tcW w:w="3089"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предприятия получаващи безвъзмездни средства</w:t>
            </w:r>
          </w:p>
        </w:tc>
        <w:tc>
          <w:tcPr>
            <w:tcW w:w="1305"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985"/>
        </w:trPr>
        <w:tc>
          <w:tcPr>
            <w:tcW w:w="1306" w:type="dxa"/>
            <w:vMerge/>
            <w:tcBorders>
              <w:top w:val="nil"/>
              <w:left w:val="single" w:sz="4" w:space="0" w:color="auto"/>
              <w:bottom w:val="single" w:sz="4" w:space="0" w:color="000000"/>
              <w:right w:val="single" w:sz="4" w:space="0" w:color="auto"/>
            </w:tcBorders>
            <w:shd w:val="clear" w:color="auto" w:fill="auto"/>
            <w:noWrap/>
            <w:vAlign w:val="center"/>
          </w:tcPr>
          <w:p w:rsidR="009329C9" w:rsidRDefault="009329C9">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305" w:type="dxa"/>
            <w:tcBorders>
              <w:top w:val="nil"/>
              <w:left w:val="nil"/>
              <w:bottom w:val="single" w:sz="4" w:space="0" w:color="auto"/>
              <w:right w:val="single" w:sz="4" w:space="0" w:color="auto"/>
            </w:tcBorders>
            <w:shd w:val="clear" w:color="auto" w:fill="auto"/>
            <w:noWrap/>
          </w:tcPr>
          <w:p w:rsidR="009329C9" w:rsidRDefault="00B5212B">
            <w:pPr>
              <w:spacing w:after="0"/>
              <w:ind w:right="-1"/>
              <w:jc w:val="both"/>
              <w:rPr>
                <w:rFonts w:ascii="Times New Roman" w:eastAsia="Times New Roman" w:hAnsi="Times New Roman" w:cs="Times New Roman"/>
                <w:sz w:val="24"/>
                <w:szCs w:val="24"/>
              </w:rPr>
            </w:pPr>
            <w:r>
              <w:rPr>
                <w:rFonts w:ascii="Times New Roman" w:eastAsia="Calibri" w:hAnsi="Times New Roman" w:cs="Times New Roman"/>
                <w:sz w:val="24"/>
                <w:szCs w:val="24"/>
                <w:lang w:eastAsia="en-GB"/>
              </w:rPr>
              <w:t>EUR</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112 000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838"/>
        </w:trPr>
        <w:tc>
          <w:tcPr>
            <w:tcW w:w="1306" w:type="dxa"/>
            <w:vMerge/>
            <w:tcBorders>
              <w:top w:val="nil"/>
              <w:left w:val="single" w:sz="4" w:space="0" w:color="auto"/>
              <w:bottom w:val="single" w:sz="4" w:space="0" w:color="000000"/>
              <w:right w:val="single" w:sz="4" w:space="0" w:color="auto"/>
            </w:tcBorders>
            <w:vAlign w:val="center"/>
          </w:tcPr>
          <w:p w:rsidR="009329C9" w:rsidRDefault="009329C9">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Проекти включващи инвестиции в иновативна технология</w:t>
            </w:r>
          </w:p>
        </w:tc>
        <w:tc>
          <w:tcPr>
            <w:tcW w:w="1305"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bl>
    <w:p w:rsidR="009329C9" w:rsidRDefault="009329C9">
      <w:pPr>
        <w:rPr>
          <w:rFonts w:ascii="Times New Roman" w:eastAsiaTheme="majorEastAsia" w:hAnsi="Times New Roman" w:cs="Times New Roman"/>
          <w:b/>
          <w:bCs/>
          <w:sz w:val="24"/>
          <w:szCs w:val="24"/>
        </w:rPr>
      </w:pPr>
    </w:p>
    <w:p w:rsidR="009329C9" w:rsidRDefault="00B5212B">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Pr>
          <w:rFonts w:ascii="Times New Roman" w:hAnsi="Times New Roman" w:cs="Times New Roman"/>
          <w:color w:val="auto"/>
          <w:sz w:val="24"/>
          <w:szCs w:val="24"/>
        </w:rPr>
        <w:t>10.   Съответствие с хоризонталните политики на ЕС:</w:t>
      </w:r>
      <w:bookmarkStart w:id="62" w:name="_Toc448392303"/>
      <w:bookmarkStart w:id="63" w:name="_Toc449349447"/>
      <w:bookmarkEnd w:id="60"/>
      <w:bookmarkEnd w:id="61"/>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10.1. Равенство между половете и липса на дискриминация:</w:t>
      </w:r>
      <w:bookmarkEnd w:id="62"/>
      <w:bookmarkEnd w:id="63"/>
    </w:p>
    <w:p w:rsidR="009329C9" w:rsidRDefault="00B5212B">
      <w:pPr>
        <w:spacing w:after="0"/>
        <w:rPr>
          <w:rFonts w:ascii="Times New Roman" w:hAnsi="Times New Roman" w:cs="Times New Roman"/>
          <w:b/>
          <w:sz w:val="24"/>
          <w:szCs w:val="24"/>
        </w:rPr>
      </w:pPr>
      <w:r>
        <w:rPr>
          <w:rFonts w:ascii="Times New Roman" w:hAnsi="Times New Roman" w:cs="Times New Roman"/>
          <w:b/>
          <w:sz w:val="24"/>
          <w:szCs w:val="24"/>
        </w:rPr>
        <w:t>- прилагане на принципа на равенство между половете;</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В съответствие с Чл.7 на Регламент 1303/2013 УС ще гарантира, че равнопоставеността между жените и мъжете и избягването на дискриминацията са взети  предвид във всички етапи на програмиране, прилагане, наблюдение и оценка на СВОМР. Всички мерки от СВОМР ще бъдат отворени за всички бенефициенти на равна основа, без оглед на раса, етнос, религиозни вярвания, увреждания, възраст или полова ориентация. Във всички дейности, свързани със СВОМР, УС на МИГ ще се съобрази и с националното законодателство: Конституцията на Република България, Кодекса на труда, Закона за защита от дискриминация. УС на МИГ  се състои от5 жени и 2ма мъже. В организираните събития на МИГ са ангажирани по равно мъже и жени. Равенство между половете ще се съблюдава строго при определянето на състава на Комисията за избор на проекти. УС на МИГ ще осигури предотвратяването на всякакъв вид дискриминация, особено при изпълнението на административните процедури във връзка с достъпа до финансови средства. </w:t>
      </w:r>
    </w:p>
    <w:p w:rsidR="009329C9" w:rsidRDefault="00B5212B">
      <w:pPr>
        <w:tabs>
          <w:tab w:val="left" w:pos="284"/>
        </w:tabs>
        <w:spacing w:after="0"/>
        <w:ind w:right="-1"/>
        <w:jc w:val="both"/>
        <w:rPr>
          <w:rFonts w:ascii="Times New Roman" w:hAnsi="Times New Roman" w:cs="Times New Roman"/>
          <w:b/>
          <w:i/>
          <w:sz w:val="24"/>
          <w:szCs w:val="24"/>
        </w:rPr>
      </w:pPr>
      <w:r>
        <w:rPr>
          <w:rFonts w:ascii="Times New Roman" w:hAnsi="Times New Roman" w:cs="Times New Roman"/>
          <w:b/>
          <w:i/>
          <w:sz w:val="24"/>
          <w:szCs w:val="24"/>
        </w:rPr>
        <w:t>- допринасяне за утвърждаване на принципа на равните възможности;</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Проблемите на равните възможности ще бъдат разглеждани и по време на разработването на критериите за избор на проекти, включително следните индикативни аспекти на тези проблеми : 1. участие на целевите групи във връзка с равните възможности в процеса на подготовката на проектите за степента, до която техните потребности и изисквания са взети предвид; 2. насърчаване на физическа и комуникационна достъпност за хората в неравностойно положение (хора с увреждания, етнически малцинства с фокус роми, дълготрайно безработни, младежи и хора, живеещи в изолация или трудно достъпни места  и т .н); 3. сътрудничество с организациите, представляващи интереситена различни целеви групи;</w:t>
      </w:r>
    </w:p>
    <w:p w:rsidR="009329C9" w:rsidRDefault="00B5212B">
      <w:pPr>
        <w:tabs>
          <w:tab w:val="left" w:pos="284"/>
        </w:tabs>
        <w:spacing w:after="0"/>
        <w:ind w:right="-1"/>
        <w:jc w:val="both"/>
        <w:rPr>
          <w:rFonts w:ascii="Times New Roman" w:hAnsi="Times New Roman" w:cs="Times New Roman"/>
          <w:b/>
          <w:i/>
          <w:sz w:val="24"/>
          <w:szCs w:val="24"/>
        </w:rPr>
      </w:pPr>
      <w:r>
        <w:rPr>
          <w:rFonts w:ascii="Times New Roman" w:hAnsi="Times New Roman" w:cs="Times New Roman"/>
          <w:b/>
          <w:i/>
          <w:sz w:val="24"/>
          <w:szCs w:val="24"/>
        </w:rPr>
        <w:t>- създаване на условия за превенция на дискриминация</w:t>
      </w:r>
    </w:p>
    <w:p w:rsidR="009329C9" w:rsidRDefault="00B5212B">
      <w:pPr>
        <w:pStyle w:val="af4"/>
        <w:tabs>
          <w:tab w:val="left" w:pos="284"/>
        </w:tabs>
        <w:spacing w:after="0"/>
        <w:ind w:left="0" w:right="-1"/>
        <w:contextualSpacing w:val="0"/>
        <w:jc w:val="both"/>
        <w:rPr>
          <w:rFonts w:ascii="Times New Roman" w:hAnsi="Times New Roman" w:cs="Times New Roman"/>
          <w:sz w:val="24"/>
          <w:szCs w:val="24"/>
        </w:rPr>
      </w:pPr>
      <w:r>
        <w:rPr>
          <w:rFonts w:ascii="Times New Roman" w:hAnsi="Times New Roman" w:cs="Times New Roman"/>
          <w:sz w:val="24"/>
          <w:szCs w:val="24"/>
        </w:rPr>
        <w:t>При избора на проекти по мерките навсички програми ще бъде дадена възможност за финансиране на проекти, развиващи услуги за уязвимите групи. Където е приложимо, индикаторите за наблюдение на СВОМР ще отразяват броя на мъжете и жените. Тези данни ще се докладват от УС на МИГ пред Общото събрание. Отговорност на УС на МИГ, чрез екипа, е да осигури на бенефициентите насоки по всички практически въпроси, свързани с проблемите на равенството и отсъствието на дискриминация.</w:t>
      </w:r>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10.2 Устойчиво развитие (защита на околната среда)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Дейностите по</w:t>
      </w:r>
      <w:r>
        <w:rPr>
          <w:rFonts w:ascii="Times New Roman" w:hAnsi="Times New Roman" w:cs="Times New Roman"/>
          <w:b/>
          <w:sz w:val="24"/>
          <w:szCs w:val="24"/>
        </w:rPr>
        <w:t xml:space="preserve"> Приоритет 1</w:t>
      </w:r>
      <w:r>
        <w:rPr>
          <w:rFonts w:ascii="Times New Roman" w:hAnsi="Times New Roman" w:cs="Times New Roman"/>
          <w:sz w:val="24"/>
          <w:szCs w:val="24"/>
        </w:rPr>
        <w:t xml:space="preserve">няма да окажат негативно въздействие върху околната среда. Недопустими са разходи за инвестиция, за която е установено, че ще оказва отрицателно въздействие върху околната среда.По </w:t>
      </w:r>
      <w:r>
        <w:rPr>
          <w:rFonts w:ascii="Times New Roman" w:hAnsi="Times New Roman" w:cs="Times New Roman"/>
          <w:b/>
          <w:sz w:val="24"/>
          <w:szCs w:val="24"/>
        </w:rPr>
        <w:t>Приоритет 3</w:t>
      </w:r>
      <w:r>
        <w:rPr>
          <w:rFonts w:ascii="Times New Roman" w:hAnsi="Times New Roman" w:cs="Times New Roman"/>
          <w:sz w:val="24"/>
          <w:szCs w:val="24"/>
        </w:rPr>
        <w:t xml:space="preserve"> са предвидени мерки, директно насочени към опазване на околната среда и разнообразието на видовете чрез реализиране мерките на ОПОС. </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Приоритет по всички програми ще се дава на проекти, които имат принос за опазване на околната среда. Други непреки положителни влияния на Стратегията ще дойдат от създаването на интерес у местното население за опазване на околната среда, чрез реализацията на проекти, отнасящи се до природното наследство на територията. </w:t>
      </w:r>
      <w:r>
        <w:rPr>
          <w:rFonts w:ascii="Times New Roman" w:hAnsi="Times New Roman" w:cs="Times New Roman"/>
          <w:color w:val="000000" w:themeColor="text1"/>
          <w:sz w:val="24"/>
          <w:szCs w:val="24"/>
        </w:rPr>
        <w:t>Проектите, предвиждащи инвестиционни предложения, за които се изисква ОВОС по реда на Закона за Опазване на околната среда или специфична екологична оценка (по реда на Закона за биологичното разнообразие, ще се одобряват само след положително становище по ОВОС/становище по ЕО и при съобразяване с препоръките от извършените оценки и становищата по тях.</w:t>
      </w:r>
    </w:p>
    <w:p w:rsidR="009329C9" w:rsidRDefault="009329C9">
      <w:pPr>
        <w:pStyle w:val="2"/>
        <w:spacing w:before="0"/>
        <w:ind w:right="-1"/>
        <w:jc w:val="both"/>
        <w:rPr>
          <w:rFonts w:ascii="Times New Roman" w:hAnsi="Times New Roman" w:cs="Times New Roman"/>
          <w:b/>
          <w:color w:val="auto"/>
          <w:sz w:val="24"/>
          <w:szCs w:val="24"/>
        </w:rPr>
      </w:pPr>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10.3 Насърчаване на заетостта и конкурентоспособността</w:t>
      </w:r>
    </w:p>
    <w:p w:rsidR="009329C9" w:rsidRDefault="00B5212B">
      <w:pPr>
        <w:spacing w:after="120"/>
        <w:jc w:val="both"/>
        <w:rPr>
          <w:rFonts w:ascii="Times New Roman" w:eastAsia="Calibri" w:hAnsi="Times New Roman" w:cs="Times New Roman"/>
          <w:sz w:val="24"/>
          <w:szCs w:val="24"/>
          <w:lang w:eastAsia="en-US"/>
        </w:rPr>
      </w:pPr>
      <w:r>
        <w:rPr>
          <w:rFonts w:ascii="Times New Roman" w:hAnsi="Times New Roman" w:cs="Times New Roman"/>
          <w:sz w:val="24"/>
          <w:szCs w:val="24"/>
        </w:rPr>
        <w:t xml:space="preserve">Реализацията на СВОМРще има положителни въздействия върху нивата на заетост на територията. По мерките на ПРСР този резултат ще бъде постигнат както поради създаването на нови възможности за работа, чрез стартирането на бизнес извън селското стопанство, така и поради запазването на съществуващи или разкриване на нови работни места в земеделието. При техническата оценка на проектните предложения ще се дава предимство на такива, създаващи нови работни места.Насърчаването на заетостта, особено за уязвимите групи, ще бъде постигнато пряко и чрез прилагане мерките на ОП РЧР. </w:t>
      </w:r>
      <w:r>
        <w:rPr>
          <w:rFonts w:ascii="Times New Roman" w:eastAsia="Calibri" w:hAnsi="Times New Roman" w:cs="Times New Roman"/>
          <w:sz w:val="24"/>
          <w:szCs w:val="24"/>
          <w:lang w:eastAsia="en-US"/>
        </w:rPr>
        <w:t>Малките и средни предприятия също са основна целева група за насърчаване на конкурентоспособността и устойчивото им развитие, което ще бъде постигнато чрез мерките на ОПИК.</w:t>
      </w:r>
      <w:r>
        <w:rPr>
          <w:rFonts w:ascii="Times New Roman" w:hAnsi="Times New Roman" w:cs="Times New Roman"/>
          <w:sz w:val="24"/>
          <w:szCs w:val="24"/>
        </w:rPr>
        <w:t xml:space="preserve">МИГ си поставя за цел подобряването на стандарта на живот на цялото население, като повиши възможностите му на пазара на труда, включително и чрез повишаване на квалификацията му чрез мерките на ОПНОИР. СВОМР ще  насърчава  и конкурентоспособността на земеделието и  на МСП чрез подкрепа за стартиращи технологични фирми - за разработка на иновативни продукти в предприятията и подкрепа за  обновяване на технологиите, както и инвестиции  за въвеждане на модерни практики за стопанисване на </w:t>
      </w:r>
      <w:r>
        <w:rPr>
          <w:rFonts w:ascii="Times New Roman" w:eastAsia="Calibri" w:hAnsi="Times New Roman" w:cs="Times New Roman"/>
          <w:sz w:val="24"/>
          <w:szCs w:val="24"/>
          <w:lang w:eastAsia="en-US"/>
        </w:rPr>
        <w:t>земята, околната среда и културното наследство. Това съответствие ще се постигне чрез четирите приоритета на стратегията.</w:t>
      </w:r>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10.4 Съответствие с програмите на структурните фондове.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Мерките и дейностите разписани в тази Стратегия са осъществими и възможни в периода 2014– 2020 г. Периодът на Стратегията съвпада с плановия период на Европейския съюз. Мерките и дейностите заложени с СВОМР изцяло съответстват и се допълват с Оценката на потребностите заложена в ПРСР 2014-2020:</w:t>
      </w:r>
    </w:p>
    <w:p w:rsidR="009329C9" w:rsidRDefault="00B5212B">
      <w:pPr>
        <w:pStyle w:val="af4"/>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Повишаване на осведомеността на населението и кандидатите;Повишаване на капацитета за предоставяне на съветнически услуги;Подобряване на организацията за трансфер на знания и иновации;</w:t>
      </w:r>
    </w:p>
    <w:p w:rsidR="009329C9" w:rsidRDefault="00B5212B">
      <w:pPr>
        <w:pStyle w:val="af4"/>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Повишване на конкурентоспособността на стопанствата; Ускоряване на модернизацията и технологичното им обновление; Повишаване на жизнеспособността на малките земеделски стопанства;</w:t>
      </w:r>
    </w:p>
    <w:p w:rsidR="009329C9" w:rsidRDefault="00B5212B">
      <w:pPr>
        <w:pStyle w:val="af4"/>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Подобряване на достъпа до външни финансови средства</w:t>
      </w:r>
    </w:p>
    <w:p w:rsidR="009329C9" w:rsidRDefault="00B5212B">
      <w:pPr>
        <w:pStyle w:val="af4"/>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Подобряне на вертикалното и хоризонтално сътрудничество между земеделските производители, преработвателите и търговците с оглед преодоляване на затрудненията при реализацията на селскостопанската продукция;</w:t>
      </w:r>
    </w:p>
    <w:p w:rsidR="009329C9" w:rsidRDefault="00B5212B">
      <w:pPr>
        <w:pStyle w:val="af4"/>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Развитие на предприемачеството в селските райони; Подобряване на местния капацитет за устойчиво развитие;</w:t>
      </w:r>
    </w:p>
    <w:p w:rsidR="009329C9" w:rsidRDefault="00B5212B">
      <w:pPr>
        <w:pStyle w:val="af4"/>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Подобряване на социалната, техническата и туристическата инфраструктура;Осигурявне на достъп до фиксиране широколентова мрежа в селските райони без покритие;</w:t>
      </w:r>
    </w:p>
    <w:p w:rsidR="009329C9" w:rsidRDefault="00B5212B">
      <w:pPr>
        <w:spacing w:after="120"/>
        <w:ind w:right="-1"/>
        <w:jc w:val="both"/>
        <w:rPr>
          <w:rFonts w:ascii="Times New Roman" w:hAnsi="Times New Roman" w:cs="Times New Roman"/>
          <w:sz w:val="24"/>
          <w:szCs w:val="24"/>
        </w:rPr>
      </w:pPr>
      <w:r>
        <w:rPr>
          <w:rFonts w:ascii="Times New Roman" w:hAnsi="Times New Roman" w:cs="Times New Roman"/>
          <w:sz w:val="24"/>
          <w:szCs w:val="24"/>
        </w:rPr>
        <w:t xml:space="preserve">Обхватът на помощта, предоставяна чрез мерките на СВОМР, няма да се припокрива с обхвата на помощта по схемите за подкрепа по другите Оперативни програми. МИГ ще извършва  кръстосани проверки с цел предотвратяване на двойно финансиране. </w:t>
      </w:r>
      <w:r>
        <w:rPr>
          <w:rFonts w:ascii="Times New Roman" w:eastAsia="Calibri" w:hAnsi="Times New Roman" w:cs="Times New Roman"/>
          <w:sz w:val="24"/>
          <w:szCs w:val="24"/>
          <w:lang w:eastAsia="en-US"/>
        </w:rPr>
        <w:t>Всеки проект по СВОМР, който потенциално попада в обхвата на другите схеми за подкрепа, ще бъде проверяван преди одобрението му за евентуално двойно финансиране.</w:t>
      </w:r>
    </w:p>
    <w:sectPr w:rsidR="009329C9">
      <w:headerReference w:type="default" r:id="rId16"/>
      <w:footerReference w:type="default" r:id="rId17"/>
      <w:headerReference w:type="first" r:id="rId18"/>
      <w:pgSz w:w="11906" w:h="16838"/>
      <w:pgMar w:top="964" w:right="1134" w:bottom="96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478" w:rsidRDefault="00AB4478">
      <w:pPr>
        <w:spacing w:line="240" w:lineRule="auto"/>
      </w:pPr>
      <w:r>
        <w:separator/>
      </w:r>
    </w:p>
  </w:endnote>
  <w:endnote w:type="continuationSeparator" w:id="0">
    <w:p w:rsidR="00AB4478" w:rsidRDefault="00AB44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485789"/>
      <w:docPartObj>
        <w:docPartGallery w:val="AutoText"/>
      </w:docPartObj>
    </w:sdtPr>
    <w:sdtContent>
      <w:p w:rsidR="00B5212B" w:rsidRDefault="00B5212B">
        <w:pPr>
          <w:pStyle w:val="ac"/>
          <w:jc w:val="center"/>
        </w:pPr>
        <w:r>
          <w:fldChar w:fldCharType="begin"/>
        </w:r>
        <w:r>
          <w:instrText xml:space="preserve"> PAGE   \* MERGEFORMAT </w:instrText>
        </w:r>
        <w:r>
          <w:fldChar w:fldCharType="separate"/>
        </w:r>
        <w:r w:rsidR="00811E67">
          <w:rPr>
            <w:noProof/>
          </w:rPr>
          <w:t>98</w:t>
        </w:r>
        <w:r>
          <w:fldChar w:fldCharType="end"/>
        </w:r>
      </w:p>
    </w:sdtContent>
  </w:sdt>
  <w:p w:rsidR="00B5212B" w:rsidRDefault="00B5212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478" w:rsidRDefault="00AB4478">
      <w:pPr>
        <w:spacing w:after="0"/>
      </w:pPr>
      <w:r>
        <w:separator/>
      </w:r>
    </w:p>
  </w:footnote>
  <w:footnote w:type="continuationSeparator" w:id="0">
    <w:p w:rsidR="00AB4478" w:rsidRDefault="00AB447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12B" w:rsidRDefault="00B5212B">
    <w:pPr>
      <w:pStyle w:val="ae"/>
      <w:tabs>
        <w:tab w:val="clear" w:pos="4536"/>
        <w:tab w:val="clear" w:pos="9072"/>
        <w:tab w:val="left" w:pos="1427"/>
      </w:tabs>
      <w:jc w:val="center"/>
    </w:pPr>
  </w:p>
  <w:p w:rsidR="00B5212B" w:rsidRDefault="00B5212B">
    <w:pPr>
      <w:pStyle w:val="ae"/>
      <w:tabs>
        <w:tab w:val="clear" w:pos="4536"/>
        <w:tab w:val="clear" w:pos="9072"/>
        <w:tab w:val="left" w:pos="1427"/>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12B" w:rsidRDefault="00B5212B">
    <w:pPr>
      <w:pStyle w:val="ae"/>
    </w:pPr>
    <w:r>
      <w:rPr>
        <w:rFonts w:ascii="Calibri Light" w:eastAsia="Times New Roman" w:hAnsi="Calibri Light" w:cs="Times New Roman"/>
        <w:noProof/>
        <w:color w:val="1F4E79"/>
        <w:spacing w:val="50"/>
      </w:rPr>
      <w:drawing>
        <wp:inline distT="0" distB="0" distL="0" distR="0">
          <wp:extent cx="5472430" cy="1416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72430" cy="14166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multilevel"/>
    <w:tmpl w:val="0000000F"/>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77"/>
    <w:multiLevelType w:val="multilevel"/>
    <w:tmpl w:val="00000077"/>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 w15:restartNumberingAfterBreak="0">
    <w:nsid w:val="00000079"/>
    <w:multiLevelType w:val="multilevel"/>
    <w:tmpl w:val="00000079"/>
    <w:lvl w:ilvl="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 w15:restartNumberingAfterBreak="0">
    <w:nsid w:val="009D2DEB"/>
    <w:multiLevelType w:val="multilevel"/>
    <w:tmpl w:val="009D2DE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C946AA"/>
    <w:multiLevelType w:val="multilevel"/>
    <w:tmpl w:val="04C946AA"/>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1402443F"/>
    <w:multiLevelType w:val="multilevel"/>
    <w:tmpl w:val="1402443F"/>
    <w:lvl w:ilvl="0">
      <w:start w:val="1"/>
      <w:numFmt w:val="bullet"/>
      <w:lvlText w:val="-"/>
      <w:lvlJc w:val="left"/>
      <w:pPr>
        <w:ind w:left="728" w:hanging="360"/>
      </w:pPr>
      <w:rPr>
        <w:rFonts w:ascii="Times New Roman" w:eastAsia="Calibri" w:hAnsi="Times New Roman" w:cs="Times New Roman" w:hint="default"/>
      </w:rPr>
    </w:lvl>
    <w:lvl w:ilvl="1">
      <w:start w:val="1"/>
      <w:numFmt w:val="bullet"/>
      <w:lvlText w:val="o"/>
      <w:lvlJc w:val="left"/>
      <w:pPr>
        <w:ind w:left="1448" w:hanging="360"/>
      </w:pPr>
      <w:rPr>
        <w:rFonts w:ascii="Courier New" w:hAnsi="Courier New" w:cs="Courier New" w:hint="default"/>
      </w:rPr>
    </w:lvl>
    <w:lvl w:ilvl="2">
      <w:start w:val="1"/>
      <w:numFmt w:val="bullet"/>
      <w:lvlText w:val=""/>
      <w:lvlJc w:val="left"/>
      <w:pPr>
        <w:ind w:left="2168" w:hanging="360"/>
      </w:pPr>
      <w:rPr>
        <w:rFonts w:ascii="Wingdings" w:hAnsi="Wingdings" w:hint="default"/>
      </w:rPr>
    </w:lvl>
    <w:lvl w:ilvl="3">
      <w:start w:val="1"/>
      <w:numFmt w:val="bullet"/>
      <w:lvlText w:val=""/>
      <w:lvlJc w:val="left"/>
      <w:pPr>
        <w:ind w:left="2888" w:hanging="360"/>
      </w:pPr>
      <w:rPr>
        <w:rFonts w:ascii="Symbol" w:hAnsi="Symbol" w:hint="default"/>
      </w:rPr>
    </w:lvl>
    <w:lvl w:ilvl="4">
      <w:start w:val="1"/>
      <w:numFmt w:val="bullet"/>
      <w:lvlText w:val="o"/>
      <w:lvlJc w:val="left"/>
      <w:pPr>
        <w:ind w:left="3608" w:hanging="360"/>
      </w:pPr>
      <w:rPr>
        <w:rFonts w:ascii="Courier New" w:hAnsi="Courier New" w:cs="Courier New" w:hint="default"/>
      </w:rPr>
    </w:lvl>
    <w:lvl w:ilvl="5">
      <w:start w:val="1"/>
      <w:numFmt w:val="bullet"/>
      <w:lvlText w:val=""/>
      <w:lvlJc w:val="left"/>
      <w:pPr>
        <w:ind w:left="4328" w:hanging="360"/>
      </w:pPr>
      <w:rPr>
        <w:rFonts w:ascii="Wingdings" w:hAnsi="Wingdings" w:hint="default"/>
      </w:rPr>
    </w:lvl>
    <w:lvl w:ilvl="6">
      <w:start w:val="1"/>
      <w:numFmt w:val="bullet"/>
      <w:lvlText w:val=""/>
      <w:lvlJc w:val="left"/>
      <w:pPr>
        <w:ind w:left="5048" w:hanging="360"/>
      </w:pPr>
      <w:rPr>
        <w:rFonts w:ascii="Symbol" w:hAnsi="Symbol" w:hint="default"/>
      </w:rPr>
    </w:lvl>
    <w:lvl w:ilvl="7">
      <w:start w:val="1"/>
      <w:numFmt w:val="bullet"/>
      <w:lvlText w:val="o"/>
      <w:lvlJc w:val="left"/>
      <w:pPr>
        <w:ind w:left="5768" w:hanging="360"/>
      </w:pPr>
      <w:rPr>
        <w:rFonts w:ascii="Courier New" w:hAnsi="Courier New" w:cs="Courier New" w:hint="default"/>
      </w:rPr>
    </w:lvl>
    <w:lvl w:ilvl="8">
      <w:start w:val="1"/>
      <w:numFmt w:val="bullet"/>
      <w:lvlText w:val=""/>
      <w:lvlJc w:val="left"/>
      <w:pPr>
        <w:ind w:left="6488" w:hanging="360"/>
      </w:pPr>
      <w:rPr>
        <w:rFonts w:ascii="Wingdings" w:hAnsi="Wingdings" w:hint="default"/>
      </w:rPr>
    </w:lvl>
  </w:abstractNum>
  <w:abstractNum w:abstractNumId="6" w15:restartNumberingAfterBreak="0">
    <w:nsid w:val="1AA738B5"/>
    <w:multiLevelType w:val="multilevel"/>
    <w:tmpl w:val="1AA738B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2E7EEA"/>
    <w:multiLevelType w:val="multilevel"/>
    <w:tmpl w:val="1E2E7EEA"/>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B64E51"/>
    <w:multiLevelType w:val="multilevel"/>
    <w:tmpl w:val="26B64E5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80010D"/>
    <w:multiLevelType w:val="multilevel"/>
    <w:tmpl w:val="27800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A2F61AE"/>
    <w:multiLevelType w:val="multilevel"/>
    <w:tmpl w:val="3A2F61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061481"/>
    <w:multiLevelType w:val="multilevel"/>
    <w:tmpl w:val="3B061481"/>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EB20219"/>
    <w:multiLevelType w:val="multilevel"/>
    <w:tmpl w:val="3EB20219"/>
    <w:lvl w:ilvl="0">
      <w:start w:val="2"/>
      <w:numFmt w:val="decimal"/>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5A4673"/>
    <w:multiLevelType w:val="multilevel"/>
    <w:tmpl w:val="425A4673"/>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551D2E"/>
    <w:multiLevelType w:val="multilevel"/>
    <w:tmpl w:val="45551D2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BD02AE0"/>
    <w:multiLevelType w:val="multilevel"/>
    <w:tmpl w:val="4BD02AE0"/>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C0D5312"/>
    <w:multiLevelType w:val="multilevel"/>
    <w:tmpl w:val="4C0D5312"/>
    <w:lvl w:ilvl="0">
      <w:start w:val="4"/>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4D6A1755"/>
    <w:multiLevelType w:val="multilevel"/>
    <w:tmpl w:val="4D6A17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F175B75"/>
    <w:multiLevelType w:val="multilevel"/>
    <w:tmpl w:val="4F175B75"/>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BD5080"/>
    <w:multiLevelType w:val="multilevel"/>
    <w:tmpl w:val="4FBD508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C93518"/>
    <w:multiLevelType w:val="multilevel"/>
    <w:tmpl w:val="52C93518"/>
    <w:lvl w:ilvl="0">
      <w:start w:val="1"/>
      <w:numFmt w:val="bullet"/>
      <w:lvlText w:val=""/>
      <w:lvlJc w:val="left"/>
      <w:pPr>
        <w:ind w:left="4614"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A52FF9"/>
    <w:multiLevelType w:val="multilevel"/>
    <w:tmpl w:val="57A52FF9"/>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702498"/>
    <w:multiLevelType w:val="multilevel"/>
    <w:tmpl w:val="5B702498"/>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3" w15:restartNumberingAfterBreak="0">
    <w:nsid w:val="665110D9"/>
    <w:multiLevelType w:val="multilevel"/>
    <w:tmpl w:val="665110D9"/>
    <w:lvl w:ilvl="0">
      <w:start w:val="1"/>
      <w:numFmt w:val="decimal"/>
      <w:lvlText w:val="%1."/>
      <w:lvlJc w:val="left"/>
      <w:pPr>
        <w:ind w:left="549" w:hanging="360"/>
      </w:pPr>
      <w:rPr>
        <w:rFonts w:hint="default"/>
      </w:rPr>
    </w:lvl>
    <w:lvl w:ilvl="1">
      <w:start w:val="1"/>
      <w:numFmt w:val="lowerLetter"/>
      <w:lvlText w:val="%2."/>
      <w:lvlJc w:val="left"/>
      <w:pPr>
        <w:ind w:left="1269" w:hanging="360"/>
      </w:pPr>
    </w:lvl>
    <w:lvl w:ilvl="2">
      <w:start w:val="1"/>
      <w:numFmt w:val="lowerRoman"/>
      <w:lvlText w:val="%3."/>
      <w:lvlJc w:val="right"/>
      <w:pPr>
        <w:ind w:left="1989" w:hanging="180"/>
      </w:pPr>
    </w:lvl>
    <w:lvl w:ilvl="3">
      <w:start w:val="1"/>
      <w:numFmt w:val="decimal"/>
      <w:lvlText w:val="%4."/>
      <w:lvlJc w:val="left"/>
      <w:pPr>
        <w:ind w:left="2709" w:hanging="360"/>
      </w:pPr>
    </w:lvl>
    <w:lvl w:ilvl="4">
      <w:start w:val="1"/>
      <w:numFmt w:val="lowerLetter"/>
      <w:lvlText w:val="%5."/>
      <w:lvlJc w:val="left"/>
      <w:pPr>
        <w:ind w:left="3429" w:hanging="360"/>
      </w:pPr>
    </w:lvl>
    <w:lvl w:ilvl="5">
      <w:start w:val="1"/>
      <w:numFmt w:val="lowerRoman"/>
      <w:lvlText w:val="%6."/>
      <w:lvlJc w:val="right"/>
      <w:pPr>
        <w:ind w:left="4149" w:hanging="180"/>
      </w:pPr>
    </w:lvl>
    <w:lvl w:ilvl="6">
      <w:start w:val="1"/>
      <w:numFmt w:val="decimal"/>
      <w:lvlText w:val="%7."/>
      <w:lvlJc w:val="left"/>
      <w:pPr>
        <w:ind w:left="4869" w:hanging="360"/>
      </w:pPr>
    </w:lvl>
    <w:lvl w:ilvl="7">
      <w:start w:val="1"/>
      <w:numFmt w:val="lowerLetter"/>
      <w:lvlText w:val="%8."/>
      <w:lvlJc w:val="left"/>
      <w:pPr>
        <w:ind w:left="5589" w:hanging="360"/>
      </w:pPr>
    </w:lvl>
    <w:lvl w:ilvl="8">
      <w:start w:val="1"/>
      <w:numFmt w:val="lowerRoman"/>
      <w:lvlText w:val="%9."/>
      <w:lvlJc w:val="right"/>
      <w:pPr>
        <w:ind w:left="6309" w:hanging="180"/>
      </w:pPr>
    </w:lvl>
  </w:abstractNum>
  <w:abstractNum w:abstractNumId="24" w15:restartNumberingAfterBreak="0">
    <w:nsid w:val="66970A4E"/>
    <w:multiLevelType w:val="multilevel"/>
    <w:tmpl w:val="66970A4E"/>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BE6BEB"/>
    <w:multiLevelType w:val="multilevel"/>
    <w:tmpl w:val="6DBE6B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EAD2EE2"/>
    <w:multiLevelType w:val="multilevel"/>
    <w:tmpl w:val="6EAD2E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426149F"/>
    <w:multiLevelType w:val="multilevel"/>
    <w:tmpl w:val="7426149F"/>
    <w:lvl w:ilvl="0">
      <w:start w:val="6"/>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E875BF9"/>
    <w:multiLevelType w:val="multilevel"/>
    <w:tmpl w:val="7E875BF9"/>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64FE1"/>
    <w:multiLevelType w:val="multilevel"/>
    <w:tmpl w:val="7FF64F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3"/>
  </w:num>
  <w:num w:numId="3">
    <w:abstractNumId w:val="19"/>
  </w:num>
  <w:num w:numId="4">
    <w:abstractNumId w:val="15"/>
  </w:num>
  <w:num w:numId="5">
    <w:abstractNumId w:val="24"/>
  </w:num>
  <w:num w:numId="6">
    <w:abstractNumId w:val="17"/>
  </w:num>
  <w:num w:numId="7">
    <w:abstractNumId w:val="25"/>
  </w:num>
  <w:num w:numId="8">
    <w:abstractNumId w:val="22"/>
  </w:num>
  <w:num w:numId="9">
    <w:abstractNumId w:val="21"/>
  </w:num>
  <w:num w:numId="10">
    <w:abstractNumId w:val="12"/>
  </w:num>
  <w:num w:numId="11">
    <w:abstractNumId w:val="6"/>
  </w:num>
  <w:num w:numId="12">
    <w:abstractNumId w:val="29"/>
  </w:num>
  <w:num w:numId="13">
    <w:abstractNumId w:val="4"/>
  </w:num>
  <w:num w:numId="14">
    <w:abstractNumId w:val="11"/>
  </w:num>
  <w:num w:numId="15">
    <w:abstractNumId w:val="27"/>
  </w:num>
  <w:num w:numId="16">
    <w:abstractNumId w:val="10"/>
  </w:num>
  <w:num w:numId="17">
    <w:abstractNumId w:val="5"/>
  </w:num>
  <w:num w:numId="18">
    <w:abstractNumId w:val="9"/>
  </w:num>
  <w:num w:numId="19">
    <w:abstractNumId w:val="13"/>
  </w:num>
  <w:num w:numId="20">
    <w:abstractNumId w:val="28"/>
  </w:num>
  <w:num w:numId="21">
    <w:abstractNumId w:val="20"/>
  </w:num>
  <w:num w:numId="22">
    <w:abstractNumId w:val="0"/>
  </w:num>
  <w:num w:numId="23">
    <w:abstractNumId w:val="16"/>
  </w:num>
  <w:num w:numId="24">
    <w:abstractNumId w:val="7"/>
  </w:num>
  <w:num w:numId="25">
    <w:abstractNumId w:val="23"/>
  </w:num>
  <w:num w:numId="26">
    <w:abstractNumId w:val="18"/>
  </w:num>
  <w:num w:numId="27">
    <w:abstractNumId w:val="8"/>
  </w:num>
  <w:num w:numId="28">
    <w:abstractNumId w:val="1"/>
  </w:num>
  <w:num w:numId="29">
    <w:abstractNumId w:val="2"/>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C4"/>
    <w:rsid w:val="000013F4"/>
    <w:rsid w:val="000028A4"/>
    <w:rsid w:val="0000735C"/>
    <w:rsid w:val="000106A3"/>
    <w:rsid w:val="000110BE"/>
    <w:rsid w:val="00012658"/>
    <w:rsid w:val="00012BF7"/>
    <w:rsid w:val="0001373F"/>
    <w:rsid w:val="00014869"/>
    <w:rsid w:val="00014FF2"/>
    <w:rsid w:val="00015125"/>
    <w:rsid w:val="00015473"/>
    <w:rsid w:val="000176C5"/>
    <w:rsid w:val="0001779C"/>
    <w:rsid w:val="000218FC"/>
    <w:rsid w:val="000239BB"/>
    <w:rsid w:val="00024FBC"/>
    <w:rsid w:val="000260C4"/>
    <w:rsid w:val="00026394"/>
    <w:rsid w:val="00026A85"/>
    <w:rsid w:val="00027F42"/>
    <w:rsid w:val="00030221"/>
    <w:rsid w:val="000313F3"/>
    <w:rsid w:val="00031EA1"/>
    <w:rsid w:val="0003244C"/>
    <w:rsid w:val="000334B0"/>
    <w:rsid w:val="000338E7"/>
    <w:rsid w:val="00034277"/>
    <w:rsid w:val="000356F7"/>
    <w:rsid w:val="00037E73"/>
    <w:rsid w:val="00041387"/>
    <w:rsid w:val="00042D85"/>
    <w:rsid w:val="0004301E"/>
    <w:rsid w:val="0004325F"/>
    <w:rsid w:val="00044FCC"/>
    <w:rsid w:val="000450EA"/>
    <w:rsid w:val="000451DA"/>
    <w:rsid w:val="00045F8E"/>
    <w:rsid w:val="0004628D"/>
    <w:rsid w:val="0004781D"/>
    <w:rsid w:val="00051416"/>
    <w:rsid w:val="000534B6"/>
    <w:rsid w:val="00053D59"/>
    <w:rsid w:val="000553FD"/>
    <w:rsid w:val="00057D31"/>
    <w:rsid w:val="000622DC"/>
    <w:rsid w:val="0006268E"/>
    <w:rsid w:val="00062A37"/>
    <w:rsid w:val="00063BF7"/>
    <w:rsid w:val="00064A67"/>
    <w:rsid w:val="0007147E"/>
    <w:rsid w:val="00074CD1"/>
    <w:rsid w:val="000756D3"/>
    <w:rsid w:val="00075D7D"/>
    <w:rsid w:val="00083A8C"/>
    <w:rsid w:val="00084543"/>
    <w:rsid w:val="00086015"/>
    <w:rsid w:val="00092DDD"/>
    <w:rsid w:val="0009459B"/>
    <w:rsid w:val="00094E05"/>
    <w:rsid w:val="00095149"/>
    <w:rsid w:val="0009740B"/>
    <w:rsid w:val="000977F6"/>
    <w:rsid w:val="000A3B3E"/>
    <w:rsid w:val="000A3DE0"/>
    <w:rsid w:val="000A466C"/>
    <w:rsid w:val="000A54C1"/>
    <w:rsid w:val="000A7B13"/>
    <w:rsid w:val="000B06EA"/>
    <w:rsid w:val="000B0768"/>
    <w:rsid w:val="000B0858"/>
    <w:rsid w:val="000B0EB1"/>
    <w:rsid w:val="000B42C4"/>
    <w:rsid w:val="000B4837"/>
    <w:rsid w:val="000B5A16"/>
    <w:rsid w:val="000B5CB5"/>
    <w:rsid w:val="000B6B16"/>
    <w:rsid w:val="000B7C54"/>
    <w:rsid w:val="000C03B2"/>
    <w:rsid w:val="000C0519"/>
    <w:rsid w:val="000C0745"/>
    <w:rsid w:val="000C0D6E"/>
    <w:rsid w:val="000C1A90"/>
    <w:rsid w:val="000C29FF"/>
    <w:rsid w:val="000C340B"/>
    <w:rsid w:val="000D06A3"/>
    <w:rsid w:val="000D1981"/>
    <w:rsid w:val="000D2FCE"/>
    <w:rsid w:val="000D3B0C"/>
    <w:rsid w:val="000D44AB"/>
    <w:rsid w:val="000D6659"/>
    <w:rsid w:val="000D7955"/>
    <w:rsid w:val="000E04E7"/>
    <w:rsid w:val="000E18A0"/>
    <w:rsid w:val="000E2195"/>
    <w:rsid w:val="000E3531"/>
    <w:rsid w:val="000E3CE3"/>
    <w:rsid w:val="000E4F50"/>
    <w:rsid w:val="000F1913"/>
    <w:rsid w:val="000F19FE"/>
    <w:rsid w:val="000F4DEB"/>
    <w:rsid w:val="000F67A0"/>
    <w:rsid w:val="000F6AC3"/>
    <w:rsid w:val="000F6EE9"/>
    <w:rsid w:val="00100398"/>
    <w:rsid w:val="00100CF2"/>
    <w:rsid w:val="00101935"/>
    <w:rsid w:val="00102533"/>
    <w:rsid w:val="00102BD7"/>
    <w:rsid w:val="0010517C"/>
    <w:rsid w:val="001073DD"/>
    <w:rsid w:val="00107EEB"/>
    <w:rsid w:val="0011016F"/>
    <w:rsid w:val="00112A24"/>
    <w:rsid w:val="00112E68"/>
    <w:rsid w:val="0011330C"/>
    <w:rsid w:val="001142F3"/>
    <w:rsid w:val="00114A52"/>
    <w:rsid w:val="00114D26"/>
    <w:rsid w:val="00115DFD"/>
    <w:rsid w:val="0011650B"/>
    <w:rsid w:val="0011799F"/>
    <w:rsid w:val="00122020"/>
    <w:rsid w:val="00124AB8"/>
    <w:rsid w:val="00125126"/>
    <w:rsid w:val="001256F1"/>
    <w:rsid w:val="001258F2"/>
    <w:rsid w:val="0012676A"/>
    <w:rsid w:val="00130C5A"/>
    <w:rsid w:val="00131AFD"/>
    <w:rsid w:val="00131FE9"/>
    <w:rsid w:val="0013290F"/>
    <w:rsid w:val="00135869"/>
    <w:rsid w:val="00136550"/>
    <w:rsid w:val="00140121"/>
    <w:rsid w:val="00141991"/>
    <w:rsid w:val="00141C9F"/>
    <w:rsid w:val="00144A34"/>
    <w:rsid w:val="001450AD"/>
    <w:rsid w:val="00145B0B"/>
    <w:rsid w:val="00145EE0"/>
    <w:rsid w:val="00146F0B"/>
    <w:rsid w:val="001472B1"/>
    <w:rsid w:val="00147FED"/>
    <w:rsid w:val="001516D0"/>
    <w:rsid w:val="00152FEF"/>
    <w:rsid w:val="001548C1"/>
    <w:rsid w:val="00154914"/>
    <w:rsid w:val="0016010C"/>
    <w:rsid w:val="00160855"/>
    <w:rsid w:val="00160B9F"/>
    <w:rsid w:val="00160E43"/>
    <w:rsid w:val="00161992"/>
    <w:rsid w:val="0016382D"/>
    <w:rsid w:val="00164030"/>
    <w:rsid w:val="00164A55"/>
    <w:rsid w:val="00167EF9"/>
    <w:rsid w:val="001714CA"/>
    <w:rsid w:val="00171D39"/>
    <w:rsid w:val="00172A64"/>
    <w:rsid w:val="001739F0"/>
    <w:rsid w:val="00177F14"/>
    <w:rsid w:val="00181419"/>
    <w:rsid w:val="00182E01"/>
    <w:rsid w:val="0018482D"/>
    <w:rsid w:val="00184F9E"/>
    <w:rsid w:val="001860F4"/>
    <w:rsid w:val="001864BC"/>
    <w:rsid w:val="001866B9"/>
    <w:rsid w:val="001903C3"/>
    <w:rsid w:val="00190E87"/>
    <w:rsid w:val="00190F92"/>
    <w:rsid w:val="00193767"/>
    <w:rsid w:val="00193D80"/>
    <w:rsid w:val="00194B34"/>
    <w:rsid w:val="00195763"/>
    <w:rsid w:val="001A24E3"/>
    <w:rsid w:val="001A3960"/>
    <w:rsid w:val="001A3F70"/>
    <w:rsid w:val="001A5528"/>
    <w:rsid w:val="001B0AB5"/>
    <w:rsid w:val="001B1D21"/>
    <w:rsid w:val="001B2B22"/>
    <w:rsid w:val="001B2D5C"/>
    <w:rsid w:val="001B4BA8"/>
    <w:rsid w:val="001B5007"/>
    <w:rsid w:val="001B7CC4"/>
    <w:rsid w:val="001C5CF6"/>
    <w:rsid w:val="001C6B62"/>
    <w:rsid w:val="001D0284"/>
    <w:rsid w:val="001D1D75"/>
    <w:rsid w:val="001D4D89"/>
    <w:rsid w:val="001D5F19"/>
    <w:rsid w:val="001D7FD6"/>
    <w:rsid w:val="001E002E"/>
    <w:rsid w:val="001E0932"/>
    <w:rsid w:val="001E3AA9"/>
    <w:rsid w:val="001E4F17"/>
    <w:rsid w:val="001F08C9"/>
    <w:rsid w:val="001F1245"/>
    <w:rsid w:val="001F2BEB"/>
    <w:rsid w:val="001F6140"/>
    <w:rsid w:val="00200019"/>
    <w:rsid w:val="0020163B"/>
    <w:rsid w:val="00201CA2"/>
    <w:rsid w:val="002024F4"/>
    <w:rsid w:val="0020266A"/>
    <w:rsid w:val="0020318C"/>
    <w:rsid w:val="00203922"/>
    <w:rsid w:val="00204080"/>
    <w:rsid w:val="002046E2"/>
    <w:rsid w:val="002052ED"/>
    <w:rsid w:val="00207161"/>
    <w:rsid w:val="002105C3"/>
    <w:rsid w:val="002109B2"/>
    <w:rsid w:val="002167CE"/>
    <w:rsid w:val="002173F5"/>
    <w:rsid w:val="00217555"/>
    <w:rsid w:val="002219DE"/>
    <w:rsid w:val="00223602"/>
    <w:rsid w:val="0022402B"/>
    <w:rsid w:val="00224E17"/>
    <w:rsid w:val="0022549A"/>
    <w:rsid w:val="00225A3E"/>
    <w:rsid w:val="00225D5D"/>
    <w:rsid w:val="00230761"/>
    <w:rsid w:val="0023148F"/>
    <w:rsid w:val="002338D5"/>
    <w:rsid w:val="0023399B"/>
    <w:rsid w:val="00233F21"/>
    <w:rsid w:val="00234C08"/>
    <w:rsid w:val="00237ABC"/>
    <w:rsid w:val="00237FB0"/>
    <w:rsid w:val="00240BBC"/>
    <w:rsid w:val="002434EF"/>
    <w:rsid w:val="00244ACD"/>
    <w:rsid w:val="00244FDB"/>
    <w:rsid w:val="002452E6"/>
    <w:rsid w:val="00245FA2"/>
    <w:rsid w:val="00247925"/>
    <w:rsid w:val="00251738"/>
    <w:rsid w:val="00252659"/>
    <w:rsid w:val="0026116A"/>
    <w:rsid w:val="00263619"/>
    <w:rsid w:val="00263A6F"/>
    <w:rsid w:val="002645BB"/>
    <w:rsid w:val="00270433"/>
    <w:rsid w:val="00274A86"/>
    <w:rsid w:val="00274F4A"/>
    <w:rsid w:val="0027580D"/>
    <w:rsid w:val="002769E4"/>
    <w:rsid w:val="0028060C"/>
    <w:rsid w:val="0028304D"/>
    <w:rsid w:val="00283860"/>
    <w:rsid w:val="00283F11"/>
    <w:rsid w:val="002844FB"/>
    <w:rsid w:val="00284E8F"/>
    <w:rsid w:val="00285097"/>
    <w:rsid w:val="00286025"/>
    <w:rsid w:val="0028748D"/>
    <w:rsid w:val="00287A86"/>
    <w:rsid w:val="00292BF9"/>
    <w:rsid w:val="00293067"/>
    <w:rsid w:val="0029347C"/>
    <w:rsid w:val="00295FB5"/>
    <w:rsid w:val="00296435"/>
    <w:rsid w:val="002A0794"/>
    <w:rsid w:val="002A0B55"/>
    <w:rsid w:val="002A2B6B"/>
    <w:rsid w:val="002A3AC9"/>
    <w:rsid w:val="002A44B5"/>
    <w:rsid w:val="002A4508"/>
    <w:rsid w:val="002B3BBC"/>
    <w:rsid w:val="002B4969"/>
    <w:rsid w:val="002B6467"/>
    <w:rsid w:val="002C0868"/>
    <w:rsid w:val="002C098F"/>
    <w:rsid w:val="002C2124"/>
    <w:rsid w:val="002C257F"/>
    <w:rsid w:val="002C2CCB"/>
    <w:rsid w:val="002C3785"/>
    <w:rsid w:val="002C60FA"/>
    <w:rsid w:val="002C772B"/>
    <w:rsid w:val="002C7803"/>
    <w:rsid w:val="002C7CF3"/>
    <w:rsid w:val="002D2580"/>
    <w:rsid w:val="002D25D2"/>
    <w:rsid w:val="002D2C7E"/>
    <w:rsid w:val="002D3895"/>
    <w:rsid w:val="002D3FBF"/>
    <w:rsid w:val="002D508F"/>
    <w:rsid w:val="002D5216"/>
    <w:rsid w:val="002D590B"/>
    <w:rsid w:val="002D6B4B"/>
    <w:rsid w:val="002E1D77"/>
    <w:rsid w:val="002E24CA"/>
    <w:rsid w:val="002E32AD"/>
    <w:rsid w:val="002E5F03"/>
    <w:rsid w:val="002E648C"/>
    <w:rsid w:val="002F0031"/>
    <w:rsid w:val="002F011A"/>
    <w:rsid w:val="002F1632"/>
    <w:rsid w:val="002F349B"/>
    <w:rsid w:val="002F37F9"/>
    <w:rsid w:val="002F3DD8"/>
    <w:rsid w:val="002F41D8"/>
    <w:rsid w:val="002F57D2"/>
    <w:rsid w:val="002F7070"/>
    <w:rsid w:val="002F714F"/>
    <w:rsid w:val="002F7E75"/>
    <w:rsid w:val="0030241A"/>
    <w:rsid w:val="00302EDF"/>
    <w:rsid w:val="003040FB"/>
    <w:rsid w:val="00305BE4"/>
    <w:rsid w:val="00305D3D"/>
    <w:rsid w:val="003062FE"/>
    <w:rsid w:val="003116C5"/>
    <w:rsid w:val="003130CB"/>
    <w:rsid w:val="00313A2A"/>
    <w:rsid w:val="00316B2D"/>
    <w:rsid w:val="00321DA2"/>
    <w:rsid w:val="00323671"/>
    <w:rsid w:val="003258B1"/>
    <w:rsid w:val="003269C0"/>
    <w:rsid w:val="00327801"/>
    <w:rsid w:val="00327AE1"/>
    <w:rsid w:val="00327D5D"/>
    <w:rsid w:val="003327B1"/>
    <w:rsid w:val="00336E17"/>
    <w:rsid w:val="0033775D"/>
    <w:rsid w:val="003403FA"/>
    <w:rsid w:val="0034042D"/>
    <w:rsid w:val="00340D04"/>
    <w:rsid w:val="00341CE0"/>
    <w:rsid w:val="003421AB"/>
    <w:rsid w:val="00345B74"/>
    <w:rsid w:val="0034612A"/>
    <w:rsid w:val="00346C07"/>
    <w:rsid w:val="00352B22"/>
    <w:rsid w:val="00353F9C"/>
    <w:rsid w:val="00354F5D"/>
    <w:rsid w:val="00356204"/>
    <w:rsid w:val="003575BC"/>
    <w:rsid w:val="00361C3E"/>
    <w:rsid w:val="003620E9"/>
    <w:rsid w:val="003673B6"/>
    <w:rsid w:val="00370065"/>
    <w:rsid w:val="00372078"/>
    <w:rsid w:val="00373DE5"/>
    <w:rsid w:val="00374468"/>
    <w:rsid w:val="00374C65"/>
    <w:rsid w:val="00375B57"/>
    <w:rsid w:val="0037784C"/>
    <w:rsid w:val="00377DA6"/>
    <w:rsid w:val="003810BA"/>
    <w:rsid w:val="00381F6B"/>
    <w:rsid w:val="003826D1"/>
    <w:rsid w:val="00382B11"/>
    <w:rsid w:val="0038387B"/>
    <w:rsid w:val="00384ED8"/>
    <w:rsid w:val="00386178"/>
    <w:rsid w:val="00386FD1"/>
    <w:rsid w:val="00387666"/>
    <w:rsid w:val="00387C92"/>
    <w:rsid w:val="003901F3"/>
    <w:rsid w:val="003904C1"/>
    <w:rsid w:val="00391B83"/>
    <w:rsid w:val="00393266"/>
    <w:rsid w:val="00397D86"/>
    <w:rsid w:val="003A2A09"/>
    <w:rsid w:val="003A341D"/>
    <w:rsid w:val="003A6715"/>
    <w:rsid w:val="003A6B10"/>
    <w:rsid w:val="003B1282"/>
    <w:rsid w:val="003B16C7"/>
    <w:rsid w:val="003B1741"/>
    <w:rsid w:val="003B349F"/>
    <w:rsid w:val="003B3DBD"/>
    <w:rsid w:val="003B43FA"/>
    <w:rsid w:val="003B671E"/>
    <w:rsid w:val="003C1C3F"/>
    <w:rsid w:val="003C3E7A"/>
    <w:rsid w:val="003C664E"/>
    <w:rsid w:val="003D067B"/>
    <w:rsid w:val="003D3473"/>
    <w:rsid w:val="003D4057"/>
    <w:rsid w:val="003D479E"/>
    <w:rsid w:val="003D5E8E"/>
    <w:rsid w:val="003D66F1"/>
    <w:rsid w:val="003D7D71"/>
    <w:rsid w:val="003E02A4"/>
    <w:rsid w:val="003E044A"/>
    <w:rsid w:val="003E07D5"/>
    <w:rsid w:val="003E2DF1"/>
    <w:rsid w:val="003E2E90"/>
    <w:rsid w:val="003E505B"/>
    <w:rsid w:val="003E7826"/>
    <w:rsid w:val="003F072B"/>
    <w:rsid w:val="003F2A7A"/>
    <w:rsid w:val="003F5AF1"/>
    <w:rsid w:val="003F6E03"/>
    <w:rsid w:val="003F7908"/>
    <w:rsid w:val="00402162"/>
    <w:rsid w:val="00406BA9"/>
    <w:rsid w:val="004072F1"/>
    <w:rsid w:val="00411A75"/>
    <w:rsid w:val="004126C3"/>
    <w:rsid w:val="00412A6C"/>
    <w:rsid w:val="00414196"/>
    <w:rsid w:val="00417510"/>
    <w:rsid w:val="00421CD2"/>
    <w:rsid w:val="004247BE"/>
    <w:rsid w:val="004256A6"/>
    <w:rsid w:val="00426B09"/>
    <w:rsid w:val="00427D53"/>
    <w:rsid w:val="00427ECF"/>
    <w:rsid w:val="00431244"/>
    <w:rsid w:val="0043599A"/>
    <w:rsid w:val="00436BC5"/>
    <w:rsid w:val="004414CF"/>
    <w:rsid w:val="004416C1"/>
    <w:rsid w:val="00441F24"/>
    <w:rsid w:val="00444304"/>
    <w:rsid w:val="004477D0"/>
    <w:rsid w:val="00452BC7"/>
    <w:rsid w:val="00453BCC"/>
    <w:rsid w:val="00454CC7"/>
    <w:rsid w:val="00455931"/>
    <w:rsid w:val="00455D5B"/>
    <w:rsid w:val="00456040"/>
    <w:rsid w:val="00462B54"/>
    <w:rsid w:val="004653CB"/>
    <w:rsid w:val="004656E3"/>
    <w:rsid w:val="00470687"/>
    <w:rsid w:val="004706A9"/>
    <w:rsid w:val="004710E9"/>
    <w:rsid w:val="00474039"/>
    <w:rsid w:val="00474923"/>
    <w:rsid w:val="00476CB0"/>
    <w:rsid w:val="0047701B"/>
    <w:rsid w:val="00480D26"/>
    <w:rsid w:val="00483B74"/>
    <w:rsid w:val="0048424D"/>
    <w:rsid w:val="00484EF5"/>
    <w:rsid w:val="0048514F"/>
    <w:rsid w:val="004902DD"/>
    <w:rsid w:val="004933D5"/>
    <w:rsid w:val="004943D9"/>
    <w:rsid w:val="00494CF6"/>
    <w:rsid w:val="00497334"/>
    <w:rsid w:val="004A0B0D"/>
    <w:rsid w:val="004A11CA"/>
    <w:rsid w:val="004A1B09"/>
    <w:rsid w:val="004A2991"/>
    <w:rsid w:val="004A2E78"/>
    <w:rsid w:val="004A39B3"/>
    <w:rsid w:val="004A3AE0"/>
    <w:rsid w:val="004A47D5"/>
    <w:rsid w:val="004A5412"/>
    <w:rsid w:val="004A548B"/>
    <w:rsid w:val="004A555E"/>
    <w:rsid w:val="004A5F60"/>
    <w:rsid w:val="004A7E72"/>
    <w:rsid w:val="004B1C1B"/>
    <w:rsid w:val="004B4877"/>
    <w:rsid w:val="004B7891"/>
    <w:rsid w:val="004C0769"/>
    <w:rsid w:val="004C0F5D"/>
    <w:rsid w:val="004C33EB"/>
    <w:rsid w:val="004C3AA0"/>
    <w:rsid w:val="004C49D7"/>
    <w:rsid w:val="004C4B95"/>
    <w:rsid w:val="004C590C"/>
    <w:rsid w:val="004C60D7"/>
    <w:rsid w:val="004C7D59"/>
    <w:rsid w:val="004D01D5"/>
    <w:rsid w:val="004D216E"/>
    <w:rsid w:val="004D21D9"/>
    <w:rsid w:val="004D2C4C"/>
    <w:rsid w:val="004D30E7"/>
    <w:rsid w:val="004D34E4"/>
    <w:rsid w:val="004D6969"/>
    <w:rsid w:val="004D6FB2"/>
    <w:rsid w:val="004D7062"/>
    <w:rsid w:val="004E0034"/>
    <w:rsid w:val="004E104B"/>
    <w:rsid w:val="004E13A2"/>
    <w:rsid w:val="004E2C3A"/>
    <w:rsid w:val="004E4D35"/>
    <w:rsid w:val="004E5AE3"/>
    <w:rsid w:val="004F02A8"/>
    <w:rsid w:val="004F0933"/>
    <w:rsid w:val="004F19F1"/>
    <w:rsid w:val="004F3F75"/>
    <w:rsid w:val="004F527C"/>
    <w:rsid w:val="004F5FD0"/>
    <w:rsid w:val="004F60A4"/>
    <w:rsid w:val="004F66F3"/>
    <w:rsid w:val="00501A0E"/>
    <w:rsid w:val="00501B2E"/>
    <w:rsid w:val="00501EB9"/>
    <w:rsid w:val="00501EEF"/>
    <w:rsid w:val="00502A85"/>
    <w:rsid w:val="00505B47"/>
    <w:rsid w:val="005078BB"/>
    <w:rsid w:val="00507DDD"/>
    <w:rsid w:val="00510812"/>
    <w:rsid w:val="00513B58"/>
    <w:rsid w:val="0051428D"/>
    <w:rsid w:val="00515817"/>
    <w:rsid w:val="005163CD"/>
    <w:rsid w:val="0052383C"/>
    <w:rsid w:val="00523A1D"/>
    <w:rsid w:val="00523D0A"/>
    <w:rsid w:val="00524392"/>
    <w:rsid w:val="00530512"/>
    <w:rsid w:val="00534FA1"/>
    <w:rsid w:val="00535168"/>
    <w:rsid w:val="00535D3C"/>
    <w:rsid w:val="00540D51"/>
    <w:rsid w:val="0054128F"/>
    <w:rsid w:val="005419E8"/>
    <w:rsid w:val="00542BB7"/>
    <w:rsid w:val="00543384"/>
    <w:rsid w:val="00545A19"/>
    <w:rsid w:val="005465B8"/>
    <w:rsid w:val="005473F2"/>
    <w:rsid w:val="00552822"/>
    <w:rsid w:val="005544FF"/>
    <w:rsid w:val="00554A5E"/>
    <w:rsid w:val="00554E1C"/>
    <w:rsid w:val="0055729D"/>
    <w:rsid w:val="005610F5"/>
    <w:rsid w:val="00561311"/>
    <w:rsid w:val="00562922"/>
    <w:rsid w:val="00564096"/>
    <w:rsid w:val="00567E4D"/>
    <w:rsid w:val="005707A4"/>
    <w:rsid w:val="00570CD6"/>
    <w:rsid w:val="00573C12"/>
    <w:rsid w:val="00577455"/>
    <w:rsid w:val="00577EC1"/>
    <w:rsid w:val="005814F2"/>
    <w:rsid w:val="0058281D"/>
    <w:rsid w:val="0058364B"/>
    <w:rsid w:val="0058482B"/>
    <w:rsid w:val="00587CD8"/>
    <w:rsid w:val="00590CF6"/>
    <w:rsid w:val="00591536"/>
    <w:rsid w:val="005A2568"/>
    <w:rsid w:val="005A2738"/>
    <w:rsid w:val="005A494B"/>
    <w:rsid w:val="005A4F2D"/>
    <w:rsid w:val="005B0317"/>
    <w:rsid w:val="005B10DC"/>
    <w:rsid w:val="005B2674"/>
    <w:rsid w:val="005B3361"/>
    <w:rsid w:val="005B5082"/>
    <w:rsid w:val="005B5760"/>
    <w:rsid w:val="005B5B3F"/>
    <w:rsid w:val="005B680E"/>
    <w:rsid w:val="005B7C39"/>
    <w:rsid w:val="005C05E7"/>
    <w:rsid w:val="005C132A"/>
    <w:rsid w:val="005C19C6"/>
    <w:rsid w:val="005C21DC"/>
    <w:rsid w:val="005C3D0E"/>
    <w:rsid w:val="005C42CA"/>
    <w:rsid w:val="005C448D"/>
    <w:rsid w:val="005C596F"/>
    <w:rsid w:val="005D05E2"/>
    <w:rsid w:val="005D09AF"/>
    <w:rsid w:val="005D3BAE"/>
    <w:rsid w:val="005D49E7"/>
    <w:rsid w:val="005E0382"/>
    <w:rsid w:val="005E56F3"/>
    <w:rsid w:val="005F0504"/>
    <w:rsid w:val="005F0892"/>
    <w:rsid w:val="005F18C8"/>
    <w:rsid w:val="005F3244"/>
    <w:rsid w:val="005F41FB"/>
    <w:rsid w:val="005F42C3"/>
    <w:rsid w:val="005F475F"/>
    <w:rsid w:val="005F7133"/>
    <w:rsid w:val="005F7340"/>
    <w:rsid w:val="00601155"/>
    <w:rsid w:val="00601267"/>
    <w:rsid w:val="00601864"/>
    <w:rsid w:val="00601F45"/>
    <w:rsid w:val="006039C8"/>
    <w:rsid w:val="0060401E"/>
    <w:rsid w:val="00605EFC"/>
    <w:rsid w:val="00606CFE"/>
    <w:rsid w:val="00610AA5"/>
    <w:rsid w:val="0061159E"/>
    <w:rsid w:val="006123BA"/>
    <w:rsid w:val="00612BCC"/>
    <w:rsid w:val="00612CA1"/>
    <w:rsid w:val="00613995"/>
    <w:rsid w:val="00615704"/>
    <w:rsid w:val="006166F2"/>
    <w:rsid w:val="00621179"/>
    <w:rsid w:val="0062188C"/>
    <w:rsid w:val="00622B6E"/>
    <w:rsid w:val="00623D74"/>
    <w:rsid w:val="00624B64"/>
    <w:rsid w:val="00630ABD"/>
    <w:rsid w:val="006340D8"/>
    <w:rsid w:val="00634483"/>
    <w:rsid w:val="00635506"/>
    <w:rsid w:val="00635758"/>
    <w:rsid w:val="00635DA0"/>
    <w:rsid w:val="006401C3"/>
    <w:rsid w:val="00642506"/>
    <w:rsid w:val="0064281F"/>
    <w:rsid w:val="00645DA3"/>
    <w:rsid w:val="00646D80"/>
    <w:rsid w:val="00647218"/>
    <w:rsid w:val="00650B3D"/>
    <w:rsid w:val="00653F4B"/>
    <w:rsid w:val="006550D0"/>
    <w:rsid w:val="006577F7"/>
    <w:rsid w:val="00657F49"/>
    <w:rsid w:val="00657F67"/>
    <w:rsid w:val="00661238"/>
    <w:rsid w:val="00661430"/>
    <w:rsid w:val="006615A5"/>
    <w:rsid w:val="00661D9C"/>
    <w:rsid w:val="00662BE5"/>
    <w:rsid w:val="006641B6"/>
    <w:rsid w:val="0066591A"/>
    <w:rsid w:val="0066607B"/>
    <w:rsid w:val="00666FC9"/>
    <w:rsid w:val="00667F9D"/>
    <w:rsid w:val="00670CEF"/>
    <w:rsid w:val="00674D07"/>
    <w:rsid w:val="00686AEE"/>
    <w:rsid w:val="00692F8A"/>
    <w:rsid w:val="0069319B"/>
    <w:rsid w:val="00693E37"/>
    <w:rsid w:val="0069411C"/>
    <w:rsid w:val="006942EC"/>
    <w:rsid w:val="006945AC"/>
    <w:rsid w:val="00695974"/>
    <w:rsid w:val="006959D6"/>
    <w:rsid w:val="00695F19"/>
    <w:rsid w:val="006A0D68"/>
    <w:rsid w:val="006A175F"/>
    <w:rsid w:val="006A2387"/>
    <w:rsid w:val="006B05D1"/>
    <w:rsid w:val="006B0CF4"/>
    <w:rsid w:val="006B1D25"/>
    <w:rsid w:val="006B21E4"/>
    <w:rsid w:val="006B2863"/>
    <w:rsid w:val="006B4954"/>
    <w:rsid w:val="006B51AC"/>
    <w:rsid w:val="006B5C31"/>
    <w:rsid w:val="006C1715"/>
    <w:rsid w:val="006C190F"/>
    <w:rsid w:val="006C2884"/>
    <w:rsid w:val="006C50DE"/>
    <w:rsid w:val="006C59D9"/>
    <w:rsid w:val="006C66CF"/>
    <w:rsid w:val="006D115D"/>
    <w:rsid w:val="006D37BF"/>
    <w:rsid w:val="006D37C6"/>
    <w:rsid w:val="006D4189"/>
    <w:rsid w:val="006D7E68"/>
    <w:rsid w:val="006E0E71"/>
    <w:rsid w:val="006E20B6"/>
    <w:rsid w:val="006E2664"/>
    <w:rsid w:val="006E3E53"/>
    <w:rsid w:val="006E459E"/>
    <w:rsid w:val="006E4E03"/>
    <w:rsid w:val="006E53BF"/>
    <w:rsid w:val="006E5671"/>
    <w:rsid w:val="006E5853"/>
    <w:rsid w:val="006F07B9"/>
    <w:rsid w:val="006F2C2B"/>
    <w:rsid w:val="006F315E"/>
    <w:rsid w:val="006F3551"/>
    <w:rsid w:val="006F35A4"/>
    <w:rsid w:val="006F481B"/>
    <w:rsid w:val="006F4BC6"/>
    <w:rsid w:val="006F5AC4"/>
    <w:rsid w:val="006F64F7"/>
    <w:rsid w:val="006F7738"/>
    <w:rsid w:val="006F7E16"/>
    <w:rsid w:val="006F7F50"/>
    <w:rsid w:val="007007F1"/>
    <w:rsid w:val="007010C9"/>
    <w:rsid w:val="00701212"/>
    <w:rsid w:val="00702D7D"/>
    <w:rsid w:val="0070456E"/>
    <w:rsid w:val="00704E49"/>
    <w:rsid w:val="00705895"/>
    <w:rsid w:val="00705CCF"/>
    <w:rsid w:val="007066DF"/>
    <w:rsid w:val="00710972"/>
    <w:rsid w:val="00714BF6"/>
    <w:rsid w:val="00714CBE"/>
    <w:rsid w:val="0071603E"/>
    <w:rsid w:val="00717751"/>
    <w:rsid w:val="00725F04"/>
    <w:rsid w:val="00726786"/>
    <w:rsid w:val="007276DF"/>
    <w:rsid w:val="00727CF3"/>
    <w:rsid w:val="00727F5D"/>
    <w:rsid w:val="007322F1"/>
    <w:rsid w:val="007327E1"/>
    <w:rsid w:val="007340CB"/>
    <w:rsid w:val="00735003"/>
    <w:rsid w:val="00737DDD"/>
    <w:rsid w:val="00742490"/>
    <w:rsid w:val="00742B9A"/>
    <w:rsid w:val="007431D8"/>
    <w:rsid w:val="0074340B"/>
    <w:rsid w:val="00744AC6"/>
    <w:rsid w:val="007451CB"/>
    <w:rsid w:val="00746238"/>
    <w:rsid w:val="00746BA9"/>
    <w:rsid w:val="0075064D"/>
    <w:rsid w:val="00750D45"/>
    <w:rsid w:val="00751214"/>
    <w:rsid w:val="007514F4"/>
    <w:rsid w:val="00755BA5"/>
    <w:rsid w:val="00756F82"/>
    <w:rsid w:val="0075761E"/>
    <w:rsid w:val="00760746"/>
    <w:rsid w:val="00761364"/>
    <w:rsid w:val="00761445"/>
    <w:rsid w:val="007654A5"/>
    <w:rsid w:val="0076625A"/>
    <w:rsid w:val="00766B25"/>
    <w:rsid w:val="00770636"/>
    <w:rsid w:val="0077091A"/>
    <w:rsid w:val="00770D78"/>
    <w:rsid w:val="00773790"/>
    <w:rsid w:val="007759B2"/>
    <w:rsid w:val="007766C8"/>
    <w:rsid w:val="00780F83"/>
    <w:rsid w:val="007814B7"/>
    <w:rsid w:val="00781EC3"/>
    <w:rsid w:val="00782CB7"/>
    <w:rsid w:val="00783883"/>
    <w:rsid w:val="007851CA"/>
    <w:rsid w:val="00786D91"/>
    <w:rsid w:val="00786F28"/>
    <w:rsid w:val="00791E8F"/>
    <w:rsid w:val="007928AE"/>
    <w:rsid w:val="00793215"/>
    <w:rsid w:val="007946E5"/>
    <w:rsid w:val="00795ADD"/>
    <w:rsid w:val="00795EB6"/>
    <w:rsid w:val="007964B3"/>
    <w:rsid w:val="00797A2D"/>
    <w:rsid w:val="00797E37"/>
    <w:rsid w:val="007A0E94"/>
    <w:rsid w:val="007A51AC"/>
    <w:rsid w:val="007A58F2"/>
    <w:rsid w:val="007B0F19"/>
    <w:rsid w:val="007B2193"/>
    <w:rsid w:val="007B43B2"/>
    <w:rsid w:val="007B753F"/>
    <w:rsid w:val="007C1392"/>
    <w:rsid w:val="007C4156"/>
    <w:rsid w:val="007C5D3E"/>
    <w:rsid w:val="007C5EEA"/>
    <w:rsid w:val="007C6AB8"/>
    <w:rsid w:val="007C7409"/>
    <w:rsid w:val="007C7A6F"/>
    <w:rsid w:val="007D1643"/>
    <w:rsid w:val="007D1D7E"/>
    <w:rsid w:val="007D2358"/>
    <w:rsid w:val="007D4B58"/>
    <w:rsid w:val="007D4E9E"/>
    <w:rsid w:val="007D61A4"/>
    <w:rsid w:val="007D6BDF"/>
    <w:rsid w:val="007E09F0"/>
    <w:rsid w:val="007E26E9"/>
    <w:rsid w:val="007E40C7"/>
    <w:rsid w:val="007E47F0"/>
    <w:rsid w:val="007F0A45"/>
    <w:rsid w:val="007F1827"/>
    <w:rsid w:val="007F61B0"/>
    <w:rsid w:val="007F6F12"/>
    <w:rsid w:val="007F6FFA"/>
    <w:rsid w:val="008005BF"/>
    <w:rsid w:val="0080391F"/>
    <w:rsid w:val="00804633"/>
    <w:rsid w:val="00804B1A"/>
    <w:rsid w:val="00805CE7"/>
    <w:rsid w:val="00811E67"/>
    <w:rsid w:val="0081240C"/>
    <w:rsid w:val="00813F7C"/>
    <w:rsid w:val="0081433E"/>
    <w:rsid w:val="00814F97"/>
    <w:rsid w:val="00826AAF"/>
    <w:rsid w:val="00827507"/>
    <w:rsid w:val="00827BBE"/>
    <w:rsid w:val="00830F2F"/>
    <w:rsid w:val="00831ECB"/>
    <w:rsid w:val="0083767A"/>
    <w:rsid w:val="0084050C"/>
    <w:rsid w:val="00840987"/>
    <w:rsid w:val="00842E39"/>
    <w:rsid w:val="008434AD"/>
    <w:rsid w:val="00843995"/>
    <w:rsid w:val="00845136"/>
    <w:rsid w:val="00845AFF"/>
    <w:rsid w:val="00846BF7"/>
    <w:rsid w:val="008518BE"/>
    <w:rsid w:val="00852F96"/>
    <w:rsid w:val="00853116"/>
    <w:rsid w:val="008549D5"/>
    <w:rsid w:val="00854DCF"/>
    <w:rsid w:val="00855284"/>
    <w:rsid w:val="008562ED"/>
    <w:rsid w:val="0085669B"/>
    <w:rsid w:val="00857270"/>
    <w:rsid w:val="0086119E"/>
    <w:rsid w:val="00862829"/>
    <w:rsid w:val="00864D14"/>
    <w:rsid w:val="00865C65"/>
    <w:rsid w:val="00865D58"/>
    <w:rsid w:val="00867410"/>
    <w:rsid w:val="0086759A"/>
    <w:rsid w:val="008700BF"/>
    <w:rsid w:val="00871D55"/>
    <w:rsid w:val="00872A5D"/>
    <w:rsid w:val="0087748F"/>
    <w:rsid w:val="00877A03"/>
    <w:rsid w:val="008803EF"/>
    <w:rsid w:val="00880A5E"/>
    <w:rsid w:val="00880B5B"/>
    <w:rsid w:val="00882F84"/>
    <w:rsid w:val="008843C5"/>
    <w:rsid w:val="00884772"/>
    <w:rsid w:val="008850CE"/>
    <w:rsid w:val="0088605F"/>
    <w:rsid w:val="00890CFE"/>
    <w:rsid w:val="00891D21"/>
    <w:rsid w:val="0089352B"/>
    <w:rsid w:val="00893ACD"/>
    <w:rsid w:val="00894121"/>
    <w:rsid w:val="00894E39"/>
    <w:rsid w:val="00895079"/>
    <w:rsid w:val="008A79FC"/>
    <w:rsid w:val="008B0E51"/>
    <w:rsid w:val="008B11C0"/>
    <w:rsid w:val="008B12DA"/>
    <w:rsid w:val="008B19FF"/>
    <w:rsid w:val="008B1B09"/>
    <w:rsid w:val="008B33D0"/>
    <w:rsid w:val="008B3F1D"/>
    <w:rsid w:val="008B4100"/>
    <w:rsid w:val="008B41BC"/>
    <w:rsid w:val="008B5DCD"/>
    <w:rsid w:val="008B6D53"/>
    <w:rsid w:val="008B71AE"/>
    <w:rsid w:val="008B76C2"/>
    <w:rsid w:val="008B7E34"/>
    <w:rsid w:val="008C0C1C"/>
    <w:rsid w:val="008C273D"/>
    <w:rsid w:val="008C3C7B"/>
    <w:rsid w:val="008C7B23"/>
    <w:rsid w:val="008D0C31"/>
    <w:rsid w:val="008D135C"/>
    <w:rsid w:val="008D2F79"/>
    <w:rsid w:val="008D4C2E"/>
    <w:rsid w:val="008D5880"/>
    <w:rsid w:val="008D614D"/>
    <w:rsid w:val="008D6437"/>
    <w:rsid w:val="008D65AE"/>
    <w:rsid w:val="008D7A76"/>
    <w:rsid w:val="008E08E4"/>
    <w:rsid w:val="008E4401"/>
    <w:rsid w:val="008E5EE5"/>
    <w:rsid w:val="008F0049"/>
    <w:rsid w:val="008F0321"/>
    <w:rsid w:val="008F0FDB"/>
    <w:rsid w:val="008F22F3"/>
    <w:rsid w:val="008F2468"/>
    <w:rsid w:val="008F3B7C"/>
    <w:rsid w:val="008F3BD6"/>
    <w:rsid w:val="008F4232"/>
    <w:rsid w:val="008F5744"/>
    <w:rsid w:val="009014EE"/>
    <w:rsid w:val="0090290D"/>
    <w:rsid w:val="00903659"/>
    <w:rsid w:val="0090461A"/>
    <w:rsid w:val="0090541A"/>
    <w:rsid w:val="009118E5"/>
    <w:rsid w:val="00911EF5"/>
    <w:rsid w:val="0091230A"/>
    <w:rsid w:val="00913931"/>
    <w:rsid w:val="00914BB9"/>
    <w:rsid w:val="00915913"/>
    <w:rsid w:val="0091608D"/>
    <w:rsid w:val="00917C10"/>
    <w:rsid w:val="0092118B"/>
    <w:rsid w:val="009229FB"/>
    <w:rsid w:val="0092495B"/>
    <w:rsid w:val="00925267"/>
    <w:rsid w:val="0092568A"/>
    <w:rsid w:val="0092698B"/>
    <w:rsid w:val="0092735B"/>
    <w:rsid w:val="009278BA"/>
    <w:rsid w:val="00932544"/>
    <w:rsid w:val="009329C9"/>
    <w:rsid w:val="00932FB0"/>
    <w:rsid w:val="00933285"/>
    <w:rsid w:val="00936F07"/>
    <w:rsid w:val="00937231"/>
    <w:rsid w:val="00941779"/>
    <w:rsid w:val="009419D8"/>
    <w:rsid w:val="00942111"/>
    <w:rsid w:val="00943185"/>
    <w:rsid w:val="00944269"/>
    <w:rsid w:val="00947136"/>
    <w:rsid w:val="009473AB"/>
    <w:rsid w:val="00947803"/>
    <w:rsid w:val="00950FA4"/>
    <w:rsid w:val="0095126F"/>
    <w:rsid w:val="00952CBD"/>
    <w:rsid w:val="009545DA"/>
    <w:rsid w:val="009566CE"/>
    <w:rsid w:val="00956807"/>
    <w:rsid w:val="009578A7"/>
    <w:rsid w:val="00957E9A"/>
    <w:rsid w:val="009607F0"/>
    <w:rsid w:val="00962C56"/>
    <w:rsid w:val="00963478"/>
    <w:rsid w:val="009636FE"/>
    <w:rsid w:val="00963F1D"/>
    <w:rsid w:val="009669C0"/>
    <w:rsid w:val="00971369"/>
    <w:rsid w:val="00974204"/>
    <w:rsid w:val="00975225"/>
    <w:rsid w:val="00975DEA"/>
    <w:rsid w:val="00975EAA"/>
    <w:rsid w:val="00980661"/>
    <w:rsid w:val="00985E47"/>
    <w:rsid w:val="009867F6"/>
    <w:rsid w:val="00986A7E"/>
    <w:rsid w:val="00990286"/>
    <w:rsid w:val="00990650"/>
    <w:rsid w:val="00990CB0"/>
    <w:rsid w:val="00992382"/>
    <w:rsid w:val="00993F02"/>
    <w:rsid w:val="00995E56"/>
    <w:rsid w:val="00995E8B"/>
    <w:rsid w:val="0099736A"/>
    <w:rsid w:val="009976EA"/>
    <w:rsid w:val="009A16CB"/>
    <w:rsid w:val="009A3187"/>
    <w:rsid w:val="009A558C"/>
    <w:rsid w:val="009A7886"/>
    <w:rsid w:val="009B1C04"/>
    <w:rsid w:val="009B1E1C"/>
    <w:rsid w:val="009B49AE"/>
    <w:rsid w:val="009B4C24"/>
    <w:rsid w:val="009B4EFC"/>
    <w:rsid w:val="009B62A1"/>
    <w:rsid w:val="009B671C"/>
    <w:rsid w:val="009C02A1"/>
    <w:rsid w:val="009C52CD"/>
    <w:rsid w:val="009C5D7B"/>
    <w:rsid w:val="009C6B6A"/>
    <w:rsid w:val="009C7BE6"/>
    <w:rsid w:val="009D088B"/>
    <w:rsid w:val="009D1C0C"/>
    <w:rsid w:val="009D1F48"/>
    <w:rsid w:val="009D2703"/>
    <w:rsid w:val="009D43B6"/>
    <w:rsid w:val="009D482A"/>
    <w:rsid w:val="009D530E"/>
    <w:rsid w:val="009D5931"/>
    <w:rsid w:val="009D6B2A"/>
    <w:rsid w:val="009D7223"/>
    <w:rsid w:val="009E2EE7"/>
    <w:rsid w:val="009E371E"/>
    <w:rsid w:val="009E415E"/>
    <w:rsid w:val="009E46BB"/>
    <w:rsid w:val="009E55B0"/>
    <w:rsid w:val="009E6844"/>
    <w:rsid w:val="009E7076"/>
    <w:rsid w:val="009E7872"/>
    <w:rsid w:val="009F0601"/>
    <w:rsid w:val="009F2476"/>
    <w:rsid w:val="009F2B26"/>
    <w:rsid w:val="009F3449"/>
    <w:rsid w:val="009F4A4C"/>
    <w:rsid w:val="00A0011E"/>
    <w:rsid w:val="00A020F6"/>
    <w:rsid w:val="00A029C2"/>
    <w:rsid w:val="00A02FE0"/>
    <w:rsid w:val="00A03633"/>
    <w:rsid w:val="00A050BC"/>
    <w:rsid w:val="00A0736C"/>
    <w:rsid w:val="00A1336B"/>
    <w:rsid w:val="00A13683"/>
    <w:rsid w:val="00A14584"/>
    <w:rsid w:val="00A17035"/>
    <w:rsid w:val="00A179E6"/>
    <w:rsid w:val="00A22956"/>
    <w:rsid w:val="00A25638"/>
    <w:rsid w:val="00A25DBC"/>
    <w:rsid w:val="00A36F05"/>
    <w:rsid w:val="00A372BD"/>
    <w:rsid w:val="00A37426"/>
    <w:rsid w:val="00A40232"/>
    <w:rsid w:val="00A412F3"/>
    <w:rsid w:val="00A448FD"/>
    <w:rsid w:val="00A45832"/>
    <w:rsid w:val="00A467F1"/>
    <w:rsid w:val="00A50200"/>
    <w:rsid w:val="00A50503"/>
    <w:rsid w:val="00A510A0"/>
    <w:rsid w:val="00A52F35"/>
    <w:rsid w:val="00A53FFF"/>
    <w:rsid w:val="00A60390"/>
    <w:rsid w:val="00A61E94"/>
    <w:rsid w:val="00A6761E"/>
    <w:rsid w:val="00A71126"/>
    <w:rsid w:val="00A7144E"/>
    <w:rsid w:val="00A716F0"/>
    <w:rsid w:val="00A72EDD"/>
    <w:rsid w:val="00A76CE0"/>
    <w:rsid w:val="00A820CB"/>
    <w:rsid w:val="00A8749B"/>
    <w:rsid w:val="00A9162B"/>
    <w:rsid w:val="00A924AF"/>
    <w:rsid w:val="00A955BD"/>
    <w:rsid w:val="00A95F7C"/>
    <w:rsid w:val="00A96546"/>
    <w:rsid w:val="00A96B3E"/>
    <w:rsid w:val="00A96C52"/>
    <w:rsid w:val="00A970EE"/>
    <w:rsid w:val="00A9748A"/>
    <w:rsid w:val="00A97A86"/>
    <w:rsid w:val="00AA08E3"/>
    <w:rsid w:val="00AA1A8B"/>
    <w:rsid w:val="00AA3783"/>
    <w:rsid w:val="00AA53F7"/>
    <w:rsid w:val="00AA6498"/>
    <w:rsid w:val="00AB01C9"/>
    <w:rsid w:val="00AB1949"/>
    <w:rsid w:val="00AB258A"/>
    <w:rsid w:val="00AB3EE0"/>
    <w:rsid w:val="00AB4478"/>
    <w:rsid w:val="00AB4BDE"/>
    <w:rsid w:val="00AB535D"/>
    <w:rsid w:val="00AC1214"/>
    <w:rsid w:val="00AC1CCC"/>
    <w:rsid w:val="00AC1F99"/>
    <w:rsid w:val="00AC29DF"/>
    <w:rsid w:val="00AC49FA"/>
    <w:rsid w:val="00AC6594"/>
    <w:rsid w:val="00AD1AEA"/>
    <w:rsid w:val="00AD1CE4"/>
    <w:rsid w:val="00AD3ECA"/>
    <w:rsid w:val="00AD42D0"/>
    <w:rsid w:val="00AD6CF6"/>
    <w:rsid w:val="00AD7C32"/>
    <w:rsid w:val="00AE2DDB"/>
    <w:rsid w:val="00AE4604"/>
    <w:rsid w:val="00AE5A40"/>
    <w:rsid w:val="00AE7652"/>
    <w:rsid w:val="00AF040D"/>
    <w:rsid w:val="00AF3123"/>
    <w:rsid w:val="00B00B45"/>
    <w:rsid w:val="00B02345"/>
    <w:rsid w:val="00B03C54"/>
    <w:rsid w:val="00B03ED7"/>
    <w:rsid w:val="00B055BD"/>
    <w:rsid w:val="00B05DD8"/>
    <w:rsid w:val="00B07E3C"/>
    <w:rsid w:val="00B101C9"/>
    <w:rsid w:val="00B10272"/>
    <w:rsid w:val="00B10848"/>
    <w:rsid w:val="00B12C37"/>
    <w:rsid w:val="00B152AB"/>
    <w:rsid w:val="00B15390"/>
    <w:rsid w:val="00B16FC9"/>
    <w:rsid w:val="00B176CD"/>
    <w:rsid w:val="00B21531"/>
    <w:rsid w:val="00B21CBC"/>
    <w:rsid w:val="00B2210C"/>
    <w:rsid w:val="00B2527E"/>
    <w:rsid w:val="00B25F55"/>
    <w:rsid w:val="00B27C92"/>
    <w:rsid w:val="00B30113"/>
    <w:rsid w:val="00B30243"/>
    <w:rsid w:val="00B3050F"/>
    <w:rsid w:val="00B30520"/>
    <w:rsid w:val="00B308B3"/>
    <w:rsid w:val="00B311C3"/>
    <w:rsid w:val="00B3144E"/>
    <w:rsid w:val="00B344BF"/>
    <w:rsid w:val="00B34B26"/>
    <w:rsid w:val="00B34DED"/>
    <w:rsid w:val="00B37308"/>
    <w:rsid w:val="00B3746A"/>
    <w:rsid w:val="00B418B0"/>
    <w:rsid w:val="00B42A6F"/>
    <w:rsid w:val="00B43021"/>
    <w:rsid w:val="00B44728"/>
    <w:rsid w:val="00B4496D"/>
    <w:rsid w:val="00B47966"/>
    <w:rsid w:val="00B5212B"/>
    <w:rsid w:val="00B521CF"/>
    <w:rsid w:val="00B54020"/>
    <w:rsid w:val="00B54855"/>
    <w:rsid w:val="00B54C87"/>
    <w:rsid w:val="00B56263"/>
    <w:rsid w:val="00B56A51"/>
    <w:rsid w:val="00B6316B"/>
    <w:rsid w:val="00B650B9"/>
    <w:rsid w:val="00B66D9F"/>
    <w:rsid w:val="00B67064"/>
    <w:rsid w:val="00B7037E"/>
    <w:rsid w:val="00B705D6"/>
    <w:rsid w:val="00B7127F"/>
    <w:rsid w:val="00B713A1"/>
    <w:rsid w:val="00B71C37"/>
    <w:rsid w:val="00B7207F"/>
    <w:rsid w:val="00B72A78"/>
    <w:rsid w:val="00B73DC5"/>
    <w:rsid w:val="00B75690"/>
    <w:rsid w:val="00B80AD9"/>
    <w:rsid w:val="00B82B9B"/>
    <w:rsid w:val="00B854D2"/>
    <w:rsid w:val="00B85519"/>
    <w:rsid w:val="00B85F29"/>
    <w:rsid w:val="00B87B63"/>
    <w:rsid w:val="00B87EEE"/>
    <w:rsid w:val="00B9282C"/>
    <w:rsid w:val="00B95129"/>
    <w:rsid w:val="00B95810"/>
    <w:rsid w:val="00B9594E"/>
    <w:rsid w:val="00BA21BC"/>
    <w:rsid w:val="00BA3471"/>
    <w:rsid w:val="00BA5D4D"/>
    <w:rsid w:val="00BA6752"/>
    <w:rsid w:val="00BA7B2C"/>
    <w:rsid w:val="00BB0247"/>
    <w:rsid w:val="00BB070A"/>
    <w:rsid w:val="00BB2B03"/>
    <w:rsid w:val="00BB3376"/>
    <w:rsid w:val="00BB54F4"/>
    <w:rsid w:val="00BB6889"/>
    <w:rsid w:val="00BB6D3C"/>
    <w:rsid w:val="00BC1A1D"/>
    <w:rsid w:val="00BC1A84"/>
    <w:rsid w:val="00BC3F42"/>
    <w:rsid w:val="00BC3FE3"/>
    <w:rsid w:val="00BC5024"/>
    <w:rsid w:val="00BC7DD4"/>
    <w:rsid w:val="00BD0FA7"/>
    <w:rsid w:val="00BD146B"/>
    <w:rsid w:val="00BD1B8E"/>
    <w:rsid w:val="00BD371D"/>
    <w:rsid w:val="00BD3B9A"/>
    <w:rsid w:val="00BE173C"/>
    <w:rsid w:val="00BE3EF2"/>
    <w:rsid w:val="00BE442E"/>
    <w:rsid w:val="00BE4932"/>
    <w:rsid w:val="00BE5834"/>
    <w:rsid w:val="00BE664F"/>
    <w:rsid w:val="00BE7568"/>
    <w:rsid w:val="00BF0996"/>
    <w:rsid w:val="00BF1AD3"/>
    <w:rsid w:val="00BF45A0"/>
    <w:rsid w:val="00BF4ABB"/>
    <w:rsid w:val="00BF5335"/>
    <w:rsid w:val="00BF6C11"/>
    <w:rsid w:val="00BF6CF5"/>
    <w:rsid w:val="00BF7208"/>
    <w:rsid w:val="00BF7334"/>
    <w:rsid w:val="00C000B8"/>
    <w:rsid w:val="00C00E84"/>
    <w:rsid w:val="00C0633E"/>
    <w:rsid w:val="00C068F3"/>
    <w:rsid w:val="00C06AC1"/>
    <w:rsid w:val="00C0740A"/>
    <w:rsid w:val="00C07B68"/>
    <w:rsid w:val="00C12705"/>
    <w:rsid w:val="00C14D0B"/>
    <w:rsid w:val="00C151C6"/>
    <w:rsid w:val="00C1545E"/>
    <w:rsid w:val="00C206A8"/>
    <w:rsid w:val="00C21E84"/>
    <w:rsid w:val="00C22E35"/>
    <w:rsid w:val="00C22F8C"/>
    <w:rsid w:val="00C25EE0"/>
    <w:rsid w:val="00C27A59"/>
    <w:rsid w:val="00C30D11"/>
    <w:rsid w:val="00C3140B"/>
    <w:rsid w:val="00C3664C"/>
    <w:rsid w:val="00C404EA"/>
    <w:rsid w:val="00C41CCB"/>
    <w:rsid w:val="00C42736"/>
    <w:rsid w:val="00C44A41"/>
    <w:rsid w:val="00C47303"/>
    <w:rsid w:val="00C50E8E"/>
    <w:rsid w:val="00C50FF6"/>
    <w:rsid w:val="00C52554"/>
    <w:rsid w:val="00C5403E"/>
    <w:rsid w:val="00C542C8"/>
    <w:rsid w:val="00C570ED"/>
    <w:rsid w:val="00C618CB"/>
    <w:rsid w:val="00C633F6"/>
    <w:rsid w:val="00C655F3"/>
    <w:rsid w:val="00C66C46"/>
    <w:rsid w:val="00C672FA"/>
    <w:rsid w:val="00C67396"/>
    <w:rsid w:val="00C67E11"/>
    <w:rsid w:val="00C70AE8"/>
    <w:rsid w:val="00C70BE7"/>
    <w:rsid w:val="00C72DA0"/>
    <w:rsid w:val="00C74627"/>
    <w:rsid w:val="00C75DA2"/>
    <w:rsid w:val="00C76901"/>
    <w:rsid w:val="00C82DBF"/>
    <w:rsid w:val="00C844A2"/>
    <w:rsid w:val="00C9063E"/>
    <w:rsid w:val="00C91A84"/>
    <w:rsid w:val="00C93101"/>
    <w:rsid w:val="00C93216"/>
    <w:rsid w:val="00C97F0F"/>
    <w:rsid w:val="00CA0971"/>
    <w:rsid w:val="00CA3073"/>
    <w:rsid w:val="00CA519D"/>
    <w:rsid w:val="00CA5A27"/>
    <w:rsid w:val="00CA6081"/>
    <w:rsid w:val="00CA7B8C"/>
    <w:rsid w:val="00CB3ACD"/>
    <w:rsid w:val="00CB6FE7"/>
    <w:rsid w:val="00CB7FF1"/>
    <w:rsid w:val="00CC13B4"/>
    <w:rsid w:val="00CC356C"/>
    <w:rsid w:val="00CD0164"/>
    <w:rsid w:val="00CD5285"/>
    <w:rsid w:val="00CD6463"/>
    <w:rsid w:val="00CD7EC2"/>
    <w:rsid w:val="00CE0661"/>
    <w:rsid w:val="00CE3ED3"/>
    <w:rsid w:val="00CE4BDA"/>
    <w:rsid w:val="00CE4EF2"/>
    <w:rsid w:val="00CE51D4"/>
    <w:rsid w:val="00CE51F5"/>
    <w:rsid w:val="00CE5B6A"/>
    <w:rsid w:val="00CE6870"/>
    <w:rsid w:val="00CE709D"/>
    <w:rsid w:val="00CE78F2"/>
    <w:rsid w:val="00CF1467"/>
    <w:rsid w:val="00CF2A4E"/>
    <w:rsid w:val="00CF2FB2"/>
    <w:rsid w:val="00CF3B74"/>
    <w:rsid w:val="00CF3C4B"/>
    <w:rsid w:val="00CF4D10"/>
    <w:rsid w:val="00CF7262"/>
    <w:rsid w:val="00CF7E6F"/>
    <w:rsid w:val="00D043E5"/>
    <w:rsid w:val="00D108FF"/>
    <w:rsid w:val="00D111B6"/>
    <w:rsid w:val="00D11A48"/>
    <w:rsid w:val="00D12D3D"/>
    <w:rsid w:val="00D13A35"/>
    <w:rsid w:val="00D14F1A"/>
    <w:rsid w:val="00D15BD7"/>
    <w:rsid w:val="00D15BDA"/>
    <w:rsid w:val="00D23F52"/>
    <w:rsid w:val="00D249D2"/>
    <w:rsid w:val="00D2585E"/>
    <w:rsid w:val="00D2729B"/>
    <w:rsid w:val="00D3089F"/>
    <w:rsid w:val="00D31FD6"/>
    <w:rsid w:val="00D34487"/>
    <w:rsid w:val="00D35B83"/>
    <w:rsid w:val="00D36C2D"/>
    <w:rsid w:val="00D416DC"/>
    <w:rsid w:val="00D41750"/>
    <w:rsid w:val="00D41778"/>
    <w:rsid w:val="00D43100"/>
    <w:rsid w:val="00D43EC4"/>
    <w:rsid w:val="00D45797"/>
    <w:rsid w:val="00D4717A"/>
    <w:rsid w:val="00D477F4"/>
    <w:rsid w:val="00D47EB9"/>
    <w:rsid w:val="00D51402"/>
    <w:rsid w:val="00D52898"/>
    <w:rsid w:val="00D543A5"/>
    <w:rsid w:val="00D547BC"/>
    <w:rsid w:val="00D54810"/>
    <w:rsid w:val="00D55B0F"/>
    <w:rsid w:val="00D55E98"/>
    <w:rsid w:val="00D575C4"/>
    <w:rsid w:val="00D610CC"/>
    <w:rsid w:val="00D63ECE"/>
    <w:rsid w:val="00D64E72"/>
    <w:rsid w:val="00D64F70"/>
    <w:rsid w:val="00D669E4"/>
    <w:rsid w:val="00D679C9"/>
    <w:rsid w:val="00D67D6D"/>
    <w:rsid w:val="00D70826"/>
    <w:rsid w:val="00D71701"/>
    <w:rsid w:val="00D756BA"/>
    <w:rsid w:val="00D75801"/>
    <w:rsid w:val="00D81539"/>
    <w:rsid w:val="00D82AF1"/>
    <w:rsid w:val="00D834FF"/>
    <w:rsid w:val="00D83D59"/>
    <w:rsid w:val="00D84E45"/>
    <w:rsid w:val="00D85021"/>
    <w:rsid w:val="00D85B19"/>
    <w:rsid w:val="00D860F3"/>
    <w:rsid w:val="00D864E5"/>
    <w:rsid w:val="00D911B5"/>
    <w:rsid w:val="00D92027"/>
    <w:rsid w:val="00D938D8"/>
    <w:rsid w:val="00D93FC4"/>
    <w:rsid w:val="00DA74BA"/>
    <w:rsid w:val="00DB4151"/>
    <w:rsid w:val="00DB4634"/>
    <w:rsid w:val="00DC16CD"/>
    <w:rsid w:val="00DC1C62"/>
    <w:rsid w:val="00DC29D5"/>
    <w:rsid w:val="00DC2D7B"/>
    <w:rsid w:val="00DC3750"/>
    <w:rsid w:val="00DC4C93"/>
    <w:rsid w:val="00DC5333"/>
    <w:rsid w:val="00DC59A0"/>
    <w:rsid w:val="00DD210A"/>
    <w:rsid w:val="00DD2951"/>
    <w:rsid w:val="00DD6455"/>
    <w:rsid w:val="00DD658C"/>
    <w:rsid w:val="00DE1366"/>
    <w:rsid w:val="00DE4258"/>
    <w:rsid w:val="00DE5C4E"/>
    <w:rsid w:val="00DE5F19"/>
    <w:rsid w:val="00DE7D19"/>
    <w:rsid w:val="00DF224D"/>
    <w:rsid w:val="00DF26F8"/>
    <w:rsid w:val="00DF3BEE"/>
    <w:rsid w:val="00DF4384"/>
    <w:rsid w:val="00DF481C"/>
    <w:rsid w:val="00DF510A"/>
    <w:rsid w:val="00DF693D"/>
    <w:rsid w:val="00DF6C31"/>
    <w:rsid w:val="00E0132A"/>
    <w:rsid w:val="00E01DB0"/>
    <w:rsid w:val="00E01FDE"/>
    <w:rsid w:val="00E0394F"/>
    <w:rsid w:val="00E04AC7"/>
    <w:rsid w:val="00E066EC"/>
    <w:rsid w:val="00E06E84"/>
    <w:rsid w:val="00E1200B"/>
    <w:rsid w:val="00E123FB"/>
    <w:rsid w:val="00E130EB"/>
    <w:rsid w:val="00E135E9"/>
    <w:rsid w:val="00E1640B"/>
    <w:rsid w:val="00E21425"/>
    <w:rsid w:val="00E224B7"/>
    <w:rsid w:val="00E2273B"/>
    <w:rsid w:val="00E243A3"/>
    <w:rsid w:val="00E27FB3"/>
    <w:rsid w:val="00E30426"/>
    <w:rsid w:val="00E3309E"/>
    <w:rsid w:val="00E3416F"/>
    <w:rsid w:val="00E34D88"/>
    <w:rsid w:val="00E34DF1"/>
    <w:rsid w:val="00E36842"/>
    <w:rsid w:val="00E40C8F"/>
    <w:rsid w:val="00E419CF"/>
    <w:rsid w:val="00E43B29"/>
    <w:rsid w:val="00E44C1D"/>
    <w:rsid w:val="00E46A08"/>
    <w:rsid w:val="00E4737F"/>
    <w:rsid w:val="00E50B80"/>
    <w:rsid w:val="00E51390"/>
    <w:rsid w:val="00E515A0"/>
    <w:rsid w:val="00E5198B"/>
    <w:rsid w:val="00E51B68"/>
    <w:rsid w:val="00E51DDA"/>
    <w:rsid w:val="00E52554"/>
    <w:rsid w:val="00E541F1"/>
    <w:rsid w:val="00E55262"/>
    <w:rsid w:val="00E55EA3"/>
    <w:rsid w:val="00E56BD6"/>
    <w:rsid w:val="00E61761"/>
    <w:rsid w:val="00E651DA"/>
    <w:rsid w:val="00E674AC"/>
    <w:rsid w:val="00E703D8"/>
    <w:rsid w:val="00E74B13"/>
    <w:rsid w:val="00E752B7"/>
    <w:rsid w:val="00E756BC"/>
    <w:rsid w:val="00E759E5"/>
    <w:rsid w:val="00E76FB6"/>
    <w:rsid w:val="00E81E25"/>
    <w:rsid w:val="00E8425E"/>
    <w:rsid w:val="00E84B76"/>
    <w:rsid w:val="00E8590C"/>
    <w:rsid w:val="00E875DA"/>
    <w:rsid w:val="00E90099"/>
    <w:rsid w:val="00E9066C"/>
    <w:rsid w:val="00E90AA8"/>
    <w:rsid w:val="00E958C3"/>
    <w:rsid w:val="00E95AEF"/>
    <w:rsid w:val="00EA1746"/>
    <w:rsid w:val="00EA23C8"/>
    <w:rsid w:val="00EA34DE"/>
    <w:rsid w:val="00EA57A6"/>
    <w:rsid w:val="00EB0487"/>
    <w:rsid w:val="00EB0E69"/>
    <w:rsid w:val="00EB2043"/>
    <w:rsid w:val="00EB3272"/>
    <w:rsid w:val="00EB6ABA"/>
    <w:rsid w:val="00EB7F1E"/>
    <w:rsid w:val="00EC0614"/>
    <w:rsid w:val="00EC0BD8"/>
    <w:rsid w:val="00EC2F37"/>
    <w:rsid w:val="00EC42CD"/>
    <w:rsid w:val="00ED0CB7"/>
    <w:rsid w:val="00ED1067"/>
    <w:rsid w:val="00ED1F63"/>
    <w:rsid w:val="00ED1F87"/>
    <w:rsid w:val="00ED48ED"/>
    <w:rsid w:val="00ED754A"/>
    <w:rsid w:val="00ED766F"/>
    <w:rsid w:val="00ED7C72"/>
    <w:rsid w:val="00EE20F0"/>
    <w:rsid w:val="00EE253B"/>
    <w:rsid w:val="00EE62A6"/>
    <w:rsid w:val="00EE7B73"/>
    <w:rsid w:val="00EF2FA1"/>
    <w:rsid w:val="00EF39AC"/>
    <w:rsid w:val="00EF4D06"/>
    <w:rsid w:val="00EF667A"/>
    <w:rsid w:val="00EF67BB"/>
    <w:rsid w:val="00EF6B27"/>
    <w:rsid w:val="00F00887"/>
    <w:rsid w:val="00F01E37"/>
    <w:rsid w:val="00F044F4"/>
    <w:rsid w:val="00F045F1"/>
    <w:rsid w:val="00F052A1"/>
    <w:rsid w:val="00F05CBC"/>
    <w:rsid w:val="00F06806"/>
    <w:rsid w:val="00F074AE"/>
    <w:rsid w:val="00F0792F"/>
    <w:rsid w:val="00F11154"/>
    <w:rsid w:val="00F1124E"/>
    <w:rsid w:val="00F113A7"/>
    <w:rsid w:val="00F11FB3"/>
    <w:rsid w:val="00F1291B"/>
    <w:rsid w:val="00F13962"/>
    <w:rsid w:val="00F14438"/>
    <w:rsid w:val="00F14BD6"/>
    <w:rsid w:val="00F223C4"/>
    <w:rsid w:val="00F242B1"/>
    <w:rsid w:val="00F24999"/>
    <w:rsid w:val="00F2508A"/>
    <w:rsid w:val="00F26693"/>
    <w:rsid w:val="00F269C6"/>
    <w:rsid w:val="00F33268"/>
    <w:rsid w:val="00F333D6"/>
    <w:rsid w:val="00F336AC"/>
    <w:rsid w:val="00F33CCD"/>
    <w:rsid w:val="00F35B44"/>
    <w:rsid w:val="00F3621B"/>
    <w:rsid w:val="00F37DC4"/>
    <w:rsid w:val="00F413B8"/>
    <w:rsid w:val="00F4172C"/>
    <w:rsid w:val="00F42E6E"/>
    <w:rsid w:val="00F437A9"/>
    <w:rsid w:val="00F45507"/>
    <w:rsid w:val="00F45787"/>
    <w:rsid w:val="00F45B34"/>
    <w:rsid w:val="00F46112"/>
    <w:rsid w:val="00F526C9"/>
    <w:rsid w:val="00F52A75"/>
    <w:rsid w:val="00F52E04"/>
    <w:rsid w:val="00F533C4"/>
    <w:rsid w:val="00F55963"/>
    <w:rsid w:val="00F57CEE"/>
    <w:rsid w:val="00F6006F"/>
    <w:rsid w:val="00F60D4F"/>
    <w:rsid w:val="00F6149D"/>
    <w:rsid w:val="00F627F3"/>
    <w:rsid w:val="00F63B54"/>
    <w:rsid w:val="00F64DD1"/>
    <w:rsid w:val="00F65998"/>
    <w:rsid w:val="00F6606C"/>
    <w:rsid w:val="00F74A6E"/>
    <w:rsid w:val="00F769FA"/>
    <w:rsid w:val="00F8006D"/>
    <w:rsid w:val="00F80072"/>
    <w:rsid w:val="00F82413"/>
    <w:rsid w:val="00F831A4"/>
    <w:rsid w:val="00F84EFC"/>
    <w:rsid w:val="00F856DD"/>
    <w:rsid w:val="00F85E37"/>
    <w:rsid w:val="00F86BB6"/>
    <w:rsid w:val="00F86F07"/>
    <w:rsid w:val="00F900A3"/>
    <w:rsid w:val="00F92CAC"/>
    <w:rsid w:val="00F94083"/>
    <w:rsid w:val="00F95504"/>
    <w:rsid w:val="00F9578A"/>
    <w:rsid w:val="00F959D3"/>
    <w:rsid w:val="00F9634D"/>
    <w:rsid w:val="00F974B0"/>
    <w:rsid w:val="00FA07F7"/>
    <w:rsid w:val="00FA413C"/>
    <w:rsid w:val="00FA5409"/>
    <w:rsid w:val="00FA587F"/>
    <w:rsid w:val="00FB2FD2"/>
    <w:rsid w:val="00FB3066"/>
    <w:rsid w:val="00FB390C"/>
    <w:rsid w:val="00FB45FD"/>
    <w:rsid w:val="00FB4B43"/>
    <w:rsid w:val="00FB551C"/>
    <w:rsid w:val="00FB71E0"/>
    <w:rsid w:val="00FC3114"/>
    <w:rsid w:val="00FC4B3A"/>
    <w:rsid w:val="00FC590D"/>
    <w:rsid w:val="00FC6A3B"/>
    <w:rsid w:val="00FC779C"/>
    <w:rsid w:val="00FD0395"/>
    <w:rsid w:val="00FD23E3"/>
    <w:rsid w:val="00FD2B40"/>
    <w:rsid w:val="00FD3152"/>
    <w:rsid w:val="00FD4A73"/>
    <w:rsid w:val="00FD55C2"/>
    <w:rsid w:val="00FD73EF"/>
    <w:rsid w:val="00FE27C2"/>
    <w:rsid w:val="00FE28F7"/>
    <w:rsid w:val="00FE5413"/>
    <w:rsid w:val="00FF0A2F"/>
    <w:rsid w:val="00FF0EEC"/>
    <w:rsid w:val="00FF166C"/>
    <w:rsid w:val="00FF1EDC"/>
    <w:rsid w:val="00FF43A3"/>
    <w:rsid w:val="00FF7FC1"/>
    <w:rsid w:val="7E7F4C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3DAE0"/>
  <w15:docId w15:val="{A040EF55-9F43-43F1-94FA-37EAFD450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Body Text Indent"/>
    <w:basedOn w:val="a"/>
    <w:link w:val="a6"/>
    <w:qFormat/>
    <w:pPr>
      <w:spacing w:after="0" w:line="240" w:lineRule="auto"/>
      <w:jc w:val="both"/>
    </w:pPr>
    <w:rPr>
      <w:rFonts w:ascii="Times New Roman" w:eastAsia="Times New Roman" w:hAnsi="Times New Roman" w:cs="Times New Roman"/>
      <w:sz w:val="28"/>
      <w:szCs w:val="20"/>
    </w:rPr>
  </w:style>
  <w:style w:type="character" w:styleId="a7">
    <w:name w:val="annotation reference"/>
    <w:basedOn w:val="a0"/>
    <w:uiPriority w:val="99"/>
    <w:semiHidden/>
    <w:unhideWhenUsed/>
    <w:qFormat/>
    <w:rPr>
      <w:sz w:val="16"/>
      <w:szCs w:val="16"/>
    </w:rPr>
  </w:style>
  <w:style w:type="paragraph" w:styleId="a8">
    <w:name w:val="annotation text"/>
    <w:basedOn w:val="a"/>
    <w:link w:val="a9"/>
    <w:uiPriority w:val="99"/>
    <w:semiHidden/>
    <w:unhideWhenUsed/>
    <w:pPr>
      <w:spacing w:line="240" w:lineRule="auto"/>
    </w:pPr>
    <w:rPr>
      <w:sz w:val="20"/>
      <w:szCs w:val="20"/>
    </w:rPr>
  </w:style>
  <w:style w:type="paragraph" w:styleId="aa">
    <w:name w:val="annotation subject"/>
    <w:basedOn w:val="a8"/>
    <w:next w:val="a8"/>
    <w:link w:val="ab"/>
    <w:unhideWhenUsed/>
    <w:qFormat/>
    <w:rPr>
      <w:b/>
      <w:bCs/>
    </w:rPr>
  </w:style>
  <w:style w:type="paragraph" w:styleId="ac">
    <w:name w:val="footer"/>
    <w:basedOn w:val="a"/>
    <w:link w:val="ad"/>
    <w:uiPriority w:val="99"/>
    <w:unhideWhenUsed/>
    <w:pPr>
      <w:tabs>
        <w:tab w:val="center" w:pos="4536"/>
        <w:tab w:val="right" w:pos="9072"/>
      </w:tabs>
      <w:spacing w:after="0" w:line="240" w:lineRule="auto"/>
    </w:pPr>
  </w:style>
  <w:style w:type="paragraph" w:styleId="ae">
    <w:name w:val="header"/>
    <w:basedOn w:val="a"/>
    <w:link w:val="af"/>
    <w:uiPriority w:val="99"/>
    <w:unhideWhenUsed/>
    <w:pPr>
      <w:tabs>
        <w:tab w:val="center" w:pos="4536"/>
        <w:tab w:val="right" w:pos="9072"/>
      </w:tabs>
      <w:spacing w:after="0" w:line="240" w:lineRule="auto"/>
    </w:pPr>
  </w:style>
  <w:style w:type="character" w:styleId="af0">
    <w:name w:val="Hyperlink"/>
    <w:basedOn w:val="a0"/>
    <w:uiPriority w:val="99"/>
    <w:unhideWhenUsed/>
    <w:qFormat/>
    <w:rPr>
      <w:color w:val="0000FF" w:themeColor="hyperlink"/>
      <w:u w:val="single"/>
    </w:rPr>
  </w:style>
  <w:style w:type="paragraph" w:styleId="af1">
    <w:name w:val="Normal (Web)"/>
    <w:basedOn w:val="a"/>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0"/>
    <w:uiPriority w:val="22"/>
    <w:qFormat/>
    <w:rPr>
      <w:b/>
      <w:bCs/>
    </w:rPr>
  </w:style>
  <w:style w:type="table" w:styleId="af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uiPriority w:val="39"/>
    <w:unhideWhenUsed/>
    <w:qFormat/>
    <w:pPr>
      <w:spacing w:after="100"/>
    </w:pPr>
  </w:style>
  <w:style w:type="paragraph" w:styleId="21">
    <w:name w:val="toc 2"/>
    <w:basedOn w:val="a"/>
    <w:next w:val="a"/>
    <w:uiPriority w:val="39"/>
    <w:unhideWhenUsed/>
    <w:qFormat/>
    <w:pPr>
      <w:tabs>
        <w:tab w:val="right" w:leader="dot" w:pos="9628"/>
      </w:tabs>
      <w:spacing w:after="100"/>
      <w:ind w:left="220"/>
    </w:pPr>
  </w:style>
  <w:style w:type="paragraph" w:styleId="31">
    <w:name w:val="toc 3"/>
    <w:basedOn w:val="a"/>
    <w:next w:val="a"/>
    <w:uiPriority w:val="39"/>
    <w:unhideWhenUsed/>
    <w:qFormat/>
    <w:pPr>
      <w:spacing w:after="100"/>
      <w:ind w:left="440"/>
    </w:pPr>
  </w:style>
  <w:style w:type="character" w:customStyle="1" w:styleId="a4">
    <w:name w:val="Изнесен текст Знак"/>
    <w:basedOn w:val="a0"/>
    <w:link w:val="a3"/>
    <w:uiPriority w:val="99"/>
    <w:semiHidden/>
    <w:rPr>
      <w:rFonts w:ascii="Tahoma" w:hAnsi="Tahoma" w:cs="Tahoma"/>
      <w:sz w:val="16"/>
      <w:szCs w:val="16"/>
    </w:rPr>
  </w:style>
  <w:style w:type="character" w:customStyle="1" w:styleId="10">
    <w:name w:val="Заглавие 1 Знак"/>
    <w:basedOn w:val="a0"/>
    <w:link w:val="1"/>
    <w:uiPriority w:val="9"/>
    <w:rPr>
      <w:rFonts w:asciiTheme="majorHAnsi" w:eastAsiaTheme="majorEastAsia" w:hAnsiTheme="majorHAnsi" w:cstheme="majorBidi"/>
      <w:b/>
      <w:bCs/>
      <w:color w:val="365F91" w:themeColor="accent1" w:themeShade="BF"/>
      <w:sz w:val="28"/>
      <w:szCs w:val="28"/>
    </w:rPr>
  </w:style>
  <w:style w:type="paragraph" w:customStyle="1" w:styleId="12">
    <w:name w:val="Заглавие от съдържание1"/>
    <w:basedOn w:val="1"/>
    <w:next w:val="a"/>
    <w:uiPriority w:val="39"/>
    <w:unhideWhenUsed/>
    <w:qFormat/>
    <w:pPr>
      <w:outlineLvl w:val="9"/>
    </w:pPr>
  </w:style>
  <w:style w:type="character" w:customStyle="1" w:styleId="af">
    <w:name w:val="Горен колонтитул Знак"/>
    <w:basedOn w:val="a0"/>
    <w:link w:val="ae"/>
    <w:uiPriority w:val="99"/>
  </w:style>
  <w:style w:type="character" w:customStyle="1" w:styleId="ad">
    <w:name w:val="Долен колонтитул Знак"/>
    <w:basedOn w:val="a0"/>
    <w:link w:val="ac"/>
    <w:uiPriority w:val="99"/>
  </w:style>
  <w:style w:type="character" w:customStyle="1" w:styleId="20">
    <w:name w:val="Заглавие 2 Знак"/>
    <w:basedOn w:val="a0"/>
    <w:link w:val="2"/>
    <w:uiPriority w:val="9"/>
    <w:qFormat/>
    <w:rPr>
      <w:rFonts w:asciiTheme="majorHAnsi" w:eastAsiaTheme="majorEastAsia" w:hAnsiTheme="majorHAnsi" w:cstheme="majorBidi"/>
      <w:color w:val="365F91" w:themeColor="accent1" w:themeShade="BF"/>
      <w:sz w:val="26"/>
      <w:szCs w:val="26"/>
    </w:rPr>
  </w:style>
  <w:style w:type="paragraph" w:styleId="af4">
    <w:name w:val="List Paragraph"/>
    <w:basedOn w:val="a"/>
    <w:uiPriority w:val="34"/>
    <w:qFormat/>
    <w:pPr>
      <w:ind w:left="720"/>
      <w:contextualSpacing/>
    </w:pPr>
  </w:style>
  <w:style w:type="character" w:customStyle="1" w:styleId="a6">
    <w:name w:val="Основен текст с отстъп Знак"/>
    <w:basedOn w:val="a0"/>
    <w:link w:val="a5"/>
    <w:rPr>
      <w:rFonts w:ascii="Times New Roman" w:eastAsia="Times New Roman" w:hAnsi="Times New Roman" w:cs="Times New Roman"/>
      <w:sz w:val="28"/>
      <w:szCs w:val="20"/>
    </w:rPr>
  </w:style>
  <w:style w:type="character" w:customStyle="1" w:styleId="a9">
    <w:name w:val="Текст на коментар Знак"/>
    <w:basedOn w:val="a0"/>
    <w:link w:val="a8"/>
    <w:uiPriority w:val="99"/>
    <w:semiHidden/>
    <w:rPr>
      <w:sz w:val="20"/>
      <w:szCs w:val="20"/>
    </w:rPr>
  </w:style>
  <w:style w:type="character" w:customStyle="1" w:styleId="ab">
    <w:name w:val="Предмет на коментар Знак"/>
    <w:basedOn w:val="a9"/>
    <w:link w:val="aa"/>
    <w:qFormat/>
    <w:rPr>
      <w:b/>
      <w:bCs/>
      <w:sz w:val="20"/>
      <w:szCs w:val="20"/>
    </w:rPr>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table" w:customStyle="1" w:styleId="TableGrid4">
    <w:name w:val="Table Grid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Гълъбово1"/>
    <w:basedOn w:val="a"/>
    <w:link w:val="1Char"/>
    <w:qFormat/>
    <w:pPr>
      <w:pBdr>
        <w:bottom w:val="single" w:sz="4" w:space="1" w:color="auto"/>
      </w:pBdr>
      <w:tabs>
        <w:tab w:val="left" w:pos="426"/>
        <w:tab w:val="left" w:pos="7655"/>
      </w:tabs>
      <w:spacing w:line="240" w:lineRule="auto"/>
      <w:jc w:val="both"/>
      <w:outlineLvl w:val="0"/>
    </w:pPr>
    <w:rPr>
      <w:rFonts w:ascii="Times New Roman" w:eastAsia="Times New Roman" w:hAnsi="Times New Roman" w:cs="Times New Roman"/>
      <w:color w:val="365F91" w:themeColor="accent1" w:themeShade="BF"/>
      <w:sz w:val="48"/>
      <w:szCs w:val="48"/>
    </w:rPr>
  </w:style>
  <w:style w:type="character" w:customStyle="1" w:styleId="1Char">
    <w:name w:val="Гълъбово1 Char"/>
    <w:basedOn w:val="a0"/>
    <w:link w:val="13"/>
    <w:rPr>
      <w:rFonts w:ascii="Times New Roman" w:eastAsia="Times New Roman" w:hAnsi="Times New Roman" w:cs="Times New Roman"/>
      <w:color w:val="365F91" w:themeColor="accent1" w:themeShade="BF"/>
      <w:sz w:val="48"/>
      <w:szCs w:val="48"/>
    </w:rPr>
  </w:style>
  <w:style w:type="character" w:customStyle="1" w:styleId="30">
    <w:name w:val="Заглавие 3 Знак"/>
    <w:basedOn w:val="a0"/>
    <w:link w:val="3"/>
    <w:uiPriority w:val="9"/>
    <w:rPr>
      <w:rFonts w:asciiTheme="majorHAnsi" w:eastAsiaTheme="majorEastAsia" w:hAnsiTheme="majorHAnsi" w:cstheme="majorBidi"/>
      <w:b/>
      <w:bCs/>
      <w:color w:val="4F81BD" w:themeColor="accent1"/>
    </w:rPr>
  </w:style>
  <w:style w:type="table" w:customStyle="1" w:styleId="TableGrid1">
    <w:name w:val="Table Grid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uiPriority w:val="5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uiPriority w:val="5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uiPriority w:val="5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ен текст (7)_"/>
    <w:basedOn w:val="a0"/>
    <w:link w:val="70"/>
    <w:uiPriority w:val="99"/>
    <w:rPr>
      <w:rFonts w:ascii="Times New Roman" w:hAnsi="Times New Roman" w:cs="Times New Roman"/>
      <w:sz w:val="18"/>
      <w:szCs w:val="18"/>
      <w:shd w:val="clear" w:color="auto" w:fill="FFFFFF"/>
    </w:rPr>
  </w:style>
  <w:style w:type="paragraph" w:customStyle="1" w:styleId="70">
    <w:name w:val="Основен текст (7)"/>
    <w:basedOn w:val="a"/>
    <w:link w:val="7"/>
    <w:uiPriority w:val="99"/>
    <w:pPr>
      <w:shd w:val="clear" w:color="auto" w:fill="FFFFFF"/>
      <w:spacing w:after="0" w:line="240" w:lineRule="atLeast"/>
      <w:jc w:val="both"/>
    </w:pPr>
    <w:rPr>
      <w:rFonts w:ascii="Times New Roman" w:hAnsi="Times New Roman" w:cs="Times New Roman"/>
      <w:sz w:val="18"/>
      <w:szCs w:val="18"/>
    </w:rPr>
  </w:style>
  <w:style w:type="character" w:customStyle="1" w:styleId="71">
    <w:name w:val="Основен текст (7) + Удебелен"/>
    <w:basedOn w:val="7"/>
    <w:uiPriority w:val="99"/>
    <w:rPr>
      <w:rFonts w:ascii="Times New Roman" w:hAnsi="Times New Roman" w:cs="Times New Roman"/>
      <w:b/>
      <w:bCs/>
      <w:sz w:val="18"/>
      <w:szCs w:val="18"/>
      <w:shd w:val="clear" w:color="auto" w:fill="FFFFFF"/>
    </w:rPr>
  </w:style>
  <w:style w:type="character" w:customStyle="1" w:styleId="8">
    <w:name w:val="Основен текст (8)_"/>
    <w:basedOn w:val="a0"/>
    <w:link w:val="80"/>
    <w:uiPriority w:val="99"/>
    <w:rPr>
      <w:rFonts w:ascii="Times New Roman" w:hAnsi="Times New Roman" w:cs="Times New Roman"/>
      <w:b/>
      <w:bCs/>
      <w:i/>
      <w:iCs/>
      <w:sz w:val="18"/>
      <w:szCs w:val="18"/>
      <w:shd w:val="clear" w:color="auto" w:fill="FFFFFF"/>
    </w:rPr>
  </w:style>
  <w:style w:type="paragraph" w:customStyle="1" w:styleId="80">
    <w:name w:val="Основен текст (8)"/>
    <w:basedOn w:val="a"/>
    <w:link w:val="8"/>
    <w:uiPriority w:val="99"/>
    <w:pPr>
      <w:shd w:val="clear" w:color="auto" w:fill="FFFFFF"/>
      <w:spacing w:after="0" w:line="226" w:lineRule="exact"/>
      <w:jc w:val="both"/>
    </w:pPr>
    <w:rPr>
      <w:rFonts w:ascii="Times New Roman" w:hAnsi="Times New Roman" w:cs="Times New Roman"/>
      <w:b/>
      <w:bCs/>
      <w:i/>
      <w:iCs/>
      <w:sz w:val="18"/>
      <w:szCs w:val="18"/>
    </w:rPr>
  </w:style>
  <w:style w:type="character" w:customStyle="1" w:styleId="81">
    <w:name w:val="Основен текст (8) + Не е удебелен"/>
    <w:basedOn w:val="8"/>
    <w:uiPriority w:val="99"/>
    <w:qFormat/>
    <w:rPr>
      <w:rFonts w:ascii="Times New Roman" w:hAnsi="Times New Roman" w:cs="Times New Roman"/>
      <w:b/>
      <w:bCs/>
      <w:i/>
      <w:iCs/>
      <w:sz w:val="18"/>
      <w:szCs w:val="18"/>
      <w:shd w:val="clear" w:color="auto" w:fill="FFFFFF"/>
    </w:rPr>
  </w:style>
  <w:style w:type="character" w:customStyle="1" w:styleId="82">
    <w:name w:val="Основен текст (8) + Не е курсив"/>
    <w:basedOn w:val="8"/>
    <w:uiPriority w:val="99"/>
    <w:rPr>
      <w:rFonts w:ascii="Times New Roman" w:hAnsi="Times New Roman" w:cs="Times New Roman"/>
      <w:b/>
      <w:bCs/>
      <w:i/>
      <w:iCs/>
      <w:sz w:val="18"/>
      <w:szCs w:val="18"/>
      <w:shd w:val="clear" w:color="auto" w:fill="FFFFFF"/>
    </w:rPr>
  </w:style>
  <w:style w:type="character" w:customStyle="1" w:styleId="710">
    <w:name w:val="Основен текст (7) + Удебелен1"/>
    <w:basedOn w:val="7"/>
    <w:uiPriority w:val="99"/>
    <w:rPr>
      <w:rFonts w:ascii="Times New Roman" w:hAnsi="Times New Roman" w:cs="Times New Roman"/>
      <w:b/>
      <w:bCs/>
      <w:spacing w:val="0"/>
      <w:sz w:val="18"/>
      <w:szCs w:val="18"/>
      <w:shd w:val="clear" w:color="auto" w:fill="FFFFFF"/>
    </w:rPr>
  </w:style>
  <w:style w:type="character" w:customStyle="1" w:styleId="32">
    <w:name w:val="Заглавие на изображение (3)_"/>
    <w:basedOn w:val="a0"/>
    <w:link w:val="310"/>
    <w:uiPriority w:val="99"/>
    <w:rPr>
      <w:rFonts w:ascii="Times New Roman" w:hAnsi="Times New Roman" w:cs="Times New Roman"/>
      <w:spacing w:val="30"/>
      <w:sz w:val="8"/>
      <w:szCs w:val="8"/>
      <w:shd w:val="clear" w:color="auto" w:fill="FFFFFF"/>
    </w:rPr>
  </w:style>
  <w:style w:type="paragraph" w:customStyle="1" w:styleId="310">
    <w:name w:val="Заглавие на изображение (3)1"/>
    <w:basedOn w:val="a"/>
    <w:link w:val="32"/>
    <w:uiPriority w:val="99"/>
    <w:qFormat/>
    <w:pPr>
      <w:shd w:val="clear" w:color="auto" w:fill="FFFFFF"/>
      <w:spacing w:after="0" w:line="240" w:lineRule="atLeast"/>
    </w:pPr>
    <w:rPr>
      <w:rFonts w:ascii="Times New Roman" w:hAnsi="Times New Roman" w:cs="Times New Roman"/>
      <w:spacing w:val="30"/>
      <w:sz w:val="8"/>
      <w:szCs w:val="8"/>
    </w:rPr>
  </w:style>
  <w:style w:type="character" w:customStyle="1" w:styleId="33">
    <w:name w:val="Заглавие на изображение (3)"/>
    <w:basedOn w:val="32"/>
    <w:uiPriority w:val="99"/>
    <w:rPr>
      <w:rFonts w:ascii="Times New Roman" w:hAnsi="Times New Roman" w:cs="Times New Roman"/>
      <w:spacing w:val="30"/>
      <w:sz w:val="8"/>
      <w:szCs w:val="8"/>
      <w:shd w:val="clear" w:color="auto" w:fill="FFFFFF"/>
    </w:rPr>
  </w:style>
  <w:style w:type="character" w:customStyle="1" w:styleId="4">
    <w:name w:val="Заглавие на изображение (4)_"/>
    <w:basedOn w:val="a0"/>
    <w:link w:val="41"/>
    <w:uiPriority w:val="99"/>
    <w:rPr>
      <w:rFonts w:ascii="Tahoma" w:hAnsi="Tahoma" w:cs="Tahoma"/>
      <w:sz w:val="14"/>
      <w:szCs w:val="14"/>
      <w:shd w:val="clear" w:color="auto" w:fill="FFFFFF"/>
    </w:rPr>
  </w:style>
  <w:style w:type="paragraph" w:customStyle="1" w:styleId="41">
    <w:name w:val="Заглавие на изображение (4)1"/>
    <w:basedOn w:val="a"/>
    <w:link w:val="4"/>
    <w:uiPriority w:val="99"/>
    <w:pPr>
      <w:shd w:val="clear" w:color="auto" w:fill="FFFFFF"/>
      <w:spacing w:after="0" w:line="168" w:lineRule="exact"/>
      <w:jc w:val="both"/>
    </w:pPr>
    <w:rPr>
      <w:rFonts w:ascii="Tahoma" w:hAnsi="Tahoma" w:cs="Tahoma"/>
      <w:sz w:val="14"/>
      <w:szCs w:val="14"/>
    </w:rPr>
  </w:style>
  <w:style w:type="character" w:customStyle="1" w:styleId="40">
    <w:name w:val="Заглавие на изображение (4)"/>
    <w:basedOn w:val="4"/>
    <w:uiPriority w:val="99"/>
    <w:rPr>
      <w:rFonts w:ascii="Tahoma" w:hAnsi="Tahoma" w:cs="Tahoma"/>
      <w:sz w:val="14"/>
      <w:szCs w:val="14"/>
      <w:shd w:val="clear" w:color="auto" w:fill="FFFFFF"/>
    </w:rPr>
  </w:style>
  <w:style w:type="character" w:customStyle="1" w:styleId="416">
    <w:name w:val="Заглавие на изображение (4)16"/>
    <w:basedOn w:val="4"/>
    <w:uiPriority w:val="99"/>
    <w:rPr>
      <w:rFonts w:ascii="Tahoma" w:hAnsi="Tahoma" w:cs="Tahoma"/>
      <w:sz w:val="14"/>
      <w:szCs w:val="14"/>
      <w:shd w:val="clear" w:color="auto" w:fill="FFFFFF"/>
    </w:rPr>
  </w:style>
  <w:style w:type="character" w:customStyle="1" w:styleId="38">
    <w:name w:val="Заглавие на изображение (3)8"/>
    <w:basedOn w:val="32"/>
    <w:uiPriority w:val="99"/>
    <w:rPr>
      <w:rFonts w:ascii="Times New Roman" w:hAnsi="Times New Roman" w:cs="Times New Roman"/>
      <w:spacing w:val="30"/>
      <w:sz w:val="8"/>
      <w:szCs w:val="8"/>
      <w:shd w:val="clear" w:color="auto" w:fill="FFFFFF"/>
    </w:rPr>
  </w:style>
  <w:style w:type="character" w:customStyle="1" w:styleId="415">
    <w:name w:val="Заглавие на изображение (4)15"/>
    <w:basedOn w:val="4"/>
    <w:uiPriority w:val="99"/>
    <w:rPr>
      <w:rFonts w:ascii="Tahoma" w:hAnsi="Tahoma" w:cs="Tahoma"/>
      <w:sz w:val="14"/>
      <w:szCs w:val="14"/>
      <w:shd w:val="clear" w:color="auto" w:fill="FFFFFF"/>
    </w:rPr>
  </w:style>
  <w:style w:type="character" w:customStyle="1" w:styleId="414">
    <w:name w:val="Заглавие на изображение (4)14"/>
    <w:basedOn w:val="4"/>
    <w:uiPriority w:val="99"/>
    <w:rPr>
      <w:rFonts w:ascii="Tahoma" w:hAnsi="Tahoma" w:cs="Tahoma"/>
      <w:sz w:val="14"/>
      <w:szCs w:val="14"/>
      <w:shd w:val="clear" w:color="auto" w:fill="FFFFFF"/>
    </w:rPr>
  </w:style>
  <w:style w:type="character" w:customStyle="1" w:styleId="af5">
    <w:name w:val="Заглавие на изображение_"/>
    <w:basedOn w:val="a0"/>
    <w:link w:val="14"/>
    <w:uiPriority w:val="99"/>
    <w:rPr>
      <w:rFonts w:ascii="Tahoma" w:hAnsi="Tahoma" w:cs="Tahoma"/>
      <w:sz w:val="11"/>
      <w:szCs w:val="11"/>
      <w:shd w:val="clear" w:color="auto" w:fill="FFFFFF"/>
    </w:rPr>
  </w:style>
  <w:style w:type="paragraph" w:customStyle="1" w:styleId="14">
    <w:name w:val="Заглавие на изображение1"/>
    <w:basedOn w:val="a"/>
    <w:link w:val="af5"/>
    <w:uiPriority w:val="99"/>
    <w:pPr>
      <w:shd w:val="clear" w:color="auto" w:fill="FFFFFF"/>
      <w:spacing w:after="0" w:line="125" w:lineRule="exact"/>
      <w:jc w:val="both"/>
    </w:pPr>
    <w:rPr>
      <w:rFonts w:ascii="Tahoma" w:hAnsi="Tahoma" w:cs="Tahoma"/>
      <w:sz w:val="11"/>
      <w:szCs w:val="11"/>
    </w:rPr>
  </w:style>
  <w:style w:type="character" w:customStyle="1" w:styleId="22">
    <w:name w:val="Заглавие на изображение (2)_"/>
    <w:basedOn w:val="a0"/>
    <w:link w:val="210"/>
    <w:uiPriority w:val="99"/>
    <w:rPr>
      <w:rFonts w:ascii="Tahoma" w:hAnsi="Tahoma" w:cs="Tahoma"/>
      <w:sz w:val="17"/>
      <w:szCs w:val="17"/>
      <w:shd w:val="clear" w:color="auto" w:fill="FFFFFF"/>
    </w:rPr>
  </w:style>
  <w:style w:type="paragraph" w:customStyle="1" w:styleId="210">
    <w:name w:val="Заглавие на изображение (2)1"/>
    <w:basedOn w:val="a"/>
    <w:link w:val="22"/>
    <w:uiPriority w:val="99"/>
    <w:pPr>
      <w:shd w:val="clear" w:color="auto" w:fill="FFFFFF"/>
      <w:spacing w:after="0" w:line="240" w:lineRule="atLeast"/>
    </w:pPr>
    <w:rPr>
      <w:rFonts w:ascii="Tahoma" w:hAnsi="Tahoma" w:cs="Tahoma"/>
      <w:sz w:val="17"/>
      <w:szCs w:val="17"/>
    </w:rPr>
  </w:style>
  <w:style w:type="character" w:customStyle="1" w:styleId="af6">
    <w:name w:val="Основен текст_"/>
    <w:basedOn w:val="a0"/>
    <w:link w:val="15"/>
    <w:uiPriority w:val="99"/>
    <w:rPr>
      <w:rFonts w:ascii="Times New Roman" w:hAnsi="Times New Roman" w:cs="Times New Roman"/>
      <w:sz w:val="23"/>
      <w:szCs w:val="23"/>
      <w:shd w:val="clear" w:color="auto" w:fill="FFFFFF"/>
    </w:rPr>
  </w:style>
  <w:style w:type="paragraph" w:customStyle="1" w:styleId="15">
    <w:name w:val="Основен текст1"/>
    <w:basedOn w:val="a"/>
    <w:link w:val="af6"/>
    <w:uiPriority w:val="99"/>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64">
    <w:name w:val="Заглавие на изображение64"/>
    <w:basedOn w:val="af5"/>
    <w:uiPriority w:val="99"/>
    <w:rPr>
      <w:rFonts w:ascii="Tahoma" w:hAnsi="Tahoma" w:cs="Tahoma"/>
      <w:sz w:val="11"/>
      <w:szCs w:val="11"/>
      <w:shd w:val="clear" w:color="auto" w:fill="FFFFFF"/>
    </w:rPr>
  </w:style>
  <w:style w:type="character" w:customStyle="1" w:styleId="63">
    <w:name w:val="Заглавие на изображение63"/>
    <w:basedOn w:val="af5"/>
    <w:uiPriority w:val="99"/>
    <w:rPr>
      <w:rFonts w:ascii="Tahoma" w:hAnsi="Tahoma" w:cs="Tahoma"/>
      <w:sz w:val="11"/>
      <w:szCs w:val="11"/>
      <w:shd w:val="clear" w:color="auto" w:fill="FFFFFF"/>
    </w:rPr>
  </w:style>
  <w:style w:type="character" w:customStyle="1" w:styleId="62">
    <w:name w:val="Заглавие на изображение62"/>
    <w:basedOn w:val="af5"/>
    <w:uiPriority w:val="99"/>
    <w:rPr>
      <w:rFonts w:ascii="Tahoma" w:hAnsi="Tahoma" w:cs="Tahoma"/>
      <w:sz w:val="11"/>
      <w:szCs w:val="11"/>
      <w:shd w:val="clear" w:color="auto" w:fill="FFFFFF"/>
    </w:rPr>
  </w:style>
  <w:style w:type="character" w:customStyle="1" w:styleId="222">
    <w:name w:val="Заглавие на изображение (2)22"/>
    <w:basedOn w:val="22"/>
    <w:uiPriority w:val="99"/>
    <w:rPr>
      <w:rFonts w:ascii="Tahoma" w:hAnsi="Tahoma" w:cs="Tahoma"/>
      <w:sz w:val="17"/>
      <w:szCs w:val="17"/>
      <w:shd w:val="clear" w:color="auto" w:fill="FFFFFF"/>
    </w:rPr>
  </w:style>
  <w:style w:type="character" w:customStyle="1" w:styleId="23">
    <w:name w:val="Основен текст (2)_"/>
    <w:basedOn w:val="a0"/>
    <w:link w:val="211"/>
    <w:uiPriority w:val="99"/>
    <w:rPr>
      <w:rFonts w:ascii="Times New Roman" w:hAnsi="Times New Roman" w:cs="Times New Roman"/>
      <w:b/>
      <w:bCs/>
      <w:sz w:val="23"/>
      <w:szCs w:val="23"/>
      <w:shd w:val="clear" w:color="auto" w:fill="FFFFFF"/>
    </w:rPr>
  </w:style>
  <w:style w:type="paragraph" w:customStyle="1" w:styleId="211">
    <w:name w:val="Основен текст (2)1"/>
    <w:basedOn w:val="a"/>
    <w:link w:val="23"/>
    <w:uiPriority w:val="99"/>
    <w:qFormat/>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110">
    <w:name w:val="Основен текст + Удебелен11"/>
    <w:basedOn w:val="af6"/>
    <w:uiPriority w:val="99"/>
    <w:rPr>
      <w:rFonts w:ascii="Times New Roman" w:hAnsi="Times New Roman" w:cs="Times New Roman"/>
      <w:b/>
      <w:bCs/>
      <w:spacing w:val="0"/>
      <w:sz w:val="23"/>
      <w:szCs w:val="23"/>
      <w:shd w:val="clear" w:color="auto" w:fill="FFFFFF"/>
    </w:rPr>
  </w:style>
  <w:style w:type="character" w:customStyle="1" w:styleId="34">
    <w:name w:val="Заглавие #3_"/>
    <w:basedOn w:val="a0"/>
    <w:link w:val="311"/>
    <w:uiPriority w:val="99"/>
    <w:rPr>
      <w:rFonts w:ascii="Times New Roman" w:hAnsi="Times New Roman" w:cs="Times New Roman"/>
      <w:b/>
      <w:bCs/>
      <w:sz w:val="23"/>
      <w:szCs w:val="23"/>
      <w:shd w:val="clear" w:color="auto" w:fill="FFFFFF"/>
    </w:rPr>
  </w:style>
  <w:style w:type="paragraph" w:customStyle="1" w:styleId="311">
    <w:name w:val="Заглавие #31"/>
    <w:basedOn w:val="a"/>
    <w:link w:val="34"/>
    <w:uiPriority w:val="99"/>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61">
    <w:name w:val="Заглавие на изображение61"/>
    <w:basedOn w:val="af5"/>
    <w:uiPriority w:val="99"/>
    <w:rPr>
      <w:rFonts w:ascii="Tahoma" w:hAnsi="Tahoma" w:cs="Tahoma"/>
      <w:spacing w:val="0"/>
      <w:sz w:val="11"/>
      <w:szCs w:val="11"/>
      <w:shd w:val="clear" w:color="auto" w:fill="FFFFFF"/>
    </w:rPr>
  </w:style>
  <w:style w:type="character" w:customStyle="1" w:styleId="60">
    <w:name w:val="Заглавие на изображение60"/>
    <w:basedOn w:val="af5"/>
    <w:uiPriority w:val="99"/>
    <w:rPr>
      <w:rFonts w:ascii="Tahoma" w:hAnsi="Tahoma" w:cs="Tahoma"/>
      <w:spacing w:val="0"/>
      <w:sz w:val="11"/>
      <w:szCs w:val="11"/>
      <w:shd w:val="clear" w:color="auto" w:fill="FFFFFF"/>
    </w:rPr>
  </w:style>
  <w:style w:type="character" w:customStyle="1" w:styleId="59">
    <w:name w:val="Заглавие на изображение59"/>
    <w:basedOn w:val="af5"/>
    <w:uiPriority w:val="99"/>
    <w:rPr>
      <w:rFonts w:ascii="Tahoma" w:hAnsi="Tahoma" w:cs="Tahoma"/>
      <w:spacing w:val="0"/>
      <w:sz w:val="11"/>
      <w:szCs w:val="11"/>
      <w:shd w:val="clear" w:color="auto" w:fill="FFFFFF"/>
    </w:rPr>
  </w:style>
  <w:style w:type="character" w:customStyle="1" w:styleId="221">
    <w:name w:val="Заглавие на изображение (2)21"/>
    <w:basedOn w:val="22"/>
    <w:uiPriority w:val="99"/>
    <w:rPr>
      <w:rFonts w:ascii="Tahoma" w:hAnsi="Tahoma" w:cs="Tahoma"/>
      <w:spacing w:val="0"/>
      <w:w w:val="100"/>
      <w:sz w:val="17"/>
      <w:szCs w:val="17"/>
      <w:shd w:val="clear" w:color="auto" w:fill="FFFFFF"/>
    </w:rPr>
  </w:style>
  <w:style w:type="character" w:customStyle="1" w:styleId="9">
    <w:name w:val="Основен текст + Удебелен9"/>
    <w:basedOn w:val="af6"/>
    <w:uiPriority w:val="99"/>
    <w:rPr>
      <w:rFonts w:ascii="Times New Roman" w:hAnsi="Times New Roman" w:cs="Times New Roman"/>
      <w:b/>
      <w:bCs/>
      <w:spacing w:val="0"/>
      <w:sz w:val="23"/>
      <w:szCs w:val="23"/>
      <w:shd w:val="clear" w:color="auto" w:fill="FFFFFF"/>
    </w:rPr>
  </w:style>
  <w:style w:type="character" w:customStyle="1" w:styleId="35">
    <w:name w:val="Заглавие #3 + Не е удебелен"/>
    <w:basedOn w:val="34"/>
    <w:uiPriority w:val="99"/>
    <w:rPr>
      <w:rFonts w:ascii="Times New Roman" w:hAnsi="Times New Roman" w:cs="Times New Roman"/>
      <w:b/>
      <w:bCs/>
      <w:spacing w:val="0"/>
      <w:sz w:val="23"/>
      <w:szCs w:val="23"/>
      <w:shd w:val="clear" w:color="auto" w:fill="FFFFFF"/>
    </w:rPr>
  </w:style>
  <w:style w:type="character" w:customStyle="1" w:styleId="37">
    <w:name w:val="Заглавие на изображение (3)7"/>
    <w:basedOn w:val="32"/>
    <w:uiPriority w:val="99"/>
    <w:rPr>
      <w:rFonts w:ascii="Times New Roman" w:hAnsi="Times New Roman" w:cs="Times New Roman"/>
      <w:spacing w:val="30"/>
      <w:sz w:val="8"/>
      <w:szCs w:val="8"/>
      <w:shd w:val="clear" w:color="auto" w:fill="FFFFFF"/>
    </w:rPr>
  </w:style>
  <w:style w:type="character" w:customStyle="1" w:styleId="413">
    <w:name w:val="Заглавие на изображение (4)13"/>
    <w:basedOn w:val="4"/>
    <w:uiPriority w:val="99"/>
    <w:rPr>
      <w:rFonts w:ascii="Tahoma" w:hAnsi="Tahoma" w:cs="Tahoma"/>
      <w:spacing w:val="0"/>
      <w:sz w:val="14"/>
      <w:szCs w:val="14"/>
      <w:shd w:val="clear" w:color="auto" w:fill="FFFFFF"/>
    </w:rPr>
  </w:style>
  <w:style w:type="character" w:customStyle="1" w:styleId="412">
    <w:name w:val="Заглавие на изображение (4)12"/>
    <w:basedOn w:val="4"/>
    <w:uiPriority w:val="99"/>
    <w:rPr>
      <w:rFonts w:ascii="Tahoma" w:hAnsi="Tahoma" w:cs="Tahoma"/>
      <w:spacing w:val="0"/>
      <w:sz w:val="14"/>
      <w:szCs w:val="14"/>
      <w:shd w:val="clear" w:color="auto" w:fill="FFFFFF"/>
    </w:rPr>
  </w:style>
  <w:style w:type="character" w:customStyle="1" w:styleId="52">
    <w:name w:val="Заглавие на изображение52"/>
    <w:basedOn w:val="af5"/>
    <w:uiPriority w:val="99"/>
    <w:rPr>
      <w:rFonts w:ascii="Tahoma" w:hAnsi="Tahoma" w:cs="Tahoma"/>
      <w:spacing w:val="0"/>
      <w:sz w:val="11"/>
      <w:szCs w:val="11"/>
      <w:shd w:val="clear" w:color="auto" w:fill="FFFFFF"/>
    </w:rPr>
  </w:style>
  <w:style w:type="character" w:customStyle="1" w:styleId="51">
    <w:name w:val="Заглавие на изображение51"/>
    <w:basedOn w:val="af5"/>
    <w:uiPriority w:val="99"/>
    <w:rPr>
      <w:rFonts w:ascii="Tahoma" w:hAnsi="Tahoma" w:cs="Tahoma"/>
      <w:spacing w:val="0"/>
      <w:sz w:val="11"/>
      <w:szCs w:val="11"/>
      <w:shd w:val="clear" w:color="auto" w:fill="FFFFFF"/>
    </w:rPr>
  </w:style>
  <w:style w:type="character" w:customStyle="1" w:styleId="50">
    <w:name w:val="Заглавие на изображение50"/>
    <w:basedOn w:val="af5"/>
    <w:uiPriority w:val="99"/>
    <w:rPr>
      <w:rFonts w:ascii="Tahoma" w:hAnsi="Tahoma" w:cs="Tahoma"/>
      <w:spacing w:val="0"/>
      <w:sz w:val="11"/>
      <w:szCs w:val="11"/>
      <w:shd w:val="clear" w:color="auto" w:fill="FFFFFF"/>
    </w:rPr>
  </w:style>
  <w:style w:type="character" w:customStyle="1" w:styleId="218">
    <w:name w:val="Заглавие на изображение (2)18"/>
    <w:basedOn w:val="22"/>
    <w:uiPriority w:val="99"/>
    <w:rPr>
      <w:rFonts w:ascii="Tahoma" w:hAnsi="Tahoma" w:cs="Tahoma"/>
      <w:spacing w:val="0"/>
      <w:w w:val="100"/>
      <w:sz w:val="17"/>
      <w:szCs w:val="17"/>
      <w:shd w:val="clear" w:color="auto" w:fill="FFFFFF"/>
    </w:rPr>
  </w:style>
  <w:style w:type="character" w:customStyle="1" w:styleId="49">
    <w:name w:val="Заглавие на изображение49"/>
    <w:basedOn w:val="af5"/>
    <w:uiPriority w:val="99"/>
    <w:rPr>
      <w:rFonts w:ascii="Tahoma" w:hAnsi="Tahoma" w:cs="Tahoma"/>
      <w:spacing w:val="0"/>
      <w:sz w:val="11"/>
      <w:szCs w:val="11"/>
      <w:shd w:val="clear" w:color="auto" w:fill="FFFFFF"/>
    </w:rPr>
  </w:style>
  <w:style w:type="character" w:customStyle="1" w:styleId="48">
    <w:name w:val="Заглавие на изображение48"/>
    <w:basedOn w:val="af5"/>
    <w:uiPriority w:val="99"/>
    <w:rPr>
      <w:rFonts w:ascii="Tahoma" w:hAnsi="Tahoma" w:cs="Tahoma"/>
      <w:spacing w:val="0"/>
      <w:sz w:val="11"/>
      <w:szCs w:val="11"/>
      <w:shd w:val="clear" w:color="auto" w:fill="FFFFFF"/>
    </w:rPr>
  </w:style>
  <w:style w:type="character" w:customStyle="1" w:styleId="47">
    <w:name w:val="Заглавие на изображение47"/>
    <w:basedOn w:val="af5"/>
    <w:uiPriority w:val="99"/>
    <w:rPr>
      <w:rFonts w:ascii="Tahoma" w:hAnsi="Tahoma" w:cs="Tahoma"/>
      <w:spacing w:val="0"/>
      <w:sz w:val="11"/>
      <w:szCs w:val="11"/>
      <w:shd w:val="clear" w:color="auto" w:fill="FFFFFF"/>
    </w:rPr>
  </w:style>
  <w:style w:type="character" w:customStyle="1" w:styleId="217">
    <w:name w:val="Заглавие на изображение (2)17"/>
    <w:basedOn w:val="22"/>
    <w:uiPriority w:val="99"/>
    <w:rPr>
      <w:rFonts w:ascii="Tahoma" w:hAnsi="Tahoma" w:cs="Tahoma"/>
      <w:spacing w:val="0"/>
      <w:w w:val="100"/>
      <w:sz w:val="17"/>
      <w:szCs w:val="17"/>
      <w:shd w:val="clear" w:color="auto" w:fill="FFFFFF"/>
    </w:rPr>
  </w:style>
  <w:style w:type="character" w:customStyle="1" w:styleId="46">
    <w:name w:val="Заглавие на изображение46"/>
    <w:basedOn w:val="af5"/>
    <w:uiPriority w:val="99"/>
    <w:rPr>
      <w:rFonts w:ascii="Tahoma" w:hAnsi="Tahoma" w:cs="Tahoma"/>
      <w:spacing w:val="0"/>
      <w:sz w:val="11"/>
      <w:szCs w:val="11"/>
      <w:shd w:val="clear" w:color="auto" w:fill="FFFFFF"/>
    </w:rPr>
  </w:style>
  <w:style w:type="character" w:customStyle="1" w:styleId="45">
    <w:name w:val="Заглавие на изображение45"/>
    <w:basedOn w:val="af5"/>
    <w:uiPriority w:val="99"/>
    <w:rPr>
      <w:rFonts w:ascii="Tahoma" w:hAnsi="Tahoma" w:cs="Tahoma"/>
      <w:spacing w:val="0"/>
      <w:sz w:val="11"/>
      <w:szCs w:val="11"/>
      <w:shd w:val="clear" w:color="auto" w:fill="FFFFFF"/>
    </w:rPr>
  </w:style>
  <w:style w:type="character" w:customStyle="1" w:styleId="44">
    <w:name w:val="Заглавие на изображение44"/>
    <w:basedOn w:val="af5"/>
    <w:uiPriority w:val="99"/>
    <w:rPr>
      <w:rFonts w:ascii="Tahoma" w:hAnsi="Tahoma" w:cs="Tahoma"/>
      <w:spacing w:val="0"/>
      <w:sz w:val="11"/>
      <w:szCs w:val="11"/>
      <w:shd w:val="clear" w:color="auto" w:fill="FFFFFF"/>
    </w:rPr>
  </w:style>
  <w:style w:type="character" w:customStyle="1" w:styleId="216">
    <w:name w:val="Заглавие на изображение (2)16"/>
    <w:basedOn w:val="22"/>
    <w:uiPriority w:val="99"/>
    <w:rPr>
      <w:rFonts w:ascii="Tahoma" w:hAnsi="Tahoma" w:cs="Tahoma"/>
      <w:spacing w:val="0"/>
      <w:w w:val="100"/>
      <w:sz w:val="17"/>
      <w:szCs w:val="17"/>
      <w:shd w:val="clear" w:color="auto" w:fill="FFFFFF"/>
    </w:rPr>
  </w:style>
  <w:style w:type="character" w:customStyle="1" w:styleId="11pt11">
    <w:name w:val="Основен текст + 11 pt11"/>
    <w:basedOn w:val="af6"/>
    <w:uiPriority w:val="99"/>
    <w:rPr>
      <w:rFonts w:ascii="Book Antiqua" w:hAnsi="Book Antiqua" w:cs="Book Antiqua"/>
      <w:i/>
      <w:iCs/>
      <w:spacing w:val="0"/>
      <w:sz w:val="22"/>
      <w:szCs w:val="22"/>
      <w:u w:val="single"/>
      <w:shd w:val="clear" w:color="auto" w:fill="FFFFFF"/>
    </w:rPr>
  </w:style>
  <w:style w:type="character" w:customStyle="1" w:styleId="11pt10">
    <w:name w:val="Основен текст + 11 pt10"/>
    <w:basedOn w:val="af6"/>
    <w:uiPriority w:val="99"/>
    <w:rPr>
      <w:rFonts w:ascii="Book Antiqua" w:hAnsi="Book Antiqua" w:cs="Book Antiqua"/>
      <w:i/>
      <w:iCs/>
      <w:spacing w:val="0"/>
      <w:sz w:val="22"/>
      <w:szCs w:val="22"/>
      <w:shd w:val="clear" w:color="auto" w:fill="FFFFFF"/>
    </w:rPr>
  </w:style>
  <w:style w:type="character" w:customStyle="1" w:styleId="5">
    <w:name w:val="Основен текст + Удебелен5"/>
    <w:basedOn w:val="af6"/>
    <w:uiPriority w:val="99"/>
    <w:rPr>
      <w:rFonts w:ascii="Book Antiqua" w:hAnsi="Book Antiqua" w:cs="Book Antiqua"/>
      <w:b/>
      <w:bCs/>
      <w:spacing w:val="30"/>
      <w:sz w:val="20"/>
      <w:szCs w:val="20"/>
      <w:shd w:val="clear" w:color="auto" w:fill="FFFFFF"/>
    </w:rPr>
  </w:style>
  <w:style w:type="character" w:customStyle="1" w:styleId="42">
    <w:name w:val="Основен текст + Удебелен4"/>
    <w:basedOn w:val="af6"/>
    <w:uiPriority w:val="99"/>
    <w:rPr>
      <w:rFonts w:ascii="Book Antiqua" w:hAnsi="Book Antiqua" w:cs="Book Antiqua"/>
      <w:b/>
      <w:bCs/>
      <w:spacing w:val="0"/>
      <w:sz w:val="20"/>
      <w:szCs w:val="20"/>
      <w:shd w:val="clear" w:color="auto" w:fill="FFFFFF"/>
    </w:rPr>
  </w:style>
  <w:style w:type="character" w:customStyle="1" w:styleId="11pt9">
    <w:name w:val="Основен текст + 11 pt9"/>
    <w:basedOn w:val="af6"/>
    <w:uiPriority w:val="99"/>
    <w:rPr>
      <w:rFonts w:ascii="Book Antiqua" w:hAnsi="Book Antiqua" w:cs="Book Antiqua"/>
      <w:i/>
      <w:iCs/>
      <w:spacing w:val="0"/>
      <w:sz w:val="22"/>
      <w:szCs w:val="22"/>
      <w:u w:val="single"/>
      <w:shd w:val="clear" w:color="auto" w:fill="FFFFFF"/>
    </w:rPr>
  </w:style>
  <w:style w:type="character" w:customStyle="1" w:styleId="11pt8">
    <w:name w:val="Основен текст + 11 pt8"/>
    <w:basedOn w:val="af6"/>
    <w:uiPriority w:val="99"/>
    <w:rPr>
      <w:rFonts w:ascii="Book Antiqua" w:hAnsi="Book Antiqua" w:cs="Book Antiqua"/>
      <w:i/>
      <w:iCs/>
      <w:spacing w:val="0"/>
      <w:sz w:val="22"/>
      <w:szCs w:val="22"/>
      <w:shd w:val="clear" w:color="auto" w:fill="FFFFFF"/>
    </w:rPr>
  </w:style>
  <w:style w:type="character" w:customStyle="1" w:styleId="53">
    <w:name w:val="Основен текст5"/>
    <w:basedOn w:val="af6"/>
    <w:uiPriority w:val="99"/>
    <w:rPr>
      <w:rFonts w:ascii="Book Antiqua" w:hAnsi="Book Antiqua" w:cs="Book Antiqua"/>
      <w:spacing w:val="0"/>
      <w:sz w:val="20"/>
      <w:szCs w:val="20"/>
      <w:u w:val="single"/>
      <w:shd w:val="clear" w:color="auto" w:fill="FFFFFF"/>
    </w:rPr>
  </w:style>
  <w:style w:type="character" w:customStyle="1" w:styleId="11pt2">
    <w:name w:val="Основен текст + 11 pt2"/>
    <w:basedOn w:val="af6"/>
    <w:uiPriority w:val="99"/>
    <w:rPr>
      <w:rFonts w:ascii="Book Antiqua" w:hAnsi="Book Antiqua" w:cs="Book Antiqua"/>
      <w:i/>
      <w:iCs/>
      <w:spacing w:val="0"/>
      <w:sz w:val="22"/>
      <w:szCs w:val="22"/>
      <w:shd w:val="clear" w:color="auto" w:fill="FFFFFF"/>
    </w:rPr>
  </w:style>
  <w:style w:type="paragraph" w:customStyle="1" w:styleId="16">
    <w:name w:val="Редакция1"/>
    <w:hidden/>
    <w:uiPriority w:val="99"/>
    <w:semiHidden/>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8E7A6B6-4621-4868-BBA4-24B0B564DE0D}" type="doc">
      <dgm:prSet loTypeId="urn:microsoft.com/office/officeart/2005/8/layout/hierarchy1#1" loCatId="hierarchy" qsTypeId="urn:microsoft.com/office/officeart/2005/8/quickstyle/simple1#1" qsCatId="simple" csTypeId="urn:microsoft.com/office/officeart/2005/8/colors/accent1_2#1" csCatId="accent1" phldr="1"/>
      <dgm:spPr/>
      <dgm:t>
        <a:bodyPr/>
        <a:lstStyle/>
        <a:p>
          <a:endParaRPr lang="bg-BG"/>
        </a:p>
      </dgm:t>
    </dgm:pt>
    <dgm:pt modelId="{F846F38B-6F8F-40EC-A8BC-233EC605B1AB}">
      <dgm:prSet phldrT="[Текст]"/>
      <dgm:spPr/>
      <dgm:t>
        <a:bodyPr/>
        <a:lstStyle/>
        <a:p>
          <a:r>
            <a:rPr lang="bg-BG" b="1"/>
            <a:t>ОБЩО СЪБРАНИЕ</a:t>
          </a:r>
        </a:p>
      </dgm:t>
    </dgm:pt>
    <dgm:pt modelId="{B98538D1-985C-4FFC-A41F-045D83ABBE3C}" type="parTrans" cxnId="{07AE4A79-50D0-4AD2-841D-2D98E6660BC9}">
      <dgm:prSet/>
      <dgm:spPr/>
      <dgm:t>
        <a:bodyPr/>
        <a:lstStyle/>
        <a:p>
          <a:endParaRPr lang="bg-BG" b="1"/>
        </a:p>
      </dgm:t>
    </dgm:pt>
    <dgm:pt modelId="{F95841DC-6272-4E77-909B-99EB482E2DC4}" type="sibTrans" cxnId="{07AE4A79-50D0-4AD2-841D-2D98E6660BC9}">
      <dgm:prSet/>
      <dgm:spPr/>
      <dgm:t>
        <a:bodyPr/>
        <a:lstStyle/>
        <a:p>
          <a:endParaRPr lang="bg-BG" b="1"/>
        </a:p>
      </dgm:t>
    </dgm:pt>
    <dgm:pt modelId="{40953101-487C-4B64-AB7F-F66D6EF852DD}">
      <dgm:prSet phldrT="[Текст]"/>
      <dgm:spPr/>
      <dgm:t>
        <a:bodyPr/>
        <a:lstStyle/>
        <a:p>
          <a:r>
            <a:rPr lang="bg-BG" b="1"/>
            <a:t>УПРАВИТЕЛЕН СЪВЕТ</a:t>
          </a:r>
        </a:p>
      </dgm:t>
    </dgm:pt>
    <dgm:pt modelId="{4EE4CB09-BE85-47EA-918D-62B4DF708DD6}" type="parTrans" cxnId="{67422BE8-13F9-4D54-B848-3FE22905CB47}">
      <dgm:prSet/>
      <dgm:spPr/>
      <dgm:t>
        <a:bodyPr/>
        <a:lstStyle/>
        <a:p>
          <a:endParaRPr lang="bg-BG" b="1"/>
        </a:p>
      </dgm:t>
    </dgm:pt>
    <dgm:pt modelId="{3ECF2C06-8B10-4CD8-B046-62936C80A1FD}" type="sibTrans" cxnId="{67422BE8-13F9-4D54-B848-3FE22905CB47}">
      <dgm:prSet/>
      <dgm:spPr/>
      <dgm:t>
        <a:bodyPr/>
        <a:lstStyle/>
        <a:p>
          <a:endParaRPr lang="bg-BG" b="1"/>
        </a:p>
      </dgm:t>
    </dgm:pt>
    <dgm:pt modelId="{B47161FD-1641-4C49-8272-0BA6C54C54FF}">
      <dgm:prSet phldrT="[Текст]"/>
      <dgm:spPr/>
      <dgm:t>
        <a:bodyPr/>
        <a:lstStyle/>
        <a:p>
          <a:r>
            <a:rPr lang="bg-BG" b="1"/>
            <a:t>2-ма ЕКСПЕРТИ</a:t>
          </a:r>
        </a:p>
      </dgm:t>
    </dgm:pt>
    <dgm:pt modelId="{55C4CE95-29E0-4789-833B-6FC2E4D4577C}" type="sibTrans" cxnId="{D111AB8C-B831-4C85-AE63-72A75A9A2BFF}">
      <dgm:prSet/>
      <dgm:spPr/>
      <dgm:t>
        <a:bodyPr/>
        <a:lstStyle/>
        <a:p>
          <a:endParaRPr lang="bg-BG" b="1"/>
        </a:p>
      </dgm:t>
    </dgm:pt>
    <dgm:pt modelId="{76BB3F35-57A9-4A19-8B7C-A5B223735F82}" type="parTrans" cxnId="{D111AB8C-B831-4C85-AE63-72A75A9A2BFF}">
      <dgm:prSet/>
      <dgm:spPr/>
      <dgm:t>
        <a:bodyPr/>
        <a:lstStyle/>
        <a:p>
          <a:endParaRPr lang="bg-BG" b="1"/>
        </a:p>
      </dgm:t>
    </dgm:pt>
    <dgm:pt modelId="{788A6252-35D5-478A-ADD2-982F1EEAD6C6}">
      <dgm:prSet phldrT="[Текст]"/>
      <dgm:spPr/>
      <dgm:t>
        <a:bodyPr/>
        <a:lstStyle/>
        <a:p>
          <a:r>
            <a:rPr lang="bg-BG" b="1"/>
            <a:t>ПРЕДСЕДАТЕЛ НА УС</a:t>
          </a:r>
        </a:p>
      </dgm:t>
    </dgm:pt>
    <dgm:pt modelId="{9384BE17-5B86-40F4-8CB0-550015D3F849}" type="sibTrans" cxnId="{9C23C3A6-B436-4D3D-9723-0433604F1AAF}">
      <dgm:prSet/>
      <dgm:spPr/>
      <dgm:t>
        <a:bodyPr/>
        <a:lstStyle/>
        <a:p>
          <a:endParaRPr lang="bg-BG" b="1"/>
        </a:p>
      </dgm:t>
    </dgm:pt>
    <dgm:pt modelId="{80916CCC-DC51-4166-AEB8-D8CC77A9D947}" type="parTrans" cxnId="{9C23C3A6-B436-4D3D-9723-0433604F1AAF}">
      <dgm:prSet/>
      <dgm:spPr/>
      <dgm:t>
        <a:bodyPr/>
        <a:lstStyle/>
        <a:p>
          <a:endParaRPr lang="bg-BG" b="1"/>
        </a:p>
      </dgm:t>
    </dgm:pt>
    <dgm:pt modelId="{59AE2614-6CA2-4D72-8D2E-D37FF42A17F4}">
      <dgm:prSet phldrT="[Текст]"/>
      <dgm:spPr/>
      <dgm:t>
        <a:bodyPr/>
        <a:lstStyle/>
        <a:p>
          <a:r>
            <a:rPr lang="bg-BG" b="1">
              <a:solidFill>
                <a:sysClr val="windowText" lastClr="000000"/>
              </a:solidFill>
            </a:rPr>
            <a:t>ИЗПЪЛНИТЕЛЕН </a:t>
          </a:r>
          <a:r>
            <a:rPr lang="bg-BG" b="1"/>
            <a:t>ДИРЕКТОР</a:t>
          </a:r>
        </a:p>
      </dgm:t>
    </dgm:pt>
    <dgm:pt modelId="{435F0192-68D9-4953-9784-A7B1BEA00AF9}" type="sibTrans" cxnId="{863DE0E1-3270-47AE-83EE-8D4E96E702DE}">
      <dgm:prSet/>
      <dgm:spPr/>
      <dgm:t>
        <a:bodyPr/>
        <a:lstStyle/>
        <a:p>
          <a:endParaRPr lang="bg-BG" b="1"/>
        </a:p>
      </dgm:t>
    </dgm:pt>
    <dgm:pt modelId="{71E0369D-C3CF-43EA-8099-6818678372F0}" type="parTrans" cxnId="{863DE0E1-3270-47AE-83EE-8D4E96E702DE}">
      <dgm:prSet/>
      <dgm:spPr/>
      <dgm:t>
        <a:bodyPr/>
        <a:lstStyle/>
        <a:p>
          <a:endParaRPr lang="bg-BG" b="1"/>
        </a:p>
      </dgm:t>
    </dgm:pt>
    <dgm:pt modelId="{344D50D3-6709-4B77-8E38-35EC37A521CA}">
      <dgm:prSet phldrT="[Текст]"/>
      <dgm:spPr/>
      <dgm:t>
        <a:bodyPr/>
        <a:lstStyle/>
        <a:p>
          <a:r>
            <a:rPr lang="bg-BG" b="1"/>
            <a:t>ТЕХНИЧЕСКИ АСИСТЕНТ</a:t>
          </a:r>
        </a:p>
      </dgm:t>
    </dgm:pt>
    <dgm:pt modelId="{9A432E36-5C32-4F0A-8B85-CE5103EE1E6F}" type="parTrans" cxnId="{FAB1E247-1764-4E57-9B97-580DD9BC5AA3}">
      <dgm:prSet/>
      <dgm:spPr/>
      <dgm:t>
        <a:bodyPr/>
        <a:lstStyle/>
        <a:p>
          <a:endParaRPr lang="bg-BG"/>
        </a:p>
      </dgm:t>
    </dgm:pt>
    <dgm:pt modelId="{280BD886-02B5-4500-866C-B6F96B7F7E47}" type="sibTrans" cxnId="{FAB1E247-1764-4E57-9B97-580DD9BC5AA3}">
      <dgm:prSet/>
      <dgm:spPr/>
      <dgm:t>
        <a:bodyPr/>
        <a:lstStyle/>
        <a:p>
          <a:endParaRPr lang="bg-BG"/>
        </a:p>
      </dgm:t>
    </dgm:pt>
    <dgm:pt modelId="{7C554C3C-F4C8-4FEE-81E8-0980118E69AC}">
      <dgm:prSet phldrT="[Текст]"/>
      <dgm:spPr/>
      <dgm:t>
        <a:bodyPr/>
        <a:lstStyle/>
        <a:p>
          <a:r>
            <a:rPr lang="bg-BG" b="1"/>
            <a:t>СЧЕТОВОДИТЕЛ</a:t>
          </a:r>
        </a:p>
      </dgm:t>
    </dgm:pt>
    <dgm:pt modelId="{801A43C5-AF2B-4B65-84A9-4F4F335DA5AD}" type="sibTrans" cxnId="{A87E3251-E273-43F8-A62D-57DA6AC653AC}">
      <dgm:prSet/>
      <dgm:spPr/>
      <dgm:t>
        <a:bodyPr/>
        <a:lstStyle/>
        <a:p>
          <a:endParaRPr lang="bg-BG" b="1"/>
        </a:p>
      </dgm:t>
    </dgm:pt>
    <dgm:pt modelId="{9990A178-5EB5-4C43-86D5-E7E0B4C3C881}" type="parTrans" cxnId="{A87E3251-E273-43F8-A62D-57DA6AC653AC}">
      <dgm:prSet/>
      <dgm:spPr/>
      <dgm:t>
        <a:bodyPr/>
        <a:lstStyle/>
        <a:p>
          <a:endParaRPr lang="bg-BG" b="1"/>
        </a:p>
      </dgm:t>
    </dgm:pt>
    <dgm:pt modelId="{F8C5EC30-1F38-431B-A866-A003856D440B}" type="pres">
      <dgm:prSet presAssocID="{88E7A6B6-4621-4868-BBA4-24B0B564DE0D}" presName="hierChild1" presStyleCnt="0">
        <dgm:presLayoutVars>
          <dgm:chPref val="1"/>
          <dgm:dir/>
          <dgm:animOne val="branch"/>
          <dgm:animLvl val="lvl"/>
          <dgm:resizeHandles/>
        </dgm:presLayoutVars>
      </dgm:prSet>
      <dgm:spPr/>
      <dgm:t>
        <a:bodyPr/>
        <a:lstStyle/>
        <a:p>
          <a:endParaRPr lang="bg-BG"/>
        </a:p>
      </dgm:t>
    </dgm:pt>
    <dgm:pt modelId="{58D14E61-4168-4CB0-B0A4-2CB394CD1EF7}" type="pres">
      <dgm:prSet presAssocID="{F846F38B-6F8F-40EC-A8BC-233EC605B1AB}" presName="hierRoot1" presStyleCnt="0"/>
      <dgm:spPr/>
    </dgm:pt>
    <dgm:pt modelId="{72AB5932-77B5-4EFF-A58C-4D752602AC20}" type="pres">
      <dgm:prSet presAssocID="{F846F38B-6F8F-40EC-A8BC-233EC605B1AB}" presName="composite" presStyleCnt="0"/>
      <dgm:spPr/>
    </dgm:pt>
    <dgm:pt modelId="{81C032BA-AA0A-49DD-A58F-0144E247DEC9}" type="pres">
      <dgm:prSet presAssocID="{F846F38B-6F8F-40EC-A8BC-233EC605B1AB}" presName="background" presStyleLbl="node0" presStyleIdx="0" presStyleCnt="1"/>
      <dgm:spPr/>
    </dgm:pt>
    <dgm:pt modelId="{EC031C3E-8712-45A3-8861-06DE2A3D703E}" type="pres">
      <dgm:prSet presAssocID="{F846F38B-6F8F-40EC-A8BC-233EC605B1AB}" presName="text" presStyleLbl="fgAcc0" presStyleIdx="0" presStyleCnt="1">
        <dgm:presLayoutVars>
          <dgm:chPref val="3"/>
        </dgm:presLayoutVars>
      </dgm:prSet>
      <dgm:spPr/>
      <dgm:t>
        <a:bodyPr/>
        <a:lstStyle/>
        <a:p>
          <a:endParaRPr lang="bg-BG"/>
        </a:p>
      </dgm:t>
    </dgm:pt>
    <dgm:pt modelId="{C3D79F78-444D-4F75-B67E-01873E1F0DA8}" type="pres">
      <dgm:prSet presAssocID="{F846F38B-6F8F-40EC-A8BC-233EC605B1AB}" presName="hierChild2" presStyleCnt="0"/>
      <dgm:spPr/>
    </dgm:pt>
    <dgm:pt modelId="{CAD75C75-278C-4C76-A804-5E47EFDD15D6}" type="pres">
      <dgm:prSet presAssocID="{4EE4CB09-BE85-47EA-918D-62B4DF708DD6}" presName="Name10" presStyleLbl="parChTrans1D2" presStyleIdx="0" presStyleCnt="1"/>
      <dgm:spPr/>
      <dgm:t>
        <a:bodyPr/>
        <a:lstStyle/>
        <a:p>
          <a:endParaRPr lang="bg-BG"/>
        </a:p>
      </dgm:t>
    </dgm:pt>
    <dgm:pt modelId="{23667CE8-8BA7-46A7-9D36-C09EC8C537EA}" type="pres">
      <dgm:prSet presAssocID="{40953101-487C-4B64-AB7F-F66D6EF852DD}" presName="hierRoot2" presStyleCnt="0"/>
      <dgm:spPr/>
    </dgm:pt>
    <dgm:pt modelId="{71A421A5-4E97-4048-8110-5FC32FD0F0E1}" type="pres">
      <dgm:prSet presAssocID="{40953101-487C-4B64-AB7F-F66D6EF852DD}" presName="composite2" presStyleCnt="0"/>
      <dgm:spPr/>
    </dgm:pt>
    <dgm:pt modelId="{09DC96D9-B6FA-40D7-9DDF-F80D4B583263}" type="pres">
      <dgm:prSet presAssocID="{40953101-487C-4B64-AB7F-F66D6EF852DD}" presName="background2" presStyleLbl="node2" presStyleIdx="0" presStyleCnt="1"/>
      <dgm:spPr/>
    </dgm:pt>
    <dgm:pt modelId="{C0971ED1-7BFB-46A2-B5DE-30DE44310C1A}" type="pres">
      <dgm:prSet presAssocID="{40953101-487C-4B64-AB7F-F66D6EF852DD}" presName="text2" presStyleLbl="fgAcc2" presStyleIdx="0" presStyleCnt="1">
        <dgm:presLayoutVars>
          <dgm:chPref val="3"/>
        </dgm:presLayoutVars>
      </dgm:prSet>
      <dgm:spPr/>
      <dgm:t>
        <a:bodyPr/>
        <a:lstStyle/>
        <a:p>
          <a:endParaRPr lang="bg-BG"/>
        </a:p>
      </dgm:t>
    </dgm:pt>
    <dgm:pt modelId="{E8256733-849C-46D9-B025-55A5DF764E5A}" type="pres">
      <dgm:prSet presAssocID="{40953101-487C-4B64-AB7F-F66D6EF852DD}" presName="hierChild3" presStyleCnt="0"/>
      <dgm:spPr/>
    </dgm:pt>
    <dgm:pt modelId="{54756D07-D180-414F-8E54-663DE6739C52}" type="pres">
      <dgm:prSet presAssocID="{80916CCC-DC51-4166-AEB8-D8CC77A9D947}" presName="Name17" presStyleLbl="parChTrans1D3" presStyleIdx="0" presStyleCnt="1"/>
      <dgm:spPr/>
      <dgm:t>
        <a:bodyPr/>
        <a:lstStyle/>
        <a:p>
          <a:endParaRPr lang="bg-BG"/>
        </a:p>
      </dgm:t>
    </dgm:pt>
    <dgm:pt modelId="{7A4F68B4-7F26-4FCF-8238-4A2778412214}" type="pres">
      <dgm:prSet presAssocID="{788A6252-35D5-478A-ADD2-982F1EEAD6C6}" presName="hierRoot3" presStyleCnt="0"/>
      <dgm:spPr/>
    </dgm:pt>
    <dgm:pt modelId="{CE7C5FB8-A00C-4CC6-8A67-BCFCBD91A36C}" type="pres">
      <dgm:prSet presAssocID="{788A6252-35D5-478A-ADD2-982F1EEAD6C6}" presName="composite3" presStyleCnt="0"/>
      <dgm:spPr/>
    </dgm:pt>
    <dgm:pt modelId="{68BBD9C7-1B28-40BD-AA6B-BCA2600DBF22}" type="pres">
      <dgm:prSet presAssocID="{788A6252-35D5-478A-ADD2-982F1EEAD6C6}" presName="background3" presStyleLbl="node3" presStyleIdx="0" presStyleCnt="1"/>
      <dgm:spPr/>
    </dgm:pt>
    <dgm:pt modelId="{718715CB-E995-4D75-99E9-52D4BA093623}" type="pres">
      <dgm:prSet presAssocID="{788A6252-35D5-478A-ADD2-982F1EEAD6C6}" presName="text3" presStyleLbl="fgAcc3" presStyleIdx="0" presStyleCnt="1">
        <dgm:presLayoutVars>
          <dgm:chPref val="3"/>
        </dgm:presLayoutVars>
      </dgm:prSet>
      <dgm:spPr/>
      <dgm:t>
        <a:bodyPr/>
        <a:lstStyle/>
        <a:p>
          <a:endParaRPr lang="bg-BG"/>
        </a:p>
      </dgm:t>
    </dgm:pt>
    <dgm:pt modelId="{9F7F3450-F6D6-45A5-A5FC-E49F09D9B2E2}" type="pres">
      <dgm:prSet presAssocID="{788A6252-35D5-478A-ADD2-982F1EEAD6C6}" presName="hierChild4" presStyleCnt="0"/>
      <dgm:spPr/>
    </dgm:pt>
    <dgm:pt modelId="{336AB084-BFEC-4F45-A7C5-902937929ED8}" type="pres">
      <dgm:prSet presAssocID="{71E0369D-C3CF-43EA-8099-6818678372F0}" presName="Name23" presStyleLbl="parChTrans1D4" presStyleIdx="0" presStyleCnt="4"/>
      <dgm:spPr/>
      <dgm:t>
        <a:bodyPr/>
        <a:lstStyle/>
        <a:p>
          <a:endParaRPr lang="bg-BG"/>
        </a:p>
      </dgm:t>
    </dgm:pt>
    <dgm:pt modelId="{10DC279E-9217-45EE-8BBE-05FB6AC9704B}" type="pres">
      <dgm:prSet presAssocID="{59AE2614-6CA2-4D72-8D2E-D37FF42A17F4}" presName="hierRoot4" presStyleCnt="0"/>
      <dgm:spPr/>
    </dgm:pt>
    <dgm:pt modelId="{09FD1C64-2D34-43E5-A81C-0DA4801CCA9E}" type="pres">
      <dgm:prSet presAssocID="{59AE2614-6CA2-4D72-8D2E-D37FF42A17F4}" presName="composite4" presStyleCnt="0"/>
      <dgm:spPr/>
    </dgm:pt>
    <dgm:pt modelId="{840D9E70-AFA9-4918-9784-C8EEFB9B82A1}" type="pres">
      <dgm:prSet presAssocID="{59AE2614-6CA2-4D72-8D2E-D37FF42A17F4}" presName="background4" presStyleLbl="node4" presStyleIdx="0" presStyleCnt="4"/>
      <dgm:spPr/>
    </dgm:pt>
    <dgm:pt modelId="{F9FF3A57-FFCD-445A-B3BF-E3AED3809C07}" type="pres">
      <dgm:prSet presAssocID="{59AE2614-6CA2-4D72-8D2E-D37FF42A17F4}" presName="text4" presStyleLbl="fgAcc4" presStyleIdx="0" presStyleCnt="4">
        <dgm:presLayoutVars>
          <dgm:chPref val="3"/>
        </dgm:presLayoutVars>
      </dgm:prSet>
      <dgm:spPr/>
      <dgm:t>
        <a:bodyPr/>
        <a:lstStyle/>
        <a:p>
          <a:endParaRPr lang="bg-BG"/>
        </a:p>
      </dgm:t>
    </dgm:pt>
    <dgm:pt modelId="{66207088-03C1-498E-8FC8-B194DCEB10C0}" type="pres">
      <dgm:prSet presAssocID="{59AE2614-6CA2-4D72-8D2E-D37FF42A17F4}" presName="hierChild5" presStyleCnt="0"/>
      <dgm:spPr/>
    </dgm:pt>
    <dgm:pt modelId="{CAB4A617-B74E-4A61-A3F7-4A2CA7927B7E}" type="pres">
      <dgm:prSet presAssocID="{76BB3F35-57A9-4A19-8B7C-A5B223735F82}" presName="Name23" presStyleLbl="parChTrans1D4" presStyleIdx="1" presStyleCnt="4"/>
      <dgm:spPr/>
      <dgm:t>
        <a:bodyPr/>
        <a:lstStyle/>
        <a:p>
          <a:endParaRPr lang="bg-BG"/>
        </a:p>
      </dgm:t>
    </dgm:pt>
    <dgm:pt modelId="{F4E5EF9D-93F2-4988-9CE9-A62D4BC829B1}" type="pres">
      <dgm:prSet presAssocID="{B47161FD-1641-4C49-8272-0BA6C54C54FF}" presName="hierRoot4" presStyleCnt="0"/>
      <dgm:spPr/>
    </dgm:pt>
    <dgm:pt modelId="{B90E47B6-DFC0-4C54-B689-4AC16E556E7D}" type="pres">
      <dgm:prSet presAssocID="{B47161FD-1641-4C49-8272-0BA6C54C54FF}" presName="composite4" presStyleCnt="0"/>
      <dgm:spPr/>
    </dgm:pt>
    <dgm:pt modelId="{6FEDD2DB-A15E-424A-A265-758ED7498929}" type="pres">
      <dgm:prSet presAssocID="{B47161FD-1641-4C49-8272-0BA6C54C54FF}" presName="background4" presStyleLbl="node4" presStyleIdx="1" presStyleCnt="4"/>
      <dgm:spPr/>
    </dgm:pt>
    <dgm:pt modelId="{9708F7DA-363A-4CBA-92E2-BA5EBC026911}" type="pres">
      <dgm:prSet presAssocID="{B47161FD-1641-4C49-8272-0BA6C54C54FF}" presName="text4" presStyleLbl="fgAcc4" presStyleIdx="1" presStyleCnt="4" custLinFactX="-27055" custLinFactNeighborX="-100000" custLinFactNeighborY="239">
        <dgm:presLayoutVars>
          <dgm:chPref val="3"/>
        </dgm:presLayoutVars>
      </dgm:prSet>
      <dgm:spPr/>
      <dgm:t>
        <a:bodyPr/>
        <a:lstStyle/>
        <a:p>
          <a:endParaRPr lang="bg-BG"/>
        </a:p>
      </dgm:t>
    </dgm:pt>
    <dgm:pt modelId="{5A9FFE70-591F-4096-BD31-6C5557AA03FD}" type="pres">
      <dgm:prSet presAssocID="{B47161FD-1641-4C49-8272-0BA6C54C54FF}" presName="hierChild5" presStyleCnt="0"/>
      <dgm:spPr/>
    </dgm:pt>
    <dgm:pt modelId="{11A79220-188D-4876-BEAC-761D9BBC0D5E}" type="pres">
      <dgm:prSet presAssocID="{9990A178-5EB5-4C43-86D5-E7E0B4C3C881}" presName="Name23" presStyleLbl="parChTrans1D4" presStyleIdx="2" presStyleCnt="4"/>
      <dgm:spPr/>
      <dgm:t>
        <a:bodyPr/>
        <a:lstStyle/>
        <a:p>
          <a:endParaRPr lang="bg-BG"/>
        </a:p>
      </dgm:t>
    </dgm:pt>
    <dgm:pt modelId="{FD91AB69-CDAC-4E1E-BAB8-D3A1B14F7523}" type="pres">
      <dgm:prSet presAssocID="{7C554C3C-F4C8-4FEE-81E8-0980118E69AC}" presName="hierRoot4" presStyleCnt="0"/>
      <dgm:spPr/>
    </dgm:pt>
    <dgm:pt modelId="{0B27911A-1C1D-4EE6-86E8-45BCA41DEB8E}" type="pres">
      <dgm:prSet presAssocID="{7C554C3C-F4C8-4FEE-81E8-0980118E69AC}" presName="composite4" presStyleCnt="0"/>
      <dgm:spPr/>
    </dgm:pt>
    <dgm:pt modelId="{CD7B52CD-32C2-49EE-BEFA-9CE1352CCAD6}" type="pres">
      <dgm:prSet presAssocID="{7C554C3C-F4C8-4FEE-81E8-0980118E69AC}" presName="background4" presStyleLbl="node4" presStyleIdx="2" presStyleCnt="4"/>
      <dgm:spPr/>
    </dgm:pt>
    <dgm:pt modelId="{F2351BEE-F595-448B-9763-A850C06A140C}" type="pres">
      <dgm:prSet presAssocID="{7C554C3C-F4C8-4FEE-81E8-0980118E69AC}" presName="text4" presStyleLbl="fgAcc4" presStyleIdx="2" presStyleCnt="4" custLinFactX="68941" custLinFactNeighborX="100000">
        <dgm:presLayoutVars>
          <dgm:chPref val="3"/>
        </dgm:presLayoutVars>
      </dgm:prSet>
      <dgm:spPr/>
      <dgm:t>
        <a:bodyPr/>
        <a:lstStyle/>
        <a:p>
          <a:endParaRPr lang="bg-BG"/>
        </a:p>
      </dgm:t>
    </dgm:pt>
    <dgm:pt modelId="{4AEC549B-B65D-464B-A129-FBFA107D75A0}" type="pres">
      <dgm:prSet presAssocID="{7C554C3C-F4C8-4FEE-81E8-0980118E69AC}" presName="hierChild5" presStyleCnt="0"/>
      <dgm:spPr/>
    </dgm:pt>
    <dgm:pt modelId="{077D3DDB-BDB8-451A-AC53-090708E09491}" type="pres">
      <dgm:prSet presAssocID="{9A432E36-5C32-4F0A-8B85-CE5103EE1E6F}" presName="Name23" presStyleLbl="parChTrans1D4" presStyleIdx="3" presStyleCnt="4"/>
      <dgm:spPr/>
      <dgm:t>
        <a:bodyPr/>
        <a:lstStyle/>
        <a:p>
          <a:endParaRPr lang="bg-BG"/>
        </a:p>
      </dgm:t>
    </dgm:pt>
    <dgm:pt modelId="{59979A7C-18C5-478C-BF08-4B8D4EB09F99}" type="pres">
      <dgm:prSet presAssocID="{344D50D3-6709-4B77-8E38-35EC37A521CA}" presName="hierRoot4" presStyleCnt="0"/>
      <dgm:spPr/>
    </dgm:pt>
    <dgm:pt modelId="{003C10DF-C810-4EEE-B596-3101D3818E31}" type="pres">
      <dgm:prSet presAssocID="{344D50D3-6709-4B77-8E38-35EC37A521CA}" presName="composite4" presStyleCnt="0"/>
      <dgm:spPr/>
    </dgm:pt>
    <dgm:pt modelId="{2FCAFEB3-E138-4D65-8756-07C8200A5811}" type="pres">
      <dgm:prSet presAssocID="{344D50D3-6709-4B77-8E38-35EC37A521CA}" presName="background4" presStyleLbl="node4" presStyleIdx="3" presStyleCnt="4"/>
      <dgm:spPr/>
    </dgm:pt>
    <dgm:pt modelId="{F169D10F-FACB-4512-8878-B4C46DB47193}" type="pres">
      <dgm:prSet presAssocID="{344D50D3-6709-4B77-8E38-35EC37A521CA}" presName="text4" presStyleLbl="fgAcc4" presStyleIdx="3" presStyleCnt="4" custLinFactX="-57397" custLinFactNeighborX="-100000" custLinFactNeighborY="-22398">
        <dgm:presLayoutVars>
          <dgm:chPref val="3"/>
        </dgm:presLayoutVars>
      </dgm:prSet>
      <dgm:spPr/>
      <dgm:t>
        <a:bodyPr/>
        <a:lstStyle/>
        <a:p>
          <a:endParaRPr lang="bg-BG"/>
        </a:p>
      </dgm:t>
    </dgm:pt>
    <dgm:pt modelId="{A821DC73-E7A7-45F5-B538-70855EE63C1A}" type="pres">
      <dgm:prSet presAssocID="{344D50D3-6709-4B77-8E38-35EC37A521CA}" presName="hierChild5" presStyleCnt="0"/>
      <dgm:spPr/>
    </dgm:pt>
  </dgm:ptLst>
  <dgm:cxnLst>
    <dgm:cxn modelId="{418BADE8-A335-42F9-B8CD-77FEEE0086AE}" type="presOf" srcId="{788A6252-35D5-478A-ADD2-982F1EEAD6C6}" destId="{718715CB-E995-4D75-99E9-52D4BA093623}" srcOrd="0" destOrd="0" presId="urn:microsoft.com/office/officeart/2005/8/layout/hierarchy1#1"/>
    <dgm:cxn modelId="{67422BE8-13F9-4D54-B848-3FE22905CB47}" srcId="{F846F38B-6F8F-40EC-A8BC-233EC605B1AB}" destId="{40953101-487C-4B64-AB7F-F66D6EF852DD}" srcOrd="0" destOrd="0" parTransId="{4EE4CB09-BE85-47EA-918D-62B4DF708DD6}" sibTransId="{3ECF2C06-8B10-4CD8-B046-62936C80A1FD}"/>
    <dgm:cxn modelId="{9C23C3A6-B436-4D3D-9723-0433604F1AAF}" srcId="{40953101-487C-4B64-AB7F-F66D6EF852DD}" destId="{788A6252-35D5-478A-ADD2-982F1EEAD6C6}" srcOrd="0" destOrd="0" parTransId="{80916CCC-DC51-4166-AEB8-D8CC77A9D947}" sibTransId="{9384BE17-5B86-40F4-8CB0-550015D3F849}"/>
    <dgm:cxn modelId="{A3CAB4BC-BDFF-4E26-A5A0-71845F29A72A}" type="presOf" srcId="{7C554C3C-F4C8-4FEE-81E8-0980118E69AC}" destId="{F2351BEE-F595-448B-9763-A850C06A140C}" srcOrd="0" destOrd="0" presId="urn:microsoft.com/office/officeart/2005/8/layout/hierarchy1#1"/>
    <dgm:cxn modelId="{84DB51A3-EC71-46F5-8C3C-3EC26483C077}" type="presOf" srcId="{4EE4CB09-BE85-47EA-918D-62B4DF708DD6}" destId="{CAD75C75-278C-4C76-A804-5E47EFDD15D6}" srcOrd="0" destOrd="0" presId="urn:microsoft.com/office/officeart/2005/8/layout/hierarchy1#1"/>
    <dgm:cxn modelId="{E8F854BB-6EC8-4F37-A7E4-A49CC18F0F84}" type="presOf" srcId="{F846F38B-6F8F-40EC-A8BC-233EC605B1AB}" destId="{EC031C3E-8712-45A3-8861-06DE2A3D703E}" srcOrd="0" destOrd="0" presId="urn:microsoft.com/office/officeart/2005/8/layout/hierarchy1#1"/>
    <dgm:cxn modelId="{FAB1E247-1764-4E57-9B97-580DD9BC5AA3}" srcId="{59AE2614-6CA2-4D72-8D2E-D37FF42A17F4}" destId="{344D50D3-6709-4B77-8E38-35EC37A521CA}" srcOrd="2" destOrd="0" parTransId="{9A432E36-5C32-4F0A-8B85-CE5103EE1E6F}" sibTransId="{280BD886-02B5-4500-866C-B6F96B7F7E47}"/>
    <dgm:cxn modelId="{07AE4A79-50D0-4AD2-841D-2D98E6660BC9}" srcId="{88E7A6B6-4621-4868-BBA4-24B0B564DE0D}" destId="{F846F38B-6F8F-40EC-A8BC-233EC605B1AB}" srcOrd="0" destOrd="0" parTransId="{B98538D1-985C-4FFC-A41F-045D83ABBE3C}" sibTransId="{F95841DC-6272-4E77-909B-99EB482E2DC4}"/>
    <dgm:cxn modelId="{ABCE31FD-210B-4C89-BFC8-59B1410CF666}" type="presOf" srcId="{80916CCC-DC51-4166-AEB8-D8CC77A9D947}" destId="{54756D07-D180-414F-8E54-663DE6739C52}" srcOrd="0" destOrd="0" presId="urn:microsoft.com/office/officeart/2005/8/layout/hierarchy1#1"/>
    <dgm:cxn modelId="{70E00BD6-FA87-4A31-ABA2-BBF563ACD13C}" type="presOf" srcId="{9A432E36-5C32-4F0A-8B85-CE5103EE1E6F}" destId="{077D3DDB-BDB8-451A-AC53-090708E09491}" srcOrd="0" destOrd="0" presId="urn:microsoft.com/office/officeart/2005/8/layout/hierarchy1#1"/>
    <dgm:cxn modelId="{E1E067D5-2B45-4F3A-B137-1401387850E9}" type="presOf" srcId="{76BB3F35-57A9-4A19-8B7C-A5B223735F82}" destId="{CAB4A617-B74E-4A61-A3F7-4A2CA7927B7E}" srcOrd="0" destOrd="0" presId="urn:microsoft.com/office/officeart/2005/8/layout/hierarchy1#1"/>
    <dgm:cxn modelId="{677CE3CD-98E1-4177-80F9-C6D3847A1B2D}" type="presOf" srcId="{344D50D3-6709-4B77-8E38-35EC37A521CA}" destId="{F169D10F-FACB-4512-8878-B4C46DB47193}" srcOrd="0" destOrd="0" presId="urn:microsoft.com/office/officeart/2005/8/layout/hierarchy1#1"/>
    <dgm:cxn modelId="{EE088CEB-BE7A-48F5-99ED-49A33F613B04}" type="presOf" srcId="{40953101-487C-4B64-AB7F-F66D6EF852DD}" destId="{C0971ED1-7BFB-46A2-B5DE-30DE44310C1A}" srcOrd="0" destOrd="0" presId="urn:microsoft.com/office/officeart/2005/8/layout/hierarchy1#1"/>
    <dgm:cxn modelId="{7EA6B706-40F1-4EDA-A297-A9C35140C664}" type="presOf" srcId="{B47161FD-1641-4C49-8272-0BA6C54C54FF}" destId="{9708F7DA-363A-4CBA-92E2-BA5EBC026911}" srcOrd="0" destOrd="0" presId="urn:microsoft.com/office/officeart/2005/8/layout/hierarchy1#1"/>
    <dgm:cxn modelId="{4859E074-E783-4F72-8576-288031E74E95}" type="presOf" srcId="{71E0369D-C3CF-43EA-8099-6818678372F0}" destId="{336AB084-BFEC-4F45-A7C5-902937929ED8}" srcOrd="0" destOrd="0" presId="urn:microsoft.com/office/officeart/2005/8/layout/hierarchy1#1"/>
    <dgm:cxn modelId="{863DE0E1-3270-47AE-83EE-8D4E96E702DE}" srcId="{788A6252-35D5-478A-ADD2-982F1EEAD6C6}" destId="{59AE2614-6CA2-4D72-8D2E-D37FF42A17F4}" srcOrd="0" destOrd="0" parTransId="{71E0369D-C3CF-43EA-8099-6818678372F0}" sibTransId="{435F0192-68D9-4953-9784-A7B1BEA00AF9}"/>
    <dgm:cxn modelId="{677413A6-861F-451C-B82E-33B27CFCAC2E}" type="presOf" srcId="{59AE2614-6CA2-4D72-8D2E-D37FF42A17F4}" destId="{F9FF3A57-FFCD-445A-B3BF-E3AED3809C07}" srcOrd="0" destOrd="0" presId="urn:microsoft.com/office/officeart/2005/8/layout/hierarchy1#1"/>
    <dgm:cxn modelId="{45DF8B88-043E-4A7A-9997-2FB0F058D897}" type="presOf" srcId="{88E7A6B6-4621-4868-BBA4-24B0B564DE0D}" destId="{F8C5EC30-1F38-431B-A866-A003856D440B}" srcOrd="0" destOrd="0" presId="urn:microsoft.com/office/officeart/2005/8/layout/hierarchy1#1"/>
    <dgm:cxn modelId="{496354A1-8FB3-4A8C-A401-45D84004756B}" type="presOf" srcId="{9990A178-5EB5-4C43-86D5-E7E0B4C3C881}" destId="{11A79220-188D-4876-BEAC-761D9BBC0D5E}" srcOrd="0" destOrd="0" presId="urn:microsoft.com/office/officeart/2005/8/layout/hierarchy1#1"/>
    <dgm:cxn modelId="{D111AB8C-B831-4C85-AE63-72A75A9A2BFF}" srcId="{59AE2614-6CA2-4D72-8D2E-D37FF42A17F4}" destId="{B47161FD-1641-4C49-8272-0BA6C54C54FF}" srcOrd="0" destOrd="0" parTransId="{76BB3F35-57A9-4A19-8B7C-A5B223735F82}" sibTransId="{55C4CE95-29E0-4789-833B-6FC2E4D4577C}"/>
    <dgm:cxn modelId="{A87E3251-E273-43F8-A62D-57DA6AC653AC}" srcId="{59AE2614-6CA2-4D72-8D2E-D37FF42A17F4}" destId="{7C554C3C-F4C8-4FEE-81E8-0980118E69AC}" srcOrd="1" destOrd="0" parTransId="{9990A178-5EB5-4C43-86D5-E7E0B4C3C881}" sibTransId="{801A43C5-AF2B-4B65-84A9-4F4F335DA5AD}"/>
    <dgm:cxn modelId="{43FB4A70-9B0C-43B5-92F6-B5DE1CF0CA40}" type="presParOf" srcId="{F8C5EC30-1F38-431B-A866-A003856D440B}" destId="{58D14E61-4168-4CB0-B0A4-2CB394CD1EF7}" srcOrd="0" destOrd="0" presId="urn:microsoft.com/office/officeart/2005/8/layout/hierarchy1#1"/>
    <dgm:cxn modelId="{5767F321-B281-439A-88C1-C327B6957159}" type="presParOf" srcId="{58D14E61-4168-4CB0-B0A4-2CB394CD1EF7}" destId="{72AB5932-77B5-4EFF-A58C-4D752602AC20}" srcOrd="0" destOrd="0" presId="urn:microsoft.com/office/officeart/2005/8/layout/hierarchy1#1"/>
    <dgm:cxn modelId="{04F04F90-ECD7-4EAF-8D83-D4D7981EB269}" type="presParOf" srcId="{72AB5932-77B5-4EFF-A58C-4D752602AC20}" destId="{81C032BA-AA0A-49DD-A58F-0144E247DEC9}" srcOrd="0" destOrd="0" presId="urn:microsoft.com/office/officeart/2005/8/layout/hierarchy1#1"/>
    <dgm:cxn modelId="{9A8966B0-8FE9-4300-93A3-5C46A8FDB24D}" type="presParOf" srcId="{72AB5932-77B5-4EFF-A58C-4D752602AC20}" destId="{EC031C3E-8712-45A3-8861-06DE2A3D703E}" srcOrd="1" destOrd="0" presId="urn:microsoft.com/office/officeart/2005/8/layout/hierarchy1#1"/>
    <dgm:cxn modelId="{A9D8B644-4255-427F-B17A-E42B52A51E43}" type="presParOf" srcId="{58D14E61-4168-4CB0-B0A4-2CB394CD1EF7}" destId="{C3D79F78-444D-4F75-B67E-01873E1F0DA8}" srcOrd="1" destOrd="0" presId="urn:microsoft.com/office/officeart/2005/8/layout/hierarchy1#1"/>
    <dgm:cxn modelId="{E60A90CC-D699-4C79-BF89-15BD05FB72B3}" type="presParOf" srcId="{C3D79F78-444D-4F75-B67E-01873E1F0DA8}" destId="{CAD75C75-278C-4C76-A804-5E47EFDD15D6}" srcOrd="0" destOrd="0" presId="urn:microsoft.com/office/officeart/2005/8/layout/hierarchy1#1"/>
    <dgm:cxn modelId="{F481A0D0-EA8D-439A-AF1C-3D1C67E77516}" type="presParOf" srcId="{C3D79F78-444D-4F75-B67E-01873E1F0DA8}" destId="{23667CE8-8BA7-46A7-9D36-C09EC8C537EA}" srcOrd="1" destOrd="0" presId="urn:microsoft.com/office/officeart/2005/8/layout/hierarchy1#1"/>
    <dgm:cxn modelId="{B5E9C675-41EA-494A-8F7F-4CE33D2233AF}" type="presParOf" srcId="{23667CE8-8BA7-46A7-9D36-C09EC8C537EA}" destId="{71A421A5-4E97-4048-8110-5FC32FD0F0E1}" srcOrd="0" destOrd="0" presId="urn:microsoft.com/office/officeart/2005/8/layout/hierarchy1#1"/>
    <dgm:cxn modelId="{2C15749C-5CF6-4BD7-8305-B4063BE0B6AB}" type="presParOf" srcId="{71A421A5-4E97-4048-8110-5FC32FD0F0E1}" destId="{09DC96D9-B6FA-40D7-9DDF-F80D4B583263}" srcOrd="0" destOrd="0" presId="urn:microsoft.com/office/officeart/2005/8/layout/hierarchy1#1"/>
    <dgm:cxn modelId="{E1F1E449-6436-43A8-8C4A-22AA143DA66A}" type="presParOf" srcId="{71A421A5-4E97-4048-8110-5FC32FD0F0E1}" destId="{C0971ED1-7BFB-46A2-B5DE-30DE44310C1A}" srcOrd="1" destOrd="0" presId="urn:microsoft.com/office/officeart/2005/8/layout/hierarchy1#1"/>
    <dgm:cxn modelId="{F23ADD79-A4B2-4D59-8521-FED6EE7149FF}" type="presParOf" srcId="{23667CE8-8BA7-46A7-9D36-C09EC8C537EA}" destId="{E8256733-849C-46D9-B025-55A5DF764E5A}" srcOrd="1" destOrd="0" presId="urn:microsoft.com/office/officeart/2005/8/layout/hierarchy1#1"/>
    <dgm:cxn modelId="{2EE885CD-6D31-4516-9532-88F5985446DC}" type="presParOf" srcId="{E8256733-849C-46D9-B025-55A5DF764E5A}" destId="{54756D07-D180-414F-8E54-663DE6739C52}" srcOrd="0" destOrd="0" presId="urn:microsoft.com/office/officeart/2005/8/layout/hierarchy1#1"/>
    <dgm:cxn modelId="{FE830563-2013-4233-BA93-5C597ABF483D}" type="presParOf" srcId="{E8256733-849C-46D9-B025-55A5DF764E5A}" destId="{7A4F68B4-7F26-4FCF-8238-4A2778412214}" srcOrd="1" destOrd="0" presId="urn:microsoft.com/office/officeart/2005/8/layout/hierarchy1#1"/>
    <dgm:cxn modelId="{EB5C5E61-FCC8-482B-98CA-3F6D7668314B}" type="presParOf" srcId="{7A4F68B4-7F26-4FCF-8238-4A2778412214}" destId="{CE7C5FB8-A00C-4CC6-8A67-BCFCBD91A36C}" srcOrd="0" destOrd="0" presId="urn:microsoft.com/office/officeart/2005/8/layout/hierarchy1#1"/>
    <dgm:cxn modelId="{76C5BD7D-0A59-4C7B-AA3F-5C5C85484E69}" type="presParOf" srcId="{CE7C5FB8-A00C-4CC6-8A67-BCFCBD91A36C}" destId="{68BBD9C7-1B28-40BD-AA6B-BCA2600DBF22}" srcOrd="0" destOrd="0" presId="urn:microsoft.com/office/officeart/2005/8/layout/hierarchy1#1"/>
    <dgm:cxn modelId="{8BD5782D-FDAA-45B5-A26E-F1ED4F32AB2C}" type="presParOf" srcId="{CE7C5FB8-A00C-4CC6-8A67-BCFCBD91A36C}" destId="{718715CB-E995-4D75-99E9-52D4BA093623}" srcOrd="1" destOrd="0" presId="urn:microsoft.com/office/officeart/2005/8/layout/hierarchy1#1"/>
    <dgm:cxn modelId="{299B7CAC-A463-4F75-868A-4C63DD66FCEF}" type="presParOf" srcId="{7A4F68B4-7F26-4FCF-8238-4A2778412214}" destId="{9F7F3450-F6D6-45A5-A5FC-E49F09D9B2E2}" srcOrd="1" destOrd="0" presId="urn:microsoft.com/office/officeart/2005/8/layout/hierarchy1#1"/>
    <dgm:cxn modelId="{6C1BBA05-07FA-4598-AF08-7A55D638286C}" type="presParOf" srcId="{9F7F3450-F6D6-45A5-A5FC-E49F09D9B2E2}" destId="{336AB084-BFEC-4F45-A7C5-902937929ED8}" srcOrd="0" destOrd="0" presId="urn:microsoft.com/office/officeart/2005/8/layout/hierarchy1#1"/>
    <dgm:cxn modelId="{9EECA692-AEBE-47B5-A0B9-C04A5EFE0ECA}" type="presParOf" srcId="{9F7F3450-F6D6-45A5-A5FC-E49F09D9B2E2}" destId="{10DC279E-9217-45EE-8BBE-05FB6AC9704B}" srcOrd="1" destOrd="0" presId="urn:microsoft.com/office/officeart/2005/8/layout/hierarchy1#1"/>
    <dgm:cxn modelId="{C6308C94-034F-4D10-8E14-A373F9B92F81}" type="presParOf" srcId="{10DC279E-9217-45EE-8BBE-05FB6AC9704B}" destId="{09FD1C64-2D34-43E5-A81C-0DA4801CCA9E}" srcOrd="0" destOrd="0" presId="urn:microsoft.com/office/officeart/2005/8/layout/hierarchy1#1"/>
    <dgm:cxn modelId="{DE3E09EC-7C73-42F6-8501-1240E445C5F4}" type="presParOf" srcId="{09FD1C64-2D34-43E5-A81C-0DA4801CCA9E}" destId="{840D9E70-AFA9-4918-9784-C8EEFB9B82A1}" srcOrd="0" destOrd="0" presId="urn:microsoft.com/office/officeart/2005/8/layout/hierarchy1#1"/>
    <dgm:cxn modelId="{09A5013A-183E-4798-B0EC-A8DB2F953631}" type="presParOf" srcId="{09FD1C64-2D34-43E5-A81C-0DA4801CCA9E}" destId="{F9FF3A57-FFCD-445A-B3BF-E3AED3809C07}" srcOrd="1" destOrd="0" presId="urn:microsoft.com/office/officeart/2005/8/layout/hierarchy1#1"/>
    <dgm:cxn modelId="{13AD46AA-BD57-45AA-BBD2-FAFD83782E2E}" type="presParOf" srcId="{10DC279E-9217-45EE-8BBE-05FB6AC9704B}" destId="{66207088-03C1-498E-8FC8-B194DCEB10C0}" srcOrd="1" destOrd="0" presId="urn:microsoft.com/office/officeart/2005/8/layout/hierarchy1#1"/>
    <dgm:cxn modelId="{885C9B70-609A-4887-8A82-FF41A00C64D1}" type="presParOf" srcId="{66207088-03C1-498E-8FC8-B194DCEB10C0}" destId="{CAB4A617-B74E-4A61-A3F7-4A2CA7927B7E}" srcOrd="0" destOrd="0" presId="urn:microsoft.com/office/officeart/2005/8/layout/hierarchy1#1"/>
    <dgm:cxn modelId="{D2B7B35C-C6D3-40E0-94CF-8D09710B4AE5}" type="presParOf" srcId="{66207088-03C1-498E-8FC8-B194DCEB10C0}" destId="{F4E5EF9D-93F2-4988-9CE9-A62D4BC829B1}" srcOrd="1" destOrd="0" presId="urn:microsoft.com/office/officeart/2005/8/layout/hierarchy1#1"/>
    <dgm:cxn modelId="{1183C0AC-592A-4113-96EB-18083F4D422C}" type="presParOf" srcId="{F4E5EF9D-93F2-4988-9CE9-A62D4BC829B1}" destId="{B90E47B6-DFC0-4C54-B689-4AC16E556E7D}" srcOrd="0" destOrd="0" presId="urn:microsoft.com/office/officeart/2005/8/layout/hierarchy1#1"/>
    <dgm:cxn modelId="{35FF49BE-B963-43F8-B0A3-F662608C80EE}" type="presParOf" srcId="{B90E47B6-DFC0-4C54-B689-4AC16E556E7D}" destId="{6FEDD2DB-A15E-424A-A265-758ED7498929}" srcOrd="0" destOrd="0" presId="urn:microsoft.com/office/officeart/2005/8/layout/hierarchy1#1"/>
    <dgm:cxn modelId="{6CD4F43D-BE09-461E-9399-183B697144F7}" type="presParOf" srcId="{B90E47B6-DFC0-4C54-B689-4AC16E556E7D}" destId="{9708F7DA-363A-4CBA-92E2-BA5EBC026911}" srcOrd="1" destOrd="0" presId="urn:microsoft.com/office/officeart/2005/8/layout/hierarchy1#1"/>
    <dgm:cxn modelId="{94CD237E-2490-4231-ACEC-322763A2F49B}" type="presParOf" srcId="{F4E5EF9D-93F2-4988-9CE9-A62D4BC829B1}" destId="{5A9FFE70-591F-4096-BD31-6C5557AA03FD}" srcOrd="1" destOrd="0" presId="urn:microsoft.com/office/officeart/2005/8/layout/hierarchy1#1"/>
    <dgm:cxn modelId="{AE4B5C2D-5393-4F79-AFE9-A8D25BDBA8B5}" type="presParOf" srcId="{66207088-03C1-498E-8FC8-B194DCEB10C0}" destId="{11A79220-188D-4876-BEAC-761D9BBC0D5E}" srcOrd="2" destOrd="0" presId="urn:microsoft.com/office/officeart/2005/8/layout/hierarchy1#1"/>
    <dgm:cxn modelId="{523D4C44-51B8-46F2-810C-5C36301F9F8B}" type="presParOf" srcId="{66207088-03C1-498E-8FC8-B194DCEB10C0}" destId="{FD91AB69-CDAC-4E1E-BAB8-D3A1B14F7523}" srcOrd="3" destOrd="0" presId="urn:microsoft.com/office/officeart/2005/8/layout/hierarchy1#1"/>
    <dgm:cxn modelId="{A527CB7F-BDE4-45EE-B4BB-19302310C103}" type="presParOf" srcId="{FD91AB69-CDAC-4E1E-BAB8-D3A1B14F7523}" destId="{0B27911A-1C1D-4EE6-86E8-45BCA41DEB8E}" srcOrd="0" destOrd="0" presId="urn:microsoft.com/office/officeart/2005/8/layout/hierarchy1#1"/>
    <dgm:cxn modelId="{4E88766A-1A9F-442F-ADD2-7CF75BF45B76}" type="presParOf" srcId="{0B27911A-1C1D-4EE6-86E8-45BCA41DEB8E}" destId="{CD7B52CD-32C2-49EE-BEFA-9CE1352CCAD6}" srcOrd="0" destOrd="0" presId="urn:microsoft.com/office/officeart/2005/8/layout/hierarchy1#1"/>
    <dgm:cxn modelId="{69568F2D-A415-4BA5-B753-B4A6B4D0B6EA}" type="presParOf" srcId="{0B27911A-1C1D-4EE6-86E8-45BCA41DEB8E}" destId="{F2351BEE-F595-448B-9763-A850C06A140C}" srcOrd="1" destOrd="0" presId="urn:microsoft.com/office/officeart/2005/8/layout/hierarchy1#1"/>
    <dgm:cxn modelId="{6AD2F5FB-4D2F-45FE-8035-8FB3A9EF4B5D}" type="presParOf" srcId="{FD91AB69-CDAC-4E1E-BAB8-D3A1B14F7523}" destId="{4AEC549B-B65D-464B-A129-FBFA107D75A0}" srcOrd="1" destOrd="0" presId="urn:microsoft.com/office/officeart/2005/8/layout/hierarchy1#1"/>
    <dgm:cxn modelId="{A264C25B-BE49-439C-A46F-F32948DCE0F1}" type="presParOf" srcId="{66207088-03C1-498E-8FC8-B194DCEB10C0}" destId="{077D3DDB-BDB8-451A-AC53-090708E09491}" srcOrd="4" destOrd="0" presId="urn:microsoft.com/office/officeart/2005/8/layout/hierarchy1#1"/>
    <dgm:cxn modelId="{DF9DC632-930B-4BD1-BFB6-D81268B12D48}" type="presParOf" srcId="{66207088-03C1-498E-8FC8-B194DCEB10C0}" destId="{59979A7C-18C5-478C-BF08-4B8D4EB09F99}" srcOrd="5" destOrd="0" presId="urn:microsoft.com/office/officeart/2005/8/layout/hierarchy1#1"/>
    <dgm:cxn modelId="{DCF9D7B1-1E18-4662-805D-8A9DAE5CE441}" type="presParOf" srcId="{59979A7C-18C5-478C-BF08-4B8D4EB09F99}" destId="{003C10DF-C810-4EEE-B596-3101D3818E31}" srcOrd="0" destOrd="0" presId="urn:microsoft.com/office/officeart/2005/8/layout/hierarchy1#1"/>
    <dgm:cxn modelId="{8D4A3BB8-9908-4A46-8C46-5F06A57C0699}" type="presParOf" srcId="{003C10DF-C810-4EEE-B596-3101D3818E31}" destId="{2FCAFEB3-E138-4D65-8756-07C8200A5811}" srcOrd="0" destOrd="0" presId="urn:microsoft.com/office/officeart/2005/8/layout/hierarchy1#1"/>
    <dgm:cxn modelId="{44014F96-3C37-433B-BE99-4EB3DBA7FF82}" type="presParOf" srcId="{003C10DF-C810-4EEE-B596-3101D3818E31}" destId="{F169D10F-FACB-4512-8878-B4C46DB47193}" srcOrd="1" destOrd="0" presId="urn:microsoft.com/office/officeart/2005/8/layout/hierarchy1#1"/>
    <dgm:cxn modelId="{BA18D5F2-CADE-433B-BDF6-589E1426F1A8}" type="presParOf" srcId="{59979A7C-18C5-478C-BF08-4B8D4EB09F99}" destId="{A821DC73-E7A7-45F5-B538-70855EE63C1A}" srcOrd="1" destOrd="0" presId="urn:microsoft.com/office/officeart/2005/8/layout/hierarchy1#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D3DDB-BDB8-451A-AC53-090708E09491}">
      <dsp:nvSpPr>
        <dsp:cNvPr id="0" name=""/>
        <dsp:cNvSpPr/>
      </dsp:nvSpPr>
      <dsp:spPr>
        <a:xfrm>
          <a:off x="2450068" y="2457028"/>
          <a:ext cx="253148" cy="106950"/>
        </a:xfrm>
        <a:custGeom>
          <a:avLst/>
          <a:gdLst/>
          <a:ahLst/>
          <a:cxnLst/>
          <a:rect l="0" t="0" r="0" b="0"/>
          <a:pathLst>
            <a:path>
              <a:moveTo>
                <a:pt x="253148" y="0"/>
              </a:moveTo>
              <a:lnTo>
                <a:pt x="253148" y="40278"/>
              </a:lnTo>
              <a:lnTo>
                <a:pt x="0" y="40278"/>
              </a:lnTo>
              <a:lnTo>
                <a:pt x="0" y="106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79220-188D-4876-BEAC-761D9BBC0D5E}">
      <dsp:nvSpPr>
        <dsp:cNvPr id="0" name=""/>
        <dsp:cNvSpPr/>
      </dsp:nvSpPr>
      <dsp:spPr>
        <a:xfrm>
          <a:off x="2703217" y="2457028"/>
          <a:ext cx="1215848" cy="209309"/>
        </a:xfrm>
        <a:custGeom>
          <a:avLst/>
          <a:gdLst/>
          <a:ahLst/>
          <a:cxnLst/>
          <a:rect l="0" t="0" r="0" b="0"/>
          <a:pathLst>
            <a:path>
              <a:moveTo>
                <a:pt x="0" y="0"/>
              </a:moveTo>
              <a:lnTo>
                <a:pt x="0" y="142638"/>
              </a:lnTo>
              <a:lnTo>
                <a:pt x="1215848" y="142638"/>
              </a:lnTo>
              <a:lnTo>
                <a:pt x="1215848"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4A617-B74E-4A61-A3F7-4A2CA7927B7E}">
      <dsp:nvSpPr>
        <dsp:cNvPr id="0" name=""/>
        <dsp:cNvSpPr/>
      </dsp:nvSpPr>
      <dsp:spPr>
        <a:xfrm>
          <a:off x="909198" y="2457028"/>
          <a:ext cx="1794018" cy="210401"/>
        </a:xfrm>
        <a:custGeom>
          <a:avLst/>
          <a:gdLst/>
          <a:ahLst/>
          <a:cxnLst/>
          <a:rect l="0" t="0" r="0" b="0"/>
          <a:pathLst>
            <a:path>
              <a:moveTo>
                <a:pt x="1794018" y="0"/>
              </a:moveTo>
              <a:lnTo>
                <a:pt x="1794018" y="143730"/>
              </a:lnTo>
              <a:lnTo>
                <a:pt x="0" y="143730"/>
              </a:lnTo>
              <a:lnTo>
                <a:pt x="0" y="210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AB084-BFEC-4F45-A7C5-902937929ED8}">
      <dsp:nvSpPr>
        <dsp:cNvPr id="0" name=""/>
        <dsp:cNvSpPr/>
      </dsp:nvSpPr>
      <dsp:spPr>
        <a:xfrm>
          <a:off x="2657497" y="1790717"/>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56D07-D180-414F-8E54-663DE6739C52}">
      <dsp:nvSpPr>
        <dsp:cNvPr id="0" name=""/>
        <dsp:cNvSpPr/>
      </dsp:nvSpPr>
      <dsp:spPr>
        <a:xfrm>
          <a:off x="2657497" y="1124406"/>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75C75-278C-4C76-A804-5E47EFDD15D6}">
      <dsp:nvSpPr>
        <dsp:cNvPr id="0" name=""/>
        <dsp:cNvSpPr/>
      </dsp:nvSpPr>
      <dsp:spPr>
        <a:xfrm>
          <a:off x="2657497" y="458094"/>
          <a:ext cx="91440" cy="209309"/>
        </a:xfrm>
        <a:custGeom>
          <a:avLst/>
          <a:gdLst/>
          <a:ahLst/>
          <a:cxnLst/>
          <a:rect l="0" t="0" r="0" b="0"/>
          <a:pathLst>
            <a:path>
              <a:moveTo>
                <a:pt x="45720" y="0"/>
              </a:moveTo>
              <a:lnTo>
                <a:pt x="45720" y="209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032BA-AA0A-49DD-A58F-0144E247DEC9}">
      <dsp:nvSpPr>
        <dsp:cNvPr id="0" name=""/>
        <dsp:cNvSpPr/>
      </dsp:nvSpPr>
      <dsp:spPr>
        <a:xfrm>
          <a:off x="2343373" y="1092"/>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031C3E-8712-45A3-8861-06DE2A3D703E}">
      <dsp:nvSpPr>
        <dsp:cNvPr id="0" name=""/>
        <dsp:cNvSpPr/>
      </dsp:nvSpPr>
      <dsp:spPr>
        <a:xfrm>
          <a:off x="2423338" y="77059"/>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ОБЩО СЪБРАНИЕ</a:t>
          </a:r>
        </a:p>
      </dsp:txBody>
      <dsp:txXfrm>
        <a:off x="2436723" y="90444"/>
        <a:ext cx="692918" cy="430231"/>
      </dsp:txXfrm>
    </dsp:sp>
    <dsp:sp modelId="{09DC96D9-B6FA-40D7-9DDF-F80D4B583263}">
      <dsp:nvSpPr>
        <dsp:cNvPr id="0" name=""/>
        <dsp:cNvSpPr/>
      </dsp:nvSpPr>
      <dsp:spPr>
        <a:xfrm>
          <a:off x="2343373" y="667404"/>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71ED1-7BFB-46A2-B5DE-30DE44310C1A}">
      <dsp:nvSpPr>
        <dsp:cNvPr id="0" name=""/>
        <dsp:cNvSpPr/>
      </dsp:nvSpPr>
      <dsp:spPr>
        <a:xfrm>
          <a:off x="2423338"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УПРАВИТЕЛЕН СЪВЕТ</a:t>
          </a:r>
        </a:p>
      </dsp:txBody>
      <dsp:txXfrm>
        <a:off x="2436723" y="756756"/>
        <a:ext cx="692918" cy="430231"/>
      </dsp:txXfrm>
    </dsp:sp>
    <dsp:sp modelId="{68BBD9C7-1B28-40BD-AA6B-BCA2600DBF22}">
      <dsp:nvSpPr>
        <dsp:cNvPr id="0" name=""/>
        <dsp:cNvSpPr/>
      </dsp:nvSpPr>
      <dsp:spPr>
        <a:xfrm>
          <a:off x="2343373" y="1333715"/>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715CB-E995-4D75-99E9-52D4BA093623}">
      <dsp:nvSpPr>
        <dsp:cNvPr id="0" name=""/>
        <dsp:cNvSpPr/>
      </dsp:nvSpPr>
      <dsp:spPr>
        <a:xfrm>
          <a:off x="2423338"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ПРЕДСЕДАТЕЛ НА УС</a:t>
          </a:r>
        </a:p>
      </dsp:txBody>
      <dsp:txXfrm>
        <a:off x="2436723" y="1423067"/>
        <a:ext cx="692918" cy="430231"/>
      </dsp:txXfrm>
    </dsp:sp>
    <dsp:sp modelId="{840D9E70-AFA9-4918-9784-C8EEFB9B82A1}">
      <dsp:nvSpPr>
        <dsp:cNvPr id="0" name=""/>
        <dsp:cNvSpPr/>
      </dsp:nvSpPr>
      <dsp:spPr>
        <a:xfrm>
          <a:off x="2343373" y="2000026"/>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FF3A57-FFCD-445A-B3BF-E3AED3809C07}">
      <dsp:nvSpPr>
        <dsp:cNvPr id="0" name=""/>
        <dsp:cNvSpPr/>
      </dsp:nvSpPr>
      <dsp:spPr>
        <a:xfrm>
          <a:off x="2423338"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solidFill>
                <a:sysClr val="windowText" lastClr="000000"/>
              </a:solidFill>
            </a:rPr>
            <a:t>ИЗПЪЛНИТЕЛЕН </a:t>
          </a:r>
          <a:r>
            <a:rPr lang="bg-BG" sz="700" b="1" kern="1200"/>
            <a:t>ДИРЕКТОР</a:t>
          </a:r>
        </a:p>
      </dsp:txBody>
      <dsp:txXfrm>
        <a:off x="2436723" y="2089378"/>
        <a:ext cx="692918" cy="430231"/>
      </dsp:txXfrm>
    </dsp:sp>
    <dsp:sp modelId="{6FEDD2DB-A15E-424A-A265-758ED7498929}">
      <dsp:nvSpPr>
        <dsp:cNvPr id="0" name=""/>
        <dsp:cNvSpPr/>
      </dsp:nvSpPr>
      <dsp:spPr>
        <a:xfrm>
          <a:off x="549354" y="2667430"/>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08F7DA-363A-4CBA-92E2-BA5EBC026911}">
      <dsp:nvSpPr>
        <dsp:cNvPr id="0" name=""/>
        <dsp:cNvSpPr/>
      </dsp:nvSpPr>
      <dsp:spPr>
        <a:xfrm>
          <a:off x="629319" y="2743397"/>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2-ма ЕКСПЕРТИ</a:t>
          </a:r>
        </a:p>
      </dsp:txBody>
      <dsp:txXfrm>
        <a:off x="642704" y="2756782"/>
        <a:ext cx="692918" cy="430231"/>
      </dsp:txXfrm>
    </dsp:sp>
    <dsp:sp modelId="{CD7B52CD-32C2-49EE-BEFA-9CE1352CCAD6}">
      <dsp:nvSpPr>
        <dsp:cNvPr id="0" name=""/>
        <dsp:cNvSpPr/>
      </dsp:nvSpPr>
      <dsp:spPr>
        <a:xfrm>
          <a:off x="3559221" y="266633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351BEE-F595-448B-9763-A850C06A140C}">
      <dsp:nvSpPr>
        <dsp:cNvPr id="0" name=""/>
        <dsp:cNvSpPr/>
      </dsp:nvSpPr>
      <dsp:spPr>
        <a:xfrm>
          <a:off x="3639186"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СЧЕТОВОДИТЕЛ</a:t>
          </a:r>
        </a:p>
      </dsp:txBody>
      <dsp:txXfrm>
        <a:off x="3652571" y="2755690"/>
        <a:ext cx="692918" cy="430231"/>
      </dsp:txXfrm>
    </dsp:sp>
    <dsp:sp modelId="{2FCAFEB3-E138-4D65-8756-07C8200A5811}">
      <dsp:nvSpPr>
        <dsp:cNvPr id="0" name=""/>
        <dsp:cNvSpPr/>
      </dsp:nvSpPr>
      <dsp:spPr>
        <a:xfrm>
          <a:off x="2090224" y="256397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69D10F-FACB-4512-8878-B4C46DB47193}">
      <dsp:nvSpPr>
        <dsp:cNvPr id="0" name=""/>
        <dsp:cNvSpPr/>
      </dsp:nvSpPr>
      <dsp:spPr>
        <a:xfrm>
          <a:off x="2170189" y="263994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ТЕХНИЧЕСКИ АСИСТЕНТ</a:t>
          </a:r>
        </a:p>
      </dsp:txBody>
      <dsp:txXfrm>
        <a:off x="2183574" y="2653330"/>
        <a:ext cx="692918" cy="4302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5D516-C4C5-4DE0-8EDF-73BFCBB6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98</Pages>
  <Words>39042</Words>
  <Characters>222542</Characters>
  <Application>Microsoft Office Word</Application>
  <DocSecurity>0</DocSecurity>
  <Lines>1854</Lines>
  <Paragraphs>522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261062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Vision</cp:lastModifiedBy>
  <cp:revision>45</cp:revision>
  <cp:lastPrinted>2017-08-29T15:46:00Z</cp:lastPrinted>
  <dcterms:created xsi:type="dcterms:W3CDTF">2020-01-03T14:44:00Z</dcterms:created>
  <dcterms:modified xsi:type="dcterms:W3CDTF">2023-01-18T13:04:00Z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CED9D0AF09584B4CBD3804B3F03AC1CF</vt:lpwstr>
  </property>
</Properties>
</file>