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9329C9">
      <w:pPr>
        <w:spacing w:after="120"/>
        <w:ind w:right="567"/>
        <w:jc w:val="center"/>
        <w:rPr>
          <w:rFonts w:ascii="Times New Roman" w:hAnsi="Times New Roman" w:cs="Times New Roman"/>
          <w:b/>
          <w:sz w:val="24"/>
          <w:szCs w:val="24"/>
        </w:rPr>
      </w:pPr>
    </w:p>
    <w:p w:rsidR="009329C9" w:rsidRDefault="00B5212B">
      <w:pPr>
        <w:spacing w:after="120"/>
        <w:ind w:right="567"/>
        <w:jc w:val="center"/>
        <w:rPr>
          <w:rFonts w:ascii="Times New Roman" w:hAnsi="Times New Roman" w:cs="Times New Roman"/>
          <w:b/>
          <w:sz w:val="24"/>
          <w:szCs w:val="24"/>
        </w:rPr>
      </w:pPr>
      <w:r>
        <w:rPr>
          <w:rFonts w:ascii="Times New Roman" w:hAnsi="Times New Roman" w:cs="Times New Roman"/>
          <w:b/>
          <w:sz w:val="24"/>
          <w:szCs w:val="24"/>
        </w:rPr>
        <w:t>СТРАТЕГИЯ ЗА ВОМР</w:t>
      </w:r>
    </w:p>
    <w:p w:rsidR="009329C9" w:rsidRDefault="00B5212B">
      <w:pPr>
        <w:spacing w:after="120"/>
        <w:ind w:right="567"/>
        <w:jc w:val="center"/>
        <w:rPr>
          <w:rFonts w:ascii="Times New Roman" w:hAnsi="Times New Roman" w:cs="Times New Roman"/>
          <w:b/>
          <w:sz w:val="24"/>
          <w:szCs w:val="24"/>
        </w:rPr>
      </w:pPr>
      <w:r>
        <w:rPr>
          <w:rFonts w:ascii="Times New Roman" w:hAnsi="Times New Roman" w:cs="Times New Roman"/>
          <w:b/>
          <w:sz w:val="24"/>
          <w:szCs w:val="24"/>
        </w:rPr>
        <w:t xml:space="preserve">ЗА ТЕРИТОРИЯТА НА СДРУЖЕНИЕ </w:t>
      </w:r>
      <w:r>
        <w:rPr>
          <w:rFonts w:ascii="Times New Roman" w:hAnsi="Times New Roman" w:cs="Times New Roman"/>
          <w:b/>
          <w:sz w:val="24"/>
          <w:szCs w:val="24"/>
        </w:rPr>
        <w:br/>
        <w:t>„МЕСТНА ИНИЦИАТИВНА ГРУПА „СВИЛЕНГРАД</w:t>
      </w:r>
      <w:r w:rsidR="001145F8">
        <w:rPr>
          <w:rFonts w:ascii="Times New Roman" w:hAnsi="Times New Roman" w:cs="Times New Roman"/>
          <w:b/>
          <w:sz w:val="24"/>
          <w:szCs w:val="24"/>
        </w:rPr>
        <w:t>-ТОПОЛОВГРАД</w:t>
      </w:r>
      <w:r>
        <w:rPr>
          <w:rFonts w:ascii="Times New Roman" w:hAnsi="Times New Roman" w:cs="Times New Roman"/>
          <w:b/>
          <w:sz w:val="24"/>
          <w:szCs w:val="24"/>
        </w:rPr>
        <w:t>“</w:t>
      </w:r>
    </w:p>
    <w:p w:rsidR="009329C9" w:rsidRDefault="009329C9">
      <w:pPr>
        <w:spacing w:after="120"/>
        <w:ind w:right="567"/>
        <w:rPr>
          <w:rFonts w:ascii="Times New Roman" w:hAnsi="Times New Roman" w:cs="Times New Roman"/>
          <w:sz w:val="24"/>
          <w:szCs w:val="24"/>
        </w:rPr>
      </w:pPr>
    </w:p>
    <w:p w:rsidR="009329C9" w:rsidRDefault="009329C9">
      <w:pPr>
        <w:spacing w:after="120"/>
        <w:ind w:right="567"/>
        <w:rPr>
          <w:rFonts w:ascii="Times New Roman" w:hAnsi="Times New Roman" w:cs="Times New Roman"/>
          <w:sz w:val="24"/>
          <w:szCs w:val="24"/>
        </w:rPr>
      </w:pPr>
    </w:p>
    <w:p w:rsidR="009329C9" w:rsidRDefault="00B5212B">
      <w:pPr>
        <w:spacing w:after="120"/>
        <w:ind w:right="567"/>
        <w:jc w:val="center"/>
        <w:rPr>
          <w:rFonts w:ascii="Times New Roman" w:hAnsi="Times New Roman" w:cs="Times New Roman"/>
          <w:sz w:val="24"/>
          <w:szCs w:val="24"/>
        </w:rPr>
      </w:pPr>
      <w:r>
        <w:rPr>
          <w:rFonts w:ascii="Times New Roman" w:hAnsi="Times New Roman" w:cs="Times New Roman"/>
          <w:sz w:val="24"/>
          <w:szCs w:val="24"/>
        </w:rPr>
        <w:t>Стратегията за ВОМР е разработена по проект по подмярка 19.1 „Помощ за подготвителни дейности“ на мярка 19 „Водено от общностите местно развитие“ по Програма  за  развитие  на  селските  райони  2014 – 2020г.</w:t>
      </w:r>
    </w:p>
    <w:p w:rsidR="009329C9" w:rsidRDefault="00B5212B">
      <w:pPr>
        <w:spacing w:after="120"/>
        <w:ind w:right="567"/>
        <w:jc w:val="center"/>
        <w:rPr>
          <w:rFonts w:ascii="Times New Roman" w:hAnsi="Times New Roman" w:cs="Times New Roman"/>
          <w:sz w:val="24"/>
          <w:szCs w:val="24"/>
        </w:rPr>
      </w:pPr>
      <w:r>
        <w:rPr>
          <w:rFonts w:ascii="Times New Roman" w:hAnsi="Times New Roman" w:cs="Times New Roman"/>
          <w:sz w:val="24"/>
          <w:szCs w:val="24"/>
        </w:rPr>
        <w:t>Договор</w:t>
      </w:r>
      <w:r>
        <w:rPr>
          <w:rFonts w:ascii="Times New Roman" w:eastAsia="Century Gothic" w:hAnsi="Times New Roman" w:cs="Times New Roman"/>
          <w:sz w:val="24"/>
          <w:szCs w:val="24"/>
          <w:lang w:eastAsia="en-US"/>
        </w:rPr>
        <w:t xml:space="preserve"> №РД-50-81/17.08.2016 г</w:t>
      </w:r>
    </w:p>
    <w:p w:rsidR="009329C9" w:rsidRDefault="009329C9">
      <w:pPr>
        <w:spacing w:after="120"/>
        <w:ind w:right="567"/>
        <w:jc w:val="center"/>
        <w:rPr>
          <w:rFonts w:ascii="Times New Roman" w:hAnsi="Times New Roman" w:cs="Times New Roman"/>
          <w:sz w:val="24"/>
          <w:szCs w:val="24"/>
        </w:rPr>
      </w:pPr>
    </w:p>
    <w:p w:rsidR="009329C9" w:rsidRDefault="009329C9">
      <w:pPr>
        <w:spacing w:after="120"/>
        <w:ind w:right="567"/>
        <w:jc w:val="center"/>
        <w:rPr>
          <w:rFonts w:ascii="Times New Roman" w:hAnsi="Times New Roman" w:cs="Times New Roman"/>
          <w:sz w:val="24"/>
          <w:szCs w:val="24"/>
        </w:rPr>
      </w:pPr>
    </w:p>
    <w:p w:rsidR="009329C9" w:rsidRDefault="00B5212B">
      <w:pPr>
        <w:spacing w:after="120"/>
        <w:ind w:right="567"/>
        <w:rPr>
          <w:rFonts w:ascii="Times New Roman" w:hAnsi="Times New Roman" w:cs="Times New Roman"/>
          <w:b/>
          <w:sz w:val="24"/>
          <w:szCs w:val="24"/>
        </w:rPr>
      </w:pPr>
      <w:r>
        <w:rPr>
          <w:rFonts w:ascii="Times New Roman" w:hAnsi="Times New Roman" w:cs="Times New Roman"/>
          <w:b/>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9349415"/>
      <w:bookmarkStart w:id="1" w:name="_Toc448392273"/>
      <w:r>
        <w:rPr>
          <w:rFonts w:ascii="Times New Roman" w:hAnsi="Times New Roman" w:cs="Times New Roman"/>
          <w:color w:val="auto"/>
          <w:sz w:val="24"/>
          <w:szCs w:val="24"/>
        </w:rPr>
        <w:lastRenderedPageBreak/>
        <w:t>1. Описание на МИГ:</w:t>
      </w:r>
      <w:bookmarkEnd w:id="0"/>
      <w:bookmarkEnd w:id="1"/>
    </w:p>
    <w:p w:rsidR="009329C9" w:rsidRDefault="00B5212B">
      <w:pPr>
        <w:pStyle w:val="2"/>
        <w:spacing w:before="0"/>
        <w:ind w:right="-1"/>
        <w:jc w:val="both"/>
        <w:rPr>
          <w:rFonts w:ascii="Times New Roman" w:hAnsi="Times New Roman" w:cs="Times New Roman"/>
          <w:b/>
          <w:color w:val="auto"/>
          <w:sz w:val="24"/>
          <w:szCs w:val="24"/>
        </w:rPr>
      </w:pPr>
      <w:bookmarkStart w:id="2" w:name="_Toc448392274"/>
      <w:bookmarkStart w:id="3" w:name="_Toc449349416"/>
      <w:r>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1.1.1. Списък на общините, обхванати от МИГ;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Територията на МИГ „Свиленград Ареал“ изцяло съвпада с територията на община Свиленград и е с непрекъснати граници. Община Свиленград е част от област Хасково и съответно от Южен Централен район на планиране. Намира се в южната част на областта, като на североизток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В североизточния край са склоновете на Сакар планина, на югозапад - Източните Родопи, територията включва и части от Горно-Тракийската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 87,47% от площта на МИГ е със статут на защитени зони и е включена в Натура 2000.Разположението на територията на МИГ „Свиленград Ареал“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1.1.2. Списък на населените места, обхванати от МИГ;</w:t>
      </w:r>
      <w:r>
        <w:rPr>
          <w:rFonts w:ascii="Times New Roman" w:hAnsi="Times New Roman" w:cs="Times New Roman"/>
          <w:b/>
          <w:color w:val="auto"/>
          <w:sz w:val="24"/>
          <w:szCs w:val="24"/>
        </w:rPr>
        <w:tab/>
      </w:r>
      <w:bookmarkStart w:id="4" w:name="_Toc448392275"/>
      <w:bookmarkStart w:id="5" w:name="_Toc449349417"/>
    </w:p>
    <w:p w:rsidR="009329C9" w:rsidRDefault="00B5212B">
      <w:pPr>
        <w:rPr>
          <w:rFonts w:ascii="Times New Roman" w:hAnsi="Times New Roman" w:cs="Times New Roman"/>
          <w:i/>
          <w:sz w:val="24"/>
          <w:szCs w:val="24"/>
        </w:rPr>
      </w:pPr>
      <w:r>
        <w:rPr>
          <w:rFonts w:ascii="Times New Roman" w:eastAsia="Calibri" w:hAnsi="Times New Roman" w:cs="Times New Roman"/>
          <w:sz w:val="24"/>
          <w:szCs w:val="24"/>
          <w:lang w:eastAsia="en-US"/>
        </w:rPr>
        <w:t>Територията на МИГ обхваща 24 населени места: град Свиленград и 23 села. Съгласно Наредба № 14/01.04.2003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Pr>
          <w:rFonts w:ascii="Times New Roman" w:eastAsia="Calibri" w:hAnsi="Times New Roman" w:cs="Times New Roman"/>
          <w:bCs/>
          <w:sz w:val="24"/>
          <w:szCs w:val="24"/>
          <w:lang w:eastAsia="en-US"/>
        </w:rPr>
        <w:t>Според Заповед № РД-02-14-2021/14 август 2012 г. (обн. ДВ, бр. 66, 28.08.2012 г., неофициален раздел) на МРРБ за категоризацията на населените места, Свиленград (HKV28)  е определен за 2-ра категория община.</w:t>
      </w:r>
      <w:r>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329C9" w:rsidRDefault="00B5212B">
      <w:pPr>
        <w:spacing w:after="0"/>
        <w:rPr>
          <w:rFonts w:ascii="Times New Roman" w:hAnsi="Times New Roman" w:cs="Times New Roman"/>
          <w:i/>
          <w:sz w:val="24"/>
          <w:szCs w:val="24"/>
        </w:rPr>
      </w:pPr>
      <w:r>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9329C9">
        <w:tc>
          <w:tcPr>
            <w:tcW w:w="1134"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ЕКАТТЕ</w:t>
            </w:r>
          </w:p>
        </w:tc>
        <w:tc>
          <w:tcPr>
            <w:tcW w:w="1985"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Населено място</w:t>
            </w:r>
          </w:p>
        </w:tc>
        <w:tc>
          <w:tcPr>
            <w:tcW w:w="1819"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 xml:space="preserve">Площ на </w:t>
            </w:r>
          </w:p>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Землището кm</w:t>
            </w:r>
            <w:r>
              <w:rPr>
                <w:rFonts w:ascii="Times New Roman" w:eastAsia="Calibri" w:hAnsi="Times New Roman" w:cs="Times New Roman"/>
                <w:b/>
                <w:bCs/>
                <w:vertAlign w:val="superscript"/>
                <w:lang w:eastAsia="en-US"/>
              </w:rPr>
              <w:t>2</w:t>
            </w:r>
          </w:p>
        </w:tc>
        <w:tc>
          <w:tcPr>
            <w:tcW w:w="1134"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ЕКАТТЕ</w:t>
            </w:r>
          </w:p>
        </w:tc>
        <w:tc>
          <w:tcPr>
            <w:tcW w:w="1866"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Населено място</w:t>
            </w:r>
          </w:p>
        </w:tc>
        <w:tc>
          <w:tcPr>
            <w:tcW w:w="1808" w:type="dxa"/>
          </w:tcPr>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 xml:space="preserve">Площ на </w:t>
            </w:r>
          </w:p>
          <w:p w:rsidR="009329C9" w:rsidRDefault="00B5212B">
            <w:pPr>
              <w:spacing w:after="0"/>
              <w:rPr>
                <w:rFonts w:ascii="Times New Roman" w:eastAsia="Calibri" w:hAnsi="Times New Roman" w:cs="Times New Roman"/>
                <w:b/>
                <w:bCs/>
                <w:lang w:eastAsia="en-US"/>
              </w:rPr>
            </w:pPr>
            <w:r>
              <w:rPr>
                <w:rFonts w:ascii="Times New Roman" w:eastAsia="Calibri" w:hAnsi="Times New Roman" w:cs="Times New Roman"/>
                <w:b/>
                <w:bCs/>
                <w:lang w:eastAsia="en-US"/>
              </w:rPr>
              <w:t>Землищетокм</w:t>
            </w:r>
            <w:r>
              <w:rPr>
                <w:rFonts w:ascii="Times New Roman" w:eastAsia="Calibri" w:hAnsi="Times New Roman" w:cs="Times New Roman"/>
                <w:b/>
                <w:bCs/>
                <w:vertAlign w:val="superscript"/>
                <w:lang w:eastAsia="en-US"/>
              </w:rPr>
              <w:t>2</w:t>
            </w:r>
          </w:p>
        </w:tc>
      </w:tr>
      <w:tr w:rsidR="009329C9">
        <w:tc>
          <w:tcPr>
            <w:tcW w:w="1134" w:type="dxa"/>
          </w:tcPr>
          <w:p w:rsidR="009329C9" w:rsidRDefault="00B5212B">
            <w:pPr>
              <w:spacing w:after="0"/>
              <w:rPr>
                <w:rFonts w:ascii="Times New Roman" w:hAnsi="Times New Roman" w:cs="Times New Roman"/>
                <w:bCs/>
              </w:rPr>
            </w:pPr>
            <w:r>
              <w:rPr>
                <w:rFonts w:ascii="Times New Roman" w:hAnsi="Times New Roman" w:cs="Times New Roman"/>
                <w:bCs/>
              </w:rPr>
              <w:t>10152</w:t>
            </w:r>
          </w:p>
        </w:tc>
        <w:tc>
          <w:tcPr>
            <w:tcW w:w="1985"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Варник</w:t>
            </w:r>
          </w:p>
        </w:tc>
        <w:tc>
          <w:tcPr>
            <w:tcW w:w="1819"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8,255</w:t>
            </w:r>
          </w:p>
        </w:tc>
        <w:tc>
          <w:tcPr>
            <w:tcW w:w="1134" w:type="dxa"/>
          </w:tcPr>
          <w:p w:rsidR="009329C9" w:rsidRDefault="00B5212B">
            <w:pPr>
              <w:spacing w:after="0"/>
              <w:rPr>
                <w:rFonts w:ascii="Times New Roman" w:hAnsi="Times New Roman" w:cs="Times New Roman"/>
                <w:bCs/>
              </w:rPr>
            </w:pPr>
            <w:r>
              <w:rPr>
                <w:rFonts w:ascii="Times New Roman" w:hAnsi="Times New Roman" w:cs="Times New Roman"/>
                <w:bCs/>
              </w:rPr>
              <w:t>48979</w:t>
            </w:r>
          </w:p>
        </w:tc>
        <w:tc>
          <w:tcPr>
            <w:tcW w:w="1866"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Момково</w:t>
            </w:r>
          </w:p>
        </w:tc>
        <w:tc>
          <w:tcPr>
            <w:tcW w:w="1808" w:type="dxa"/>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30,052</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14708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Генералово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12,291</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49446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Мустрак</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14,594</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20674</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Дервишка могила</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40,257</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55645</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Пашово</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13,090</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21078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Димитровче</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28,330</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59183</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Пъстрогор</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23,471</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36110</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Капитан Андреево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28,541</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61131</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Равна гора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16,859</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39001</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Костур</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30,194</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61844</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Райкова могила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21,976</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43205</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Левка</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42,017</w:t>
            </w:r>
          </w:p>
        </w:tc>
        <w:tc>
          <w:tcPr>
            <w:tcW w:w="1134" w:type="dxa"/>
          </w:tcPr>
          <w:p w:rsidR="009329C9" w:rsidRDefault="00B5212B">
            <w:pPr>
              <w:spacing w:after="0" w:line="240" w:lineRule="auto"/>
              <w:rPr>
                <w:rFonts w:ascii="Times New Roman" w:eastAsia="Calibri" w:hAnsi="Times New Roman" w:cs="Times New Roman"/>
                <w:b/>
                <w:bCs/>
                <w:lang w:eastAsia="en-US"/>
              </w:rPr>
            </w:pPr>
            <w:r>
              <w:rPr>
                <w:rFonts w:ascii="Times New Roman" w:eastAsia="Times New Roman" w:hAnsi="Times New Roman" w:cs="Times New Roman"/>
                <w:bCs/>
              </w:rPr>
              <w:t>65677</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b/>
                <w:bCs/>
                <w:lang w:eastAsia="en-US"/>
              </w:rPr>
              <w:t>Свиленград</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79,686</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43877</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Лисово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22,338</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66370</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Сива река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24,798</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47468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Маточина</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26,011</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67146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Сладун</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35,653</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47737</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Мезек</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36,517</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70055</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Студена</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69,536</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48533</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Михалич</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21,975</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81116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Чернодъб</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16,553</w:t>
            </w:r>
          </w:p>
        </w:tc>
      </w:tr>
      <w:tr w:rsidR="009329C9">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48698</w:t>
            </w:r>
          </w:p>
        </w:tc>
        <w:tc>
          <w:tcPr>
            <w:tcW w:w="1985"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Младиново</w:t>
            </w:r>
          </w:p>
        </w:tc>
        <w:tc>
          <w:tcPr>
            <w:tcW w:w="1819"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31,270</w:t>
            </w:r>
          </w:p>
        </w:tc>
        <w:tc>
          <w:tcPr>
            <w:tcW w:w="1134"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84036</w:t>
            </w:r>
          </w:p>
        </w:tc>
        <w:tc>
          <w:tcPr>
            <w:tcW w:w="186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Щит</w:t>
            </w:r>
          </w:p>
        </w:tc>
        <w:tc>
          <w:tcPr>
            <w:tcW w:w="1808"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26,051</w:t>
            </w:r>
          </w:p>
        </w:tc>
      </w:tr>
    </w:tbl>
    <w:p w:rsidR="009329C9" w:rsidRDefault="00B5212B">
      <w:pPr>
        <w:rPr>
          <w:rFonts w:ascii="Times New Roman" w:hAnsi="Times New Roman" w:cs="Times New Roman"/>
          <w:i/>
          <w:sz w:val="24"/>
          <w:szCs w:val="24"/>
        </w:rPr>
      </w:pPr>
      <w:r>
        <w:rPr>
          <w:rFonts w:ascii="Times New Roman" w:hAnsi="Times New Roman" w:cs="Times New Roman"/>
          <w:i/>
          <w:sz w:val="24"/>
          <w:szCs w:val="24"/>
        </w:rPr>
        <w:t>Източник НСИ</w:t>
      </w:r>
    </w:p>
    <w:p w:rsidR="009329C9" w:rsidRDefault="00B5212B">
      <w:pPr>
        <w:rPr>
          <w:rFonts w:ascii="Times New Roman" w:eastAsiaTheme="majorEastAsia" w:hAnsi="Times New Roman" w:cs="Times New Roman"/>
          <w:b/>
          <w:sz w:val="24"/>
          <w:szCs w:val="24"/>
        </w:rPr>
      </w:pPr>
      <w:r>
        <w:rPr>
          <w:rFonts w:ascii="Times New Roman" w:hAnsi="Times New Roman" w:cs="Times New Roman"/>
          <w:b/>
          <w:sz w:val="24"/>
          <w:szCs w:val="24"/>
        </w:rPr>
        <w:lastRenderedPageBreak/>
        <w:t>1.1.3 Брой жители на териториите, обхванати от МИГ.</w:t>
      </w:r>
    </w:p>
    <w:p w:rsidR="009329C9" w:rsidRDefault="00B5212B">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Населението на община Свиленград по данни на НСИ към </w:t>
      </w:r>
      <w:r>
        <w:rPr>
          <w:rFonts w:ascii="Times New Roman" w:eastAsia="Calibri" w:hAnsi="Times New Roman" w:cs="Times New Roman"/>
          <w:b/>
          <w:sz w:val="24"/>
          <w:szCs w:val="24"/>
          <w:lang w:eastAsia="en-US"/>
        </w:rPr>
        <w:t>31.12.2016 година</w:t>
      </w:r>
      <w:r>
        <w:rPr>
          <w:rFonts w:ascii="Times New Roman" w:eastAsia="Calibri" w:hAnsi="Times New Roman" w:cs="Times New Roman"/>
          <w:sz w:val="24"/>
          <w:szCs w:val="24"/>
          <w:lang w:eastAsia="en-US"/>
        </w:rPr>
        <w:t xml:space="preserve"> е </w:t>
      </w:r>
      <w:r>
        <w:rPr>
          <w:rFonts w:ascii="Times New Roman" w:eastAsia="Calibri" w:hAnsi="Times New Roman" w:cs="Times New Roman"/>
          <w:bCs/>
          <w:sz w:val="24"/>
          <w:szCs w:val="24"/>
          <w:lang w:eastAsia="en-US"/>
        </w:rPr>
        <w:t>22 </w:t>
      </w:r>
      <w:r>
        <w:rPr>
          <w:rFonts w:ascii="Times New Roman" w:eastAsia="Calibri" w:hAnsi="Times New Roman" w:cs="Times New Roman"/>
          <w:bCs/>
          <w:sz w:val="24"/>
          <w:szCs w:val="24"/>
          <w:lang w:val="en-US" w:eastAsia="en-US"/>
        </w:rPr>
        <w:t>234</w:t>
      </w:r>
      <w:r>
        <w:rPr>
          <w:rFonts w:ascii="Times New Roman" w:eastAsia="Calibri" w:hAnsi="Times New Roman" w:cs="Times New Roman"/>
          <w:bCs/>
          <w:sz w:val="24"/>
          <w:szCs w:val="24"/>
          <w:lang w:eastAsia="en-US"/>
        </w:rPr>
        <w:t xml:space="preserve"> души</w:t>
      </w:r>
      <w:r>
        <w:rPr>
          <w:rFonts w:ascii="Times New Roman" w:eastAsia="Calibri" w:hAnsi="Times New Roman" w:cs="Times New Roman"/>
          <w:sz w:val="24"/>
          <w:szCs w:val="24"/>
          <w:lang w:eastAsia="en-US"/>
        </w:rPr>
        <w:t>, което е 9,4% от цялото население на областта и с което терторията на МИГ се нарежда на четвърто място в област Хасково. В град Свиленград живеят 17 754 души, а в селата – 4480. Гъстотата на населението е 32,6 д/м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 слабо населена спрямо общата гъстота за областта - 42,7 д/м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и тази за страната - 65,3д/м</w:t>
      </w:r>
      <w:r>
        <w:rPr>
          <w:rFonts w:ascii="Times New Roman" w:eastAsia="Calibri" w:hAnsi="Times New Roman" w:cs="Times New Roman"/>
          <w:sz w:val="24"/>
          <w:szCs w:val="24"/>
          <w:vertAlign w:val="superscript"/>
          <w:lang w:eastAsia="en-US"/>
        </w:rPr>
        <w:t>2</w:t>
      </w:r>
      <w:r>
        <w:rPr>
          <w:rFonts w:ascii="Times New Roman" w:eastAsia="Calibri" w:hAnsi="Times New Roman" w:cs="Times New Roman"/>
          <w:sz w:val="24"/>
          <w:szCs w:val="24"/>
          <w:lang w:eastAsia="en-US"/>
        </w:rPr>
        <w:t>.</w:t>
      </w:r>
    </w:p>
    <w:p w:rsidR="009329C9" w:rsidRDefault="00B5212B">
      <w:pPr>
        <w:jc w:val="both"/>
        <w:rPr>
          <w:rFonts w:ascii="Times New Roman" w:eastAsia="Calibri" w:hAnsi="Times New Roman" w:cs="Times New Roman"/>
          <w:sz w:val="24"/>
          <w:szCs w:val="24"/>
          <w:lang w:eastAsia="en-US"/>
        </w:rPr>
      </w:pPr>
      <w:r>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9329C9">
        <w:tc>
          <w:tcPr>
            <w:tcW w:w="1276"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lang w:eastAsia="en-US"/>
              </w:rPr>
              <w:t>ЕКАТТЕ</w:t>
            </w:r>
          </w:p>
        </w:tc>
        <w:tc>
          <w:tcPr>
            <w:tcW w:w="2126"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Населено място</w:t>
            </w:r>
          </w:p>
        </w:tc>
        <w:tc>
          <w:tcPr>
            <w:tcW w:w="1560"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Население</w:t>
            </w:r>
            <w:r>
              <w:rPr>
                <w:rFonts w:ascii="Times New Roman" w:eastAsia="Calibri" w:hAnsi="Times New Roman" w:cs="Times New Roman"/>
                <w:b/>
                <w:bCs/>
                <w:sz w:val="18"/>
                <w:szCs w:val="18"/>
                <w:lang w:eastAsia="en-US"/>
              </w:rPr>
              <w:br/>
            </w:r>
          </w:p>
        </w:tc>
        <w:tc>
          <w:tcPr>
            <w:tcW w:w="1417"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lang w:eastAsia="en-US"/>
              </w:rPr>
              <w:t>ЕКАТТЕ</w:t>
            </w:r>
          </w:p>
        </w:tc>
        <w:tc>
          <w:tcPr>
            <w:tcW w:w="1701"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Населено място</w:t>
            </w:r>
          </w:p>
        </w:tc>
        <w:tc>
          <w:tcPr>
            <w:tcW w:w="1276" w:type="dxa"/>
          </w:tcPr>
          <w:p w:rsidR="009329C9" w:rsidRDefault="00B5212B">
            <w:pPr>
              <w:spacing w:after="0" w:line="240" w:lineRule="auto"/>
              <w:rPr>
                <w:rFonts w:ascii="Times New Roman" w:eastAsia="Calibri" w:hAnsi="Times New Roman" w:cs="Times New Roman"/>
                <w:b/>
                <w:bCs/>
                <w:sz w:val="18"/>
                <w:szCs w:val="18"/>
                <w:lang w:eastAsia="en-US"/>
              </w:rPr>
            </w:pPr>
            <w:r>
              <w:rPr>
                <w:rFonts w:ascii="Times New Roman" w:eastAsia="Calibri" w:hAnsi="Times New Roman" w:cs="Times New Roman"/>
                <w:b/>
                <w:bCs/>
                <w:sz w:val="18"/>
                <w:szCs w:val="18"/>
                <w:lang w:eastAsia="en-US"/>
              </w:rPr>
              <w:t>Население</w:t>
            </w:r>
            <w:r>
              <w:rPr>
                <w:rFonts w:ascii="Times New Roman" w:eastAsia="Calibri" w:hAnsi="Times New Roman" w:cs="Times New Roman"/>
                <w:b/>
                <w:bCs/>
                <w:sz w:val="18"/>
                <w:szCs w:val="18"/>
                <w:lang w:eastAsia="en-US"/>
              </w:rPr>
              <w:br/>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10152</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Варник</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48979</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Момково</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574</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14708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Генералово</w:t>
            </w:r>
          </w:p>
        </w:tc>
        <w:tc>
          <w:tcPr>
            <w:tcW w:w="1560" w:type="dxa"/>
          </w:tcPr>
          <w:p w:rsidR="009329C9" w:rsidRDefault="00B5212B">
            <w:pPr>
              <w:spacing w:after="0" w:line="240" w:lineRule="auto"/>
              <w:rPr>
                <w:rFonts w:ascii="Times New Roman" w:eastAsia="Calibri" w:hAnsi="Times New Roman" w:cs="Times New Roman"/>
                <w:lang w:val="en-US" w:eastAsia="en-US"/>
              </w:rPr>
            </w:pPr>
            <w:r>
              <w:rPr>
                <w:rFonts w:ascii="Times New Roman" w:eastAsia="Calibri" w:hAnsi="Times New Roman" w:cs="Times New Roman"/>
                <w:lang w:eastAsia="en-US"/>
              </w:rPr>
              <w:t>1</w:t>
            </w:r>
            <w:r>
              <w:rPr>
                <w:rFonts w:ascii="Times New Roman" w:eastAsia="Calibri" w:hAnsi="Times New Roman" w:cs="Times New Roman"/>
                <w:lang w:val="en-US" w:eastAsia="en-US"/>
              </w:rPr>
              <w:t>61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49446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Мустрак</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216</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20674</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Дервишка могила</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19</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55645</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Пашово</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9</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21078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Димитровче</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231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59183</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Пъстрогор</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152</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36110</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Капитан Андреево</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843</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61131</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Равна гора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39001</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Костур</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61844</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Райкова могила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221</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43205</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Левка</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415</w:t>
            </w:r>
          </w:p>
        </w:tc>
        <w:tc>
          <w:tcPr>
            <w:tcW w:w="1417" w:type="dxa"/>
          </w:tcPr>
          <w:p w:rsidR="009329C9" w:rsidRDefault="00B5212B">
            <w:pPr>
              <w:spacing w:after="0" w:line="240" w:lineRule="auto"/>
              <w:rPr>
                <w:rFonts w:ascii="Times New Roman" w:eastAsia="Calibri" w:hAnsi="Times New Roman" w:cs="Times New Roman"/>
                <w:b/>
                <w:bCs/>
                <w:lang w:eastAsia="en-US"/>
              </w:rPr>
            </w:pPr>
            <w:r>
              <w:rPr>
                <w:rFonts w:ascii="Times New Roman" w:eastAsia="Times New Roman" w:hAnsi="Times New Roman" w:cs="Times New Roman"/>
                <w:bCs/>
              </w:rPr>
              <w:t>65677</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b/>
                <w:bCs/>
                <w:lang w:eastAsia="en-US"/>
              </w:rPr>
              <w:t>Свиленград</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Times New Roman" w:hAnsi="Times New Roman" w:cs="Times New Roman"/>
                <w:bCs/>
                <w:sz w:val="23"/>
                <w:szCs w:val="23"/>
              </w:rPr>
              <w:t>17 754</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43877</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Лисово</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6</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66370</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Сива река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185</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47468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Маточина</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67146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Сладун</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133</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47737</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Мезек</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231</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70055</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Студена</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471</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48533</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Михалич</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38</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81116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Чернодъб</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83</w:t>
            </w:r>
          </w:p>
        </w:tc>
      </w:tr>
      <w:tr w:rsidR="009329C9">
        <w:tc>
          <w:tcPr>
            <w:tcW w:w="1276"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48698</w:t>
            </w:r>
          </w:p>
        </w:tc>
        <w:tc>
          <w:tcPr>
            <w:tcW w:w="212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Младиново</w:t>
            </w:r>
          </w:p>
        </w:tc>
        <w:tc>
          <w:tcPr>
            <w:tcW w:w="1560"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309</w:t>
            </w:r>
          </w:p>
        </w:tc>
        <w:tc>
          <w:tcPr>
            <w:tcW w:w="1417" w:type="dxa"/>
          </w:tcPr>
          <w:p w:rsidR="009329C9" w:rsidRDefault="00B5212B">
            <w:pPr>
              <w:spacing w:after="0" w:line="240" w:lineRule="auto"/>
              <w:rPr>
                <w:rFonts w:ascii="Times New Roman" w:hAnsi="Times New Roman" w:cs="Times New Roman"/>
                <w:bCs/>
              </w:rPr>
            </w:pPr>
            <w:r>
              <w:rPr>
                <w:rFonts w:ascii="Times New Roman" w:hAnsi="Times New Roman" w:cs="Times New Roman"/>
                <w:bCs/>
              </w:rPr>
              <w:t>84036</w:t>
            </w:r>
          </w:p>
        </w:tc>
        <w:tc>
          <w:tcPr>
            <w:tcW w:w="1701"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Щит</w:t>
            </w:r>
          </w:p>
        </w:tc>
        <w:tc>
          <w:tcPr>
            <w:tcW w:w="1276" w:type="dxa"/>
          </w:tcPr>
          <w:p w:rsidR="009329C9" w:rsidRDefault="00B5212B">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100</w:t>
            </w:r>
          </w:p>
        </w:tc>
      </w:tr>
    </w:tbl>
    <w:p w:rsidR="009329C9" w:rsidRDefault="00B5212B">
      <w:pPr>
        <w:rPr>
          <w:rFonts w:ascii="Times New Roman" w:hAnsi="Times New Roman" w:cs="Times New Roman"/>
          <w:i/>
          <w:sz w:val="24"/>
          <w:szCs w:val="24"/>
        </w:rPr>
      </w:pPr>
      <w:r>
        <w:rPr>
          <w:rFonts w:ascii="Times New Roman" w:hAnsi="Times New Roman" w:cs="Times New Roman"/>
          <w:i/>
          <w:sz w:val="24"/>
          <w:szCs w:val="24"/>
        </w:rPr>
        <w:t>Източник НСИ</w:t>
      </w:r>
      <w:r>
        <w:rPr>
          <w:rFonts w:ascii="Times New Roman" w:hAnsi="Times New Roman" w:cs="Times New Roman"/>
          <w:i/>
          <w:sz w:val="24"/>
          <w:szCs w:val="24"/>
          <w:lang w:val="en-US"/>
        </w:rPr>
        <w:t xml:space="preserve"> 2016</w:t>
      </w:r>
      <w:r>
        <w:rPr>
          <w:rFonts w:ascii="Times New Roman" w:hAnsi="Times New Roman" w:cs="Times New Roman"/>
          <w:i/>
          <w:sz w:val="24"/>
          <w:szCs w:val="24"/>
        </w:rPr>
        <w:t>, ТСБ Хасково 2016</w:t>
      </w:r>
    </w:p>
    <w:p w:rsidR="009329C9" w:rsidRDefault="00B5212B">
      <w:pPr>
        <w:pStyle w:val="2"/>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1.2. Карта на територията:</w:t>
      </w:r>
      <w:bookmarkEnd w:id="4"/>
      <w:bookmarkEnd w:id="5"/>
    </w:p>
    <w:p w:rsidR="009329C9" w:rsidRDefault="009329C9">
      <w:pPr>
        <w:rPr>
          <w:rFonts w:ascii="Times New Roman" w:hAnsi="Times New Roman" w:cs="Times New Roman"/>
          <w:b/>
          <w:sz w:val="24"/>
          <w:szCs w:val="24"/>
        </w:rPr>
      </w:pPr>
    </w:p>
    <w:p w:rsidR="009329C9" w:rsidRDefault="00B5212B">
      <w:pPr>
        <w:autoSpaceDE w:val="0"/>
        <w:autoSpaceDN w:val="0"/>
        <w:adjustRightInd w:val="0"/>
        <w:spacing w:after="120"/>
        <w:ind w:right="-1"/>
        <w:jc w:val="both"/>
        <w:rPr>
          <w:rFonts w:ascii="Times New Roman" w:eastAsia="Calibri" w:hAnsi="Times New Roman" w:cs="Times New Roman"/>
          <w:sz w:val="24"/>
          <w:szCs w:val="24"/>
        </w:rPr>
      </w:pPr>
      <w:r>
        <w:rPr>
          <w:rFonts w:ascii="Times New Roman" w:eastAsia="Times New Roman" w:hAnsi="Times New Roman" w:cs="Times New Roman"/>
          <w:noProof/>
          <w:sz w:val="23"/>
          <w:szCs w:val="23"/>
        </w:rPr>
        <w:drawing>
          <wp:inline distT="0" distB="0" distL="0" distR="0">
            <wp:extent cx="2681605" cy="25031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84365" cy="2506030"/>
                    </a:xfrm>
                    <a:prstGeom prst="rect">
                      <a:avLst/>
                    </a:prstGeom>
                    <a:noFill/>
                    <a:ln>
                      <a:noFill/>
                    </a:ln>
                  </pic:spPr>
                </pic:pic>
              </a:graphicData>
            </a:graphic>
          </wp:inline>
        </w:drawing>
      </w:r>
      <w:r>
        <w:rPr>
          <w:rFonts w:ascii="Times New Roman" w:eastAsia="Calibri" w:hAnsi="Times New Roman" w:cs="Times New Roman"/>
          <w:noProof/>
          <w:sz w:val="24"/>
          <w:szCs w:val="24"/>
        </w:rPr>
        <w:drawing>
          <wp:inline distT="0" distB="0" distL="0" distR="0">
            <wp:extent cx="2620010" cy="2241550"/>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ivko_pr\Desktop\karta Svilengrad.png"/>
                    <pic:cNvPicPr>
                      <a:picLocks noChangeAspect="1" noChangeArrowheads="1"/>
                    </pic:cNvPicPr>
                  </pic:nvPicPr>
                  <pic:blipFill>
                    <a:blip r:embed="rId9" cstate="print"/>
                    <a:srcRect b="4965"/>
                    <a:stretch>
                      <a:fillRect/>
                    </a:stretch>
                  </pic:blipFill>
                  <pic:spPr>
                    <a:xfrm>
                      <a:off x="0" y="0"/>
                      <a:ext cx="2620193" cy="2242111"/>
                    </a:xfrm>
                    <a:prstGeom prst="rect">
                      <a:avLst/>
                    </a:prstGeom>
                    <a:noFill/>
                    <a:ln>
                      <a:noFill/>
                    </a:ln>
                  </pic:spPr>
                </pic:pic>
              </a:graphicData>
            </a:graphic>
          </wp:inline>
        </w:drawing>
      </w:r>
    </w:p>
    <w:p w:rsidR="009329C9" w:rsidRDefault="00B5212B">
      <w:pPr>
        <w:rPr>
          <w:rFonts w:ascii="Times New Roman" w:hAnsi="Times New Roman" w:cs="Times New Roman"/>
          <w:b/>
          <w:sz w:val="24"/>
          <w:szCs w:val="24"/>
        </w:rPr>
      </w:pPr>
      <w:bookmarkStart w:id="6" w:name="_Toc448392276"/>
      <w:bookmarkStart w:id="7" w:name="_Toc449349418"/>
      <w:r>
        <w:rPr>
          <w:rFonts w:ascii="Times New Roman" w:hAnsi="Times New Roman" w:cs="Times New Roman"/>
          <w:b/>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Pr>
          <w:rFonts w:ascii="Times New Roman" w:hAnsi="Times New Roman" w:cs="Times New Roman"/>
          <w:color w:val="auto"/>
          <w:sz w:val="24"/>
          <w:szCs w:val="24"/>
        </w:rPr>
        <w:lastRenderedPageBreak/>
        <w:t>2. Описание на процеса на участие на общността в разработване на стратегията:</w:t>
      </w:r>
      <w:bookmarkEnd w:id="6"/>
      <w:bookmarkEnd w:id="7"/>
    </w:p>
    <w:p w:rsidR="009329C9" w:rsidRDefault="00B5212B">
      <w:pPr>
        <w:pStyle w:val="2"/>
        <w:spacing w:before="0"/>
        <w:jc w:val="both"/>
        <w:rPr>
          <w:rFonts w:ascii="Times New Roman" w:hAnsi="Times New Roman" w:cs="Times New Roman"/>
          <w:color w:val="auto"/>
          <w:sz w:val="24"/>
          <w:szCs w:val="24"/>
        </w:rPr>
      </w:pPr>
      <w:bookmarkStart w:id="8" w:name="_Toc448392277"/>
      <w:bookmarkStart w:id="9" w:name="_Toc449349419"/>
      <w:r>
        <w:rPr>
          <w:rFonts w:ascii="Times New Roman" w:hAnsi="Times New Roman" w:cs="Times New Roman"/>
          <w:b/>
          <w:color w:val="auto"/>
          <w:sz w:val="24"/>
          <w:szCs w:val="24"/>
        </w:rPr>
        <w:t>2.1. Описание на процеса – проведени срещи, семинари, конференции, обучения и</w:t>
      </w:r>
    </w:p>
    <w:p w:rsidR="009329C9" w:rsidRDefault="00B5212B">
      <w:pPr>
        <w:pStyle w:val="2"/>
        <w:spacing w:before="0"/>
        <w:jc w:val="both"/>
        <w:rPr>
          <w:rFonts w:ascii="Times New Roman" w:hAnsi="Times New Roman" w:cs="Times New Roman"/>
          <w:b/>
          <w:color w:val="auto"/>
          <w:sz w:val="24"/>
          <w:szCs w:val="24"/>
        </w:rPr>
      </w:pPr>
      <w:r>
        <w:rPr>
          <w:rFonts w:ascii="Times New Roman" w:hAnsi="Times New Roman" w:cs="Times New Roman"/>
          <w:b/>
          <w:color w:val="auto"/>
          <w:sz w:val="24"/>
          <w:szCs w:val="24"/>
        </w:rPr>
        <w:t>обществени обсъждания:</w:t>
      </w:r>
      <w:bookmarkEnd w:id="8"/>
      <w:bookmarkEnd w:id="9"/>
    </w:p>
    <w:p w:rsidR="009329C9" w:rsidRDefault="00B5212B">
      <w:pPr>
        <w:pStyle w:val="af4"/>
        <w:numPr>
          <w:ilvl w:val="2"/>
          <w:numId w:val="1"/>
        </w:numPr>
        <w:spacing w:after="0"/>
        <w:ind w:right="-1"/>
        <w:jc w:val="both"/>
        <w:rPr>
          <w:rFonts w:ascii="Times New Roman" w:hAnsi="Times New Roman" w:cs="Times New Roman"/>
          <w:b/>
          <w:sz w:val="24"/>
          <w:szCs w:val="24"/>
        </w:rPr>
      </w:pPr>
      <w:r>
        <w:rPr>
          <w:rFonts w:ascii="Times New Roman" w:hAnsi="Times New Roman" w:cs="Times New Roman"/>
          <w:b/>
          <w:sz w:val="24"/>
          <w:szCs w:val="24"/>
        </w:rPr>
        <w:t>Етапи и дейности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Подготвителнитедейности преминаха през три основни етапа. Отделните етапи са свързани помежду си и частично се припокриват времево и тематично: 1.Проучване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 2. Изработване на първи вариант на</w:t>
      </w:r>
      <w:r w:rsidR="00D01893">
        <w:rPr>
          <w:rFonts w:ascii="Times New Roman" w:hAnsi="Times New Roman" w:cs="Times New Roman"/>
          <w:sz w:val="24"/>
          <w:szCs w:val="24"/>
        </w:rPr>
        <w:t xml:space="preserve"> </w:t>
      </w:r>
      <w:r>
        <w:rPr>
          <w:rFonts w:ascii="Times New Roman" w:hAnsi="Times New Roman" w:cs="Times New Roman"/>
          <w:sz w:val="24"/>
          <w:szCs w:val="24"/>
        </w:rPr>
        <w:t>СВОМР. Проведени са няколко обучения на екипа на МИГ и местните лидери, създадени са експертни групи и са направени обществени обсъждания. Този етап завърши с изготвяне на окончателния вариант на Стратегията. 3. 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 4. Кандидатстване за издаване на решение за преценяване необходимостта от извършване на екологична оценка. Подаване на документи в ИСУН.</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2.1.2Популяризиране процеса на разработка на стратегията</w:t>
      </w:r>
      <w:r>
        <w:rPr>
          <w:rFonts w:ascii="Times New Roman" w:hAnsi="Times New Roman" w:cs="Times New Roman"/>
          <w:sz w:val="24"/>
          <w:szCs w:val="24"/>
        </w:rPr>
        <w:t>.</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периода октомври 2016 г. до февруари 2017г.  бяха проведени: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3 информационни срещи, свързани с консултиране с местната общност:</w:t>
      </w:r>
      <w:r>
        <w:rPr>
          <w:rFonts w:ascii="Times New Roman" w:eastAsia="Calibri" w:hAnsi="Times New Roman" w:cs="Times New Roman"/>
          <w:sz w:val="24"/>
          <w:szCs w:val="24"/>
          <w:lang w:eastAsia="en-US"/>
        </w:rPr>
        <w:t xml:space="preserve"> на 14.12.16г., 22 души: представители на читалища, музей, общ. администрация, обл. информационен център;  на 22.11.16г. с 22 души: земеделски производители –сектор овощарство, животновъдство, растениевъдство, зеленчукопроизводство, пчелари, хлебопроизводители, винопроизводители и др.; на 22.11.16г. с 20 души: председател на УС на МИГ, кметове на села, представители на общинска администрация.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работни срещи, свързани с консултиране за подготовка на СВОМР</w:t>
      </w:r>
      <w:r>
        <w:rPr>
          <w:rFonts w:ascii="Times New Roman" w:eastAsia="Calibri" w:hAnsi="Times New Roman" w:cs="Times New Roman"/>
          <w:b/>
          <w:sz w:val="24"/>
          <w:szCs w:val="24"/>
          <w:lang w:eastAsia="en-US"/>
        </w:rPr>
        <w:t>:</w:t>
      </w:r>
      <w:r>
        <w:rPr>
          <w:rFonts w:ascii="Times New Roman" w:eastAsia="Calibri" w:hAnsi="Times New Roman" w:cs="Times New Roman"/>
          <w:sz w:val="24"/>
          <w:szCs w:val="24"/>
          <w:lang w:eastAsia="en-US"/>
        </w:rPr>
        <w:t xml:space="preserve"> на 21.11.16г. с 10 души: председател на УС на МИГ, представители на занаятчиите в общ. Свиленград, НПО в сектор екология; на 21.11.16г. с 10 души: председател на УС на МИГ, представители на ромската общност, хора с увреждания, Съюза на инвалидите, Дирекция социално подпомагане.</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информационни конференции</w:t>
      </w:r>
      <w:r>
        <w:rPr>
          <w:rFonts w:ascii="Times New Roman" w:eastAsia="Calibri" w:hAnsi="Times New Roman" w:cs="Times New Roman"/>
          <w:b/>
          <w:sz w:val="24"/>
          <w:szCs w:val="24"/>
          <w:u w:val="single"/>
          <w:lang w:eastAsia="en-US"/>
        </w:rPr>
        <w:t>:</w:t>
      </w:r>
      <w:r>
        <w:rPr>
          <w:rFonts w:ascii="Times New Roman" w:eastAsia="Calibri" w:hAnsi="Times New Roman" w:cs="Times New Roman"/>
          <w:sz w:val="24"/>
          <w:szCs w:val="24"/>
          <w:lang w:eastAsia="en-US"/>
        </w:rPr>
        <w:t xml:space="preserve"> на 31.10.16г. – Свиленград с 51 души: председател на УС на МИГ, представители на НПО, земеделски производители, кметове на села и местния бизнес. На 17.02.2017г. - втора информационна конференция за 50 човека в град Свиленград.</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информационни кампании:</w:t>
      </w:r>
      <w:r>
        <w:rPr>
          <w:rFonts w:ascii="Times New Roman" w:eastAsia="Calibri" w:hAnsi="Times New Roman" w:cs="Times New Roman"/>
          <w:sz w:val="24"/>
          <w:szCs w:val="24"/>
          <w:lang w:eastAsia="en-US"/>
        </w:rPr>
        <w:t xml:space="preserve"> 28.10.16г. – с.Левка, 15 души: земеделски производители, публичен сектор, НПО сектор екология, търговия; на 27.10.16г. – с.Момково, 8 души: земеделски производители, публичен сектор, бизнес сектор;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2 информационни срещи/семинари:</w:t>
      </w:r>
      <w:r>
        <w:rPr>
          <w:rFonts w:ascii="Times New Roman" w:eastAsia="Calibri" w:hAnsi="Times New Roman" w:cs="Times New Roman"/>
          <w:sz w:val="24"/>
          <w:szCs w:val="24"/>
          <w:lang w:eastAsia="en-US"/>
        </w:rPr>
        <w:t xml:space="preserve"> на 28.10.16г. – с.Капитан Андреево, 21 души: земеделски производители, строителен сектор, публичен сектор, НПО сектор, търговия, бизнес сектор; на 27.10.16г. – с.Мезек, 21 души: земеделски производители, строителен сектор, публичен сектор, НПО сектор, търговия, бизнес сектор, транспорт, здравеопазване.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финансиране по ПРСР, по ОП „Околна среда“, ОП „Човешки ресурси”, ОПИК и ОПНОИР. Сред местната общност са разпространени информационни материали, всички покани за събития са публикувани на интернет страницата на МИГ и в местните медии с цел да се достигне до по-голям брой заинтересовани лица.</w:t>
      </w:r>
    </w:p>
    <w:p w:rsidR="009329C9" w:rsidRDefault="00B5212B">
      <w:pPr>
        <w:pStyle w:val="af4"/>
        <w:spacing w:after="0"/>
        <w:ind w:left="0" w:right="-1"/>
        <w:jc w:val="both"/>
        <w:rPr>
          <w:rFonts w:ascii="Times New Roman" w:hAnsi="Times New Roman" w:cs="Times New Roman"/>
          <w:sz w:val="24"/>
          <w:szCs w:val="24"/>
        </w:rPr>
      </w:pPr>
      <w:r>
        <w:rPr>
          <w:rFonts w:ascii="Times New Roman" w:hAnsi="Times New Roman" w:cs="Times New Roman"/>
          <w:b/>
          <w:sz w:val="24"/>
          <w:szCs w:val="24"/>
        </w:rPr>
        <w:t>2.1.3Обучение на екипа на МИГ, в т.ч. представители на партньорите и местни лидери</w:t>
      </w:r>
      <w:r>
        <w:rPr>
          <w:rFonts w:ascii="Times New Roman" w:hAnsi="Times New Roman" w:cs="Times New Roman"/>
          <w:sz w:val="24"/>
          <w:szCs w:val="24"/>
        </w:rPr>
        <w:t>.</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lastRenderedPageBreak/>
        <w:t xml:space="preserve">С цел увеличаване на капацитета на екипа на МИГ и представители на партньорите е проведено </w:t>
      </w:r>
      <w:r>
        <w:rPr>
          <w:rFonts w:ascii="Times New Roman" w:eastAsia="Calibri" w:hAnsi="Times New Roman" w:cs="Times New Roman"/>
          <w:sz w:val="24"/>
          <w:szCs w:val="24"/>
          <w:u w:val="single"/>
          <w:lang w:eastAsia="en-US"/>
        </w:rPr>
        <w:t>1 двудневно обучение на екипа на МИГ, вкл. представители на партньорите</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на 15-16.11.2016г., 10 души, на което е поканен проф. д-р Димитър Николов, директор на Института по аграрна икономика в гр.София и всички членове на МИГ. Проведени са и</w:t>
      </w:r>
      <w:r>
        <w:rPr>
          <w:rFonts w:ascii="Times New Roman" w:eastAsia="Calibri" w:hAnsi="Times New Roman" w:cs="Times New Roman"/>
          <w:sz w:val="24"/>
          <w:szCs w:val="24"/>
          <w:u w:val="single"/>
          <w:lang w:eastAsia="en-US"/>
        </w:rPr>
        <w:t>2 обучения на местни лидери:</w:t>
      </w:r>
      <w:r>
        <w:rPr>
          <w:rFonts w:ascii="Times New Roman" w:eastAsia="Calibri" w:hAnsi="Times New Roman" w:cs="Times New Roman"/>
          <w:sz w:val="24"/>
          <w:szCs w:val="24"/>
          <w:lang w:eastAsia="en-US"/>
        </w:rPr>
        <w:t>двудневно на17-18.11.2016г., 21 души, обучението е водено от проф.д-р Димитър Николов с всички заинтересовани представители на земеделските производители, на бизнеса, на местната власт, както и на НПО сектора</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t>2.1.4Разработване и популяризиране на СВОМР. Идентифициране и ангажиране на местните заинтересовани страни.</w:t>
      </w:r>
    </w:p>
    <w:p w:rsidR="009329C9" w:rsidRDefault="00B5212B">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Местната общност беше активно ангажирана в процеса на разработване на Стратегията. Бяха сформирани  експертни групи за подготовка на СВОМРи се проведоха </w:t>
      </w:r>
      <w:r>
        <w:rPr>
          <w:rFonts w:ascii="Times New Roman" w:hAnsi="Times New Roman" w:cs="Times New Roman"/>
          <w:sz w:val="24"/>
          <w:szCs w:val="24"/>
          <w:u w:val="single"/>
        </w:rPr>
        <w:t>3 публични обсъжданияна Стратегията</w:t>
      </w:r>
      <w:r>
        <w:rPr>
          <w:rFonts w:ascii="Times New Roman" w:hAnsi="Times New Roman" w:cs="Times New Roman"/>
          <w:sz w:val="24"/>
          <w:szCs w:val="24"/>
        </w:rPr>
        <w:t xml:space="preserve"> - и трите в гр. С</w:t>
      </w:r>
      <w:r>
        <w:rPr>
          <w:rFonts w:ascii="Times New Roman" w:eastAsia="Calibri" w:hAnsi="Times New Roman" w:cs="Times New Roman"/>
          <w:sz w:val="24"/>
          <w:szCs w:val="24"/>
          <w:lang w:eastAsia="en-US"/>
        </w:rPr>
        <w:t>виленград:</w:t>
      </w:r>
      <w:r>
        <w:rPr>
          <w:rFonts w:ascii="Times New Roman" w:eastAsia="Calibri" w:hAnsi="Times New Roman" w:cs="Times New Roman"/>
          <w:sz w:val="24"/>
          <w:szCs w:val="24"/>
          <w:u w:val="single"/>
          <w:lang w:eastAsia="en-US"/>
        </w:rPr>
        <w:t>на 9.02.2017г.</w:t>
      </w:r>
      <w:r>
        <w:rPr>
          <w:rFonts w:ascii="Times New Roman" w:eastAsia="Calibri" w:hAnsi="Times New Roman" w:cs="Times New Roman"/>
          <w:sz w:val="24"/>
          <w:szCs w:val="24"/>
          <w:lang w:eastAsia="en-US"/>
        </w:rPr>
        <w:t>с 20 души –</w:t>
      </w:r>
      <w:r>
        <w:rPr>
          <w:rFonts w:ascii="Times New Roman" w:eastAsia="Times New Roman" w:hAnsi="Times New Roman" w:cs="Times New Roman"/>
          <w:sz w:val="24"/>
          <w:szCs w:val="24"/>
        </w:rPr>
        <w:t xml:space="preserve">представители на общ. Свиленград, музей, местни медии, сектор туризъм, бизнес, зем. производители, </w:t>
      </w:r>
      <w:r>
        <w:rPr>
          <w:rFonts w:ascii="Times New Roman" w:hAnsi="Times New Roman" w:cs="Times New Roman"/>
          <w:sz w:val="24"/>
          <w:szCs w:val="24"/>
        </w:rPr>
        <w:t>НПО сектор екология</w:t>
      </w:r>
      <w:r>
        <w:rPr>
          <w:rFonts w:ascii="Times New Roman" w:eastAsia="Times New Roman" w:hAnsi="Times New Roman" w:cs="Times New Roman"/>
          <w:sz w:val="24"/>
          <w:szCs w:val="24"/>
        </w:rPr>
        <w:t>, здравеопазване, шивашка промишленост;</w:t>
      </w:r>
      <w:r>
        <w:rPr>
          <w:rFonts w:ascii="Times New Roman" w:hAnsi="Times New Roman" w:cs="Times New Roman"/>
          <w:sz w:val="24"/>
          <w:szCs w:val="24"/>
          <w:u w:val="single"/>
        </w:rPr>
        <w:t>на 10.02.2017г</w:t>
      </w:r>
      <w:r>
        <w:rPr>
          <w:rFonts w:ascii="Times New Roman" w:hAnsi="Times New Roman" w:cs="Times New Roman"/>
          <w:sz w:val="24"/>
          <w:szCs w:val="24"/>
        </w:rPr>
        <w:t xml:space="preserve">. с 20 души –представители на </w:t>
      </w:r>
      <w:r>
        <w:rPr>
          <w:rFonts w:ascii="Times New Roman" w:eastAsia="Times New Roman" w:hAnsi="Times New Roman" w:cs="Times New Roman"/>
          <w:sz w:val="24"/>
          <w:szCs w:val="24"/>
        </w:rPr>
        <w:t xml:space="preserve">общ. Свиленград, пчелари, животновъди,зем. производители, младежи. На втората информационна конференция на </w:t>
      </w:r>
      <w:r>
        <w:rPr>
          <w:rFonts w:ascii="Times New Roman" w:eastAsia="Calibri" w:hAnsi="Times New Roman" w:cs="Times New Roman"/>
          <w:sz w:val="24"/>
          <w:szCs w:val="24"/>
          <w:u w:val="single"/>
          <w:lang w:eastAsia="en-US"/>
        </w:rPr>
        <w:t>17.02.2017г.</w:t>
      </w:r>
      <w:r>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Стратегия  с  </w:t>
      </w:r>
      <w:r>
        <w:rPr>
          <w:rFonts w:ascii="Times New Roman" w:eastAsia="Times New Roman" w:hAnsi="Times New Roman" w:cs="Times New Roman"/>
          <w:sz w:val="24"/>
          <w:szCs w:val="24"/>
        </w:rPr>
        <w:t>представители на общ. Свиленград</w:t>
      </w:r>
      <w:r>
        <w:rPr>
          <w:rFonts w:ascii="Times New Roman" w:hAnsi="Times New Roman" w:cs="Times New Roman"/>
          <w:sz w:val="24"/>
          <w:szCs w:val="24"/>
        </w:rPr>
        <w:t xml:space="preserve">, </w:t>
      </w:r>
      <w:r>
        <w:rPr>
          <w:rFonts w:ascii="Times New Roman" w:eastAsia="Times New Roman" w:hAnsi="Times New Roman" w:cs="Times New Roman"/>
          <w:sz w:val="24"/>
          <w:szCs w:val="24"/>
        </w:rPr>
        <w:t>читалища, зем. производители</w:t>
      </w:r>
      <w:r>
        <w:rPr>
          <w:rFonts w:ascii="Times New Roman" w:hAnsi="Times New Roman" w:cs="Times New Roman"/>
          <w:sz w:val="24"/>
          <w:szCs w:val="24"/>
        </w:rPr>
        <w:t xml:space="preserve">, </w:t>
      </w:r>
      <w:r>
        <w:rPr>
          <w:rFonts w:ascii="Times New Roman" w:eastAsia="Times New Roman" w:hAnsi="Times New Roman" w:cs="Times New Roman"/>
          <w:sz w:val="24"/>
          <w:szCs w:val="24"/>
        </w:rPr>
        <w:t>животновъд</w:t>
      </w:r>
      <w:r>
        <w:rPr>
          <w:rFonts w:ascii="Times New Roman" w:hAnsi="Times New Roman" w:cs="Times New Roman"/>
          <w:sz w:val="24"/>
          <w:szCs w:val="24"/>
        </w:rPr>
        <w:t>и</w:t>
      </w:r>
      <w:r>
        <w:rPr>
          <w:rFonts w:ascii="Times New Roman" w:eastAsia="Times New Roman" w:hAnsi="Times New Roman" w:cs="Times New Roman"/>
          <w:sz w:val="24"/>
          <w:szCs w:val="24"/>
        </w:rPr>
        <w:t xml:space="preserve">, сектор здравеопазване. </w:t>
      </w:r>
      <w:r>
        <w:rPr>
          <w:rFonts w:ascii="Times New Roman" w:hAnsi="Times New Roman" w:cs="Times New Roman"/>
          <w:sz w:val="24"/>
          <w:szCs w:val="24"/>
        </w:rPr>
        <w:t xml:space="preserve">В проявите бяха обхванати </w:t>
      </w:r>
      <w:r>
        <w:rPr>
          <w:rFonts w:ascii="Times New Roman" w:hAnsi="Times New Roman" w:cs="Times New Roman"/>
          <w:b/>
          <w:sz w:val="24"/>
          <w:szCs w:val="24"/>
        </w:rPr>
        <w:t>88% от всички идентифицирани сектори/заинтересовани страни</w:t>
      </w:r>
      <w:r>
        <w:rPr>
          <w:rFonts w:ascii="Times New Roman" w:hAnsi="Times New Roman" w:cs="Times New Roman"/>
          <w:sz w:val="24"/>
          <w:szCs w:val="24"/>
        </w:rPr>
        <w:t>.</w:t>
      </w:r>
      <w:r>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създаване на многофондова стратегия, която обхваща всичкидопустими програми. </w:t>
      </w:r>
    </w:p>
    <w:p w:rsidR="009329C9" w:rsidRDefault="00B5212B">
      <w:pPr>
        <w:pStyle w:val="2"/>
        <w:spacing w:before="0"/>
        <w:ind w:right="-1"/>
        <w:jc w:val="both"/>
        <w:rPr>
          <w:rFonts w:ascii="Times New Roman" w:hAnsi="Times New Roman" w:cs="Times New Roman"/>
          <w:b/>
          <w:color w:val="auto"/>
          <w:sz w:val="24"/>
          <w:szCs w:val="24"/>
        </w:rPr>
      </w:pPr>
      <w:bookmarkStart w:id="10" w:name="_Toc448392278"/>
      <w:bookmarkStart w:id="11" w:name="_Toc449349420"/>
      <w:r>
        <w:rPr>
          <w:rFonts w:ascii="Times New Roman" w:hAnsi="Times New Roman" w:cs="Times New Roman"/>
          <w:b/>
          <w:color w:val="auto"/>
          <w:sz w:val="24"/>
          <w:szCs w:val="24"/>
        </w:rPr>
        <w:t>2.2. Групи/сектори заинтересовани лица, участвали в разработване на стратегията:</w:t>
      </w:r>
      <w:bookmarkEnd w:id="10"/>
      <w:bookmarkEnd w:id="11"/>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рамките на проекта по мярка 19.1 беше проведено проучване и изготвен анализ на заинтересованите страни във връзка с разработването на стратегията. В разработването се включиха </w:t>
      </w:r>
      <w:r>
        <w:rPr>
          <w:rFonts w:ascii="Times New Roman" w:hAnsi="Times New Roman" w:cs="Times New Roman"/>
          <w:b/>
          <w:sz w:val="24"/>
          <w:szCs w:val="24"/>
        </w:rPr>
        <w:t>общо 250души.</w:t>
      </w:r>
      <w:r>
        <w:rPr>
          <w:rFonts w:ascii="Times New Roman" w:hAnsi="Times New Roman" w:cs="Times New Roman"/>
          <w:sz w:val="24"/>
          <w:szCs w:val="24"/>
        </w:rPr>
        <w:t xml:space="preserve">Активно участваха представители на: </w:t>
      </w:r>
      <w:r>
        <w:rPr>
          <w:rFonts w:ascii="Times New Roman" w:hAnsi="Times New Roman" w:cs="Times New Roman"/>
          <w:b/>
          <w:sz w:val="24"/>
          <w:szCs w:val="24"/>
        </w:rPr>
        <w:t>публичен сектор</w:t>
      </w:r>
      <w:r>
        <w:rPr>
          <w:rFonts w:ascii="Times New Roman" w:hAnsi="Times New Roman" w:cs="Times New Roman"/>
          <w:sz w:val="24"/>
          <w:szCs w:val="24"/>
        </w:rPr>
        <w:t xml:space="preserve"> – общинска администрация, </w:t>
      </w:r>
      <w:r>
        <w:rPr>
          <w:rFonts w:ascii="Times New Roman" w:eastAsia="Calibri" w:hAnsi="Times New Roman" w:cs="Times New Roman"/>
          <w:sz w:val="24"/>
          <w:szCs w:val="24"/>
          <w:lang w:eastAsia="en-US"/>
        </w:rPr>
        <w:t xml:space="preserve">кметове на села и кметски наместници; </w:t>
      </w:r>
      <w:r>
        <w:rPr>
          <w:rFonts w:ascii="Times New Roman" w:hAnsi="Times New Roman" w:cs="Times New Roman"/>
          <w:b/>
          <w:sz w:val="24"/>
          <w:szCs w:val="24"/>
        </w:rPr>
        <w:t>стопански сектор</w:t>
      </w:r>
      <w:r>
        <w:rPr>
          <w:rFonts w:ascii="Times New Roman" w:hAnsi="Times New Roman" w:cs="Times New Roman"/>
          <w:sz w:val="24"/>
          <w:szCs w:val="24"/>
        </w:rPr>
        <w:t xml:space="preserve">, включващ зем. производители, животновъди, работещи в обл. на транспорта, услугите, търговията и др., </w:t>
      </w:r>
      <w:r>
        <w:rPr>
          <w:rFonts w:ascii="Times New Roman" w:hAnsi="Times New Roman" w:cs="Times New Roman"/>
          <w:b/>
          <w:sz w:val="24"/>
          <w:szCs w:val="24"/>
        </w:rPr>
        <w:t>нестопански сектор</w:t>
      </w:r>
      <w:r>
        <w:rPr>
          <w:rFonts w:ascii="Times New Roman" w:hAnsi="Times New Roman" w:cs="Times New Roman"/>
          <w:sz w:val="24"/>
          <w:szCs w:val="24"/>
        </w:rPr>
        <w:t xml:space="preserve">, представен предимно от читалища, спортни клубове и НПО, както и представители на </w:t>
      </w:r>
      <w:r>
        <w:rPr>
          <w:rFonts w:ascii="Times New Roman" w:hAnsi="Times New Roman" w:cs="Times New Roman"/>
          <w:b/>
          <w:sz w:val="24"/>
          <w:szCs w:val="24"/>
        </w:rPr>
        <w:t>уязвимите групи и малцинствата</w:t>
      </w:r>
      <w:r>
        <w:rPr>
          <w:rFonts w:ascii="Times New Roman" w:hAnsi="Times New Roman" w:cs="Times New Roman"/>
          <w:sz w:val="24"/>
          <w:szCs w:val="24"/>
        </w:rPr>
        <w:t xml:space="preserve">. При проведените срещи по консултиране, представителите на различните сектори индентифицираха проблемите и потребностите си, като направиха предложения за включените мерки. Стопанският сектор –зем. производители, животновъди, секторите транспорт, услуги, търговия и др. предложиха за влючване на мерките 4.1,4.2 и 6.4 от ПРСР, както и предвиждането на възможности за кандидатстване по мерките на ОПИК. Земеделските производители и животновъдите индентифицираха техните потребности с мерки 4.1 и 4.2.Представителите на публичния и нестопанския сектор предложиха включването на мерките 7.2 и 7.5 от ПРСР, които напълно отговарят на техните потребности.Бизнесът с неземеделски дейности определи като отговаряща на техните нужди мярка 6.4. Нестопанският сектор, представен от читалища, спортни клубове и занаятчии изразиха мнения за необходимост от включване на нова мярка, целяща насърчаване на инициативи за изучаване и съхраняване на културното наследство и природните дадености. За нуждите на уязвимите групи беше предложено финансиране по ОПРЧР и ОПНОИР. С оглед на високия процент площи от територията на МИГ в рамките на Натура 2000 беше взето решение за включване на финансиране и от ОПОС. </w:t>
      </w:r>
      <w:bookmarkStart w:id="12" w:name="_Toc449349421"/>
      <w:bookmarkStart w:id="13" w:name="_Toc448392279"/>
      <w:r>
        <w:rPr>
          <w:rFonts w:ascii="Times New Roman" w:hAnsi="Times New Roman" w:cs="Times New Roman"/>
          <w:sz w:val="24"/>
          <w:szCs w:val="24"/>
        </w:rPr>
        <w:t xml:space="preserve">Стратегията за ВОМР бе подкрепена от </w:t>
      </w:r>
      <w:r>
        <w:rPr>
          <w:rFonts w:ascii="Times New Roman" w:hAnsi="Times New Roman" w:cs="Times New Roman"/>
          <w:b/>
          <w:sz w:val="24"/>
          <w:szCs w:val="24"/>
        </w:rPr>
        <w:t>744 жители, което е над 2% от населението</w:t>
      </w:r>
      <w:r>
        <w:rPr>
          <w:rFonts w:ascii="Times New Roman" w:hAnsi="Times New Roman" w:cs="Times New Roman"/>
          <w:sz w:val="24"/>
          <w:szCs w:val="24"/>
        </w:rPr>
        <w:t xml:space="preserve"> на територията на МИГ. </w:t>
      </w:r>
    </w:p>
    <w:p w:rsidR="009329C9" w:rsidRDefault="00B5212B">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9329C9" w:rsidRDefault="00B5212B">
      <w:pPr>
        <w:pStyle w:val="2"/>
        <w:spacing w:before="0"/>
        <w:ind w:right="-1"/>
        <w:jc w:val="both"/>
        <w:rPr>
          <w:rFonts w:ascii="Times New Roman" w:hAnsi="Times New Roman" w:cs="Times New Roman"/>
          <w:b/>
          <w:color w:val="auto"/>
          <w:sz w:val="24"/>
          <w:szCs w:val="24"/>
        </w:rPr>
      </w:pPr>
      <w:bookmarkStart w:id="14" w:name="_Toc448392280"/>
      <w:bookmarkStart w:id="15" w:name="_Toc449349422"/>
      <w:r>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9329C9" w:rsidRDefault="00B5212B">
      <w:pPr>
        <w:tabs>
          <w:tab w:val="left" w:pos="284"/>
        </w:tabs>
        <w:spacing w:after="0"/>
        <w:ind w:right="-1"/>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Природни и географски дадености</w:t>
      </w:r>
      <w:r>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подходящи за отглеждане на разнообразни земеделски култури. Главен воден ресурс е река Марица.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За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територията е включена в Натура 2000. Защитени зони са:  Ждрелото на река Тунджа</w:t>
      </w:r>
      <w:r>
        <w:rPr>
          <w:rFonts w:ascii="Times New Roman" w:eastAsia="Times New Roman" w:hAnsi="Times New Roman" w:cs="Times New Roman"/>
          <w:sz w:val="23"/>
          <w:szCs w:val="23"/>
        </w:rPr>
        <w:t xml:space="preserve"> с код BG0000217</w:t>
      </w:r>
      <w:r>
        <w:rPr>
          <w:rFonts w:ascii="Times New Roman" w:eastAsia="Calibri" w:hAnsi="Times New Roman" w:cs="Times New Roman"/>
          <w:sz w:val="24"/>
          <w:szCs w:val="24"/>
          <w:lang w:eastAsia="en-US"/>
        </w:rPr>
        <w:t xml:space="preserve">, Река Марица с </w:t>
      </w:r>
      <w:r>
        <w:rPr>
          <w:rFonts w:ascii="Times New Roman" w:eastAsia="Times New Roman" w:hAnsi="Times New Roman" w:cs="Times New Roman"/>
          <w:sz w:val="23"/>
          <w:szCs w:val="23"/>
        </w:rPr>
        <w:t>код BG0000578</w:t>
      </w:r>
      <w:r>
        <w:rPr>
          <w:rFonts w:ascii="Times New Roman" w:eastAsia="Calibri" w:hAnsi="Times New Roman" w:cs="Times New Roman"/>
          <w:sz w:val="24"/>
          <w:szCs w:val="24"/>
          <w:lang w:eastAsia="en-US"/>
        </w:rPr>
        <w:t xml:space="preserve">,  Източни Родопи с </w:t>
      </w:r>
      <w:r>
        <w:rPr>
          <w:rFonts w:ascii="Times New Roman" w:eastAsia="Times New Roman" w:hAnsi="Times New Roman" w:cs="Times New Roman"/>
          <w:sz w:val="23"/>
          <w:szCs w:val="23"/>
        </w:rPr>
        <w:t xml:space="preserve">код BG0001032 </w:t>
      </w:r>
      <w:r>
        <w:rPr>
          <w:rFonts w:ascii="Times New Roman" w:eastAsia="Calibri" w:hAnsi="Times New Roman" w:cs="Times New Roman"/>
          <w:sz w:val="24"/>
          <w:szCs w:val="24"/>
          <w:lang w:eastAsia="en-US"/>
        </w:rPr>
        <w:t xml:space="preserve">и Сакар с  </w:t>
      </w:r>
      <w:r>
        <w:rPr>
          <w:rFonts w:ascii="Times New Roman" w:eastAsia="Times New Roman" w:hAnsi="Times New Roman" w:cs="Times New Roman"/>
          <w:sz w:val="23"/>
          <w:szCs w:val="23"/>
        </w:rPr>
        <w:t xml:space="preserve">код BG0000212, всички </w:t>
      </w:r>
      <w:r>
        <w:rPr>
          <w:rFonts w:ascii="Times New Roman" w:eastAsia="Calibri" w:hAnsi="Times New Roman" w:cs="Times New Roman"/>
          <w:sz w:val="24"/>
          <w:szCs w:val="24"/>
          <w:lang w:eastAsia="en-US"/>
        </w:rPr>
        <w:t xml:space="preserve">по Директивата за хабитатите, както и Сакар с </w:t>
      </w:r>
      <w:r>
        <w:rPr>
          <w:rFonts w:ascii="Times New Roman" w:eastAsia="Times New Roman" w:hAnsi="Times New Roman" w:cs="Times New Roman"/>
          <w:sz w:val="23"/>
          <w:szCs w:val="23"/>
        </w:rPr>
        <w:t>код BG0002021</w:t>
      </w:r>
      <w:r>
        <w:rPr>
          <w:rFonts w:ascii="Times New Roman" w:eastAsia="Calibri" w:hAnsi="Times New Roman" w:cs="Times New Roman"/>
          <w:sz w:val="24"/>
          <w:szCs w:val="24"/>
          <w:lang w:eastAsia="en-US"/>
        </w:rPr>
        <w:t>по Директивата за птиците. За по-нататъшното развитие на земеделието има и  благоприятни почвени условия – многообразието е представено основно от алувиално-ливадни почви, канелени горски почви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 и производство на памук и тютюн. На територията на МИГ  няма обекти за добив на подземни богатства и не са установени замърсявания на почвите. Природните дадености са основен потенциал за развитие на земеделието.</w:t>
      </w:r>
    </w:p>
    <w:p w:rsidR="009329C9" w:rsidRDefault="00B5212B">
      <w:pPr>
        <w:tabs>
          <w:tab w:val="left" w:pos="284"/>
        </w:tabs>
        <w:spacing w:after="0"/>
        <w:ind w:right="-1"/>
        <w:jc w:val="both"/>
        <w:rPr>
          <w:rFonts w:ascii="Times New Roman" w:eastAsia="Calibri" w:hAnsi="Times New Roman" w:cs="Times New Roman"/>
          <w:b/>
          <w:sz w:val="24"/>
          <w:szCs w:val="24"/>
          <w:u w:val="single"/>
          <w:lang w:eastAsia="en-US"/>
        </w:rPr>
      </w:pPr>
      <w:r>
        <w:rPr>
          <w:rFonts w:ascii="Times New Roman" w:eastAsia="Calibri" w:hAnsi="Times New Roman" w:cs="Times New Roman"/>
          <w:b/>
          <w:sz w:val="24"/>
          <w:szCs w:val="24"/>
          <w:u w:val="single"/>
          <w:lang w:eastAsia="en-US"/>
        </w:rPr>
        <w:t>Териториално и селищно устройство</w:t>
      </w:r>
      <w:r>
        <w:rPr>
          <w:rFonts w:ascii="Times New Roman" w:eastAsia="Times New Roman" w:hAnsi="Times New Roman" w:cs="Times New Roman"/>
          <w:sz w:val="24"/>
          <w:szCs w:val="24"/>
        </w:rPr>
        <w:t xml:space="preserve"> Общата площ на МИГ „Свиленград Ареал” е 700,316 км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областта.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земеделските земи, на територията на МИГ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9329C9" w:rsidRDefault="00B5212B">
      <w:pPr>
        <w:tabs>
          <w:tab w:val="left" w:pos="284"/>
        </w:tabs>
        <w:spacing w:after="0"/>
        <w:ind w:right="-1"/>
        <w:jc w:val="both"/>
        <w:rPr>
          <w:rFonts w:ascii="Times New Roman" w:eastAsia="Times New Roman" w:hAnsi="Times New Roman" w:cs="Times New Roman"/>
          <w:sz w:val="24"/>
          <w:szCs w:val="24"/>
          <w:lang w:val="en-US"/>
        </w:rPr>
      </w:pPr>
      <w:r>
        <w:rPr>
          <w:rFonts w:ascii="Times New Roman" w:eastAsia="Calibri" w:hAnsi="Times New Roman" w:cs="Times New Roman"/>
          <w:b/>
          <w:sz w:val="24"/>
          <w:szCs w:val="24"/>
          <w:u w:val="single"/>
          <w:lang w:eastAsia="en-US"/>
        </w:rPr>
        <w:t>Население и демографски тенденции.</w:t>
      </w:r>
      <w:r>
        <w:rPr>
          <w:rFonts w:ascii="Times New Roman" w:eastAsia="Calibri" w:hAnsi="Times New Roman" w:cs="Times New Roman"/>
          <w:sz w:val="24"/>
          <w:szCs w:val="24"/>
          <w:lang w:eastAsia="en-US"/>
        </w:rPr>
        <w:t xml:space="preserve"> По данни на НСИ на територията на МИГ „Свиленград Ареал“ към 31.12.2016 г. живеят</w:t>
      </w:r>
      <w:r>
        <w:rPr>
          <w:rFonts w:ascii="Times New Roman" w:eastAsia="Calibri" w:hAnsi="Times New Roman" w:cs="Times New Roman"/>
          <w:bCs/>
          <w:sz w:val="24"/>
          <w:szCs w:val="24"/>
          <w:lang w:eastAsia="en-US"/>
        </w:rPr>
        <w:t>22 234 души</w:t>
      </w:r>
      <w:r>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населението. През 2015-та г. се наблюдава лек превес на възрастното население над това в трудоспособна възраст – под 15 годишна възраст са </w:t>
      </w:r>
      <w:r>
        <w:rPr>
          <w:rFonts w:ascii="Times New Roman" w:eastAsia="Calibri" w:hAnsi="Times New Roman" w:cs="Times New Roman"/>
          <w:bCs/>
          <w:sz w:val="24"/>
          <w:szCs w:val="24"/>
          <w:lang w:eastAsia="en-US"/>
        </w:rPr>
        <w:t>3 306 лица</w:t>
      </w:r>
      <w:r>
        <w:rPr>
          <w:rFonts w:ascii="Times New Roman" w:eastAsia="Calibri" w:hAnsi="Times New Roman" w:cs="Times New Roman"/>
          <w:sz w:val="24"/>
          <w:szCs w:val="24"/>
          <w:lang w:eastAsia="en-US"/>
        </w:rPr>
        <w:t>(13,9%),</w:t>
      </w:r>
      <w:r>
        <w:rPr>
          <w:rFonts w:ascii="Times New Roman" w:eastAsia="Calibri" w:hAnsi="Times New Roman" w:cs="Times New Roman"/>
          <w:bCs/>
          <w:sz w:val="24"/>
          <w:szCs w:val="24"/>
          <w:lang w:eastAsia="en-US"/>
        </w:rPr>
        <w:t xml:space="preserve">, между 15-64 години са 13 689 (62,1%), а над 65 и повече години са 5 457 </w:t>
      </w:r>
      <w:r>
        <w:rPr>
          <w:rFonts w:ascii="Times New Roman" w:eastAsia="Calibri" w:hAnsi="Times New Roman" w:cs="Times New Roman"/>
          <w:sz w:val="24"/>
          <w:szCs w:val="24"/>
          <w:lang w:eastAsia="en-US"/>
        </w:rPr>
        <w:t xml:space="preserve">(24%) </w:t>
      </w:r>
      <w:r>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втората: - увеличаване броя на възрастните спрямо активното население, което създава </w:t>
      </w:r>
      <w:r>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системи.</w:t>
      </w:r>
      <w:r>
        <w:rPr>
          <w:rFonts w:ascii="Times New Roman" w:eastAsia="Calibri" w:hAnsi="Times New Roman" w:cs="Times New Roman"/>
          <w:sz w:val="24"/>
          <w:szCs w:val="24"/>
          <w:lang w:eastAsia="en-US"/>
        </w:rPr>
        <w:t xml:space="preserve">Според данните на НСИ, най-многобройната етническа общност на територията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малко по-висок от този  за обл. Хасково от 7.0%. </w:t>
      </w:r>
      <w:r>
        <w:rPr>
          <w:rFonts w:ascii="Times New Roman" w:eastAsia="Times New Roman" w:hAnsi="Times New Roman" w:cs="Times New Roman"/>
          <w:sz w:val="24"/>
          <w:szCs w:val="24"/>
          <w:lang w:eastAsia="en-US"/>
        </w:rPr>
        <w:t>Сред самоопределилите се като роми, относителният дял на децата и младежите на възраст 0-19 год. е 37.35%, като за сравнение тази възрастова група при самоопределилите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 Демографската картина в общината е идентифицирана като един от проблемите на територията на МИГ, чието решаване е сред целите на стратегията.</w:t>
      </w:r>
    </w:p>
    <w:p w:rsidR="009329C9" w:rsidRDefault="00B5212B">
      <w:pPr>
        <w:tabs>
          <w:tab w:val="left" w:pos="284"/>
        </w:tabs>
        <w:spacing w:after="0"/>
        <w:ind w:right="-1"/>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 xml:space="preserve">Икономика </w:t>
      </w:r>
      <w:r>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„Свиленград Ареал“ не е изключение от тенденцията в национален мащаб в местните икономики на селските общини да преобладават микро- и малките предприятия. Те са и основен двигател на икономиката и съответно техният потенциал трябва да бъде развиван в посока увеличаване конкурентоспоспобността им. Броят на нефинансовите предприятия се увеличава плавно почти три пъти спрямо базовата 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от европейски програми са над 75 млн. В последните няколко години на територията на МИГ се наблюдава интерес към  развитие на бизнеса, свързан с хазартни игри, което води до увеличен потенциал за по-нататъшно развитие на други видове туризъм. Увеличават се и инвестициите в сферата на производство и преработка на лозаро-винарски продукти, като в тази област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наследство, биологичното разнообразие и земите в Натура 2000, туризмът </w:t>
      </w:r>
      <w:r>
        <w:rPr>
          <w:rFonts w:ascii="Times New Roman" w:eastAsia="Calibri" w:hAnsi="Times New Roman" w:cs="Times New Roman"/>
          <w:sz w:val="24"/>
          <w:szCs w:val="24"/>
          <w:lang w:eastAsia="en-US"/>
        </w:rPr>
        <w:lastRenderedPageBreak/>
        <w:t>също е сред перспективните сектори. В тази област има потенциал за развиване и на алтернативните му форми: селски и екотуризъм, ловен, лозаро-винарски, приключенски, религиозен и др. Изхождайки от природо-географските, гранични и транспортно-комуникационни функции на територията на МИГ „Свиленград Ареал“, развитието й в бъдеще се очертава основно в селскостопанското производство, повишаване капацитета на малките и средни предприятия в сферата на преработвателната промишленост и услугите, в транспортното обслужване с международно значение, в туризма и в развитието на трансграничното сътрудничество с Турция и Гърция.</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Културно наследство</w:t>
      </w:r>
      <w:r w:rsidR="00D01893">
        <w:rPr>
          <w:rFonts w:ascii="Times New Roman" w:eastAsia="Calibri" w:hAnsi="Times New Roman" w:cs="Times New Roman"/>
          <w:b/>
          <w:sz w:val="24"/>
          <w:szCs w:val="24"/>
          <w:u w:val="single"/>
          <w:lang w:eastAsia="en-US"/>
        </w:rPr>
        <w:t xml:space="preserve"> </w:t>
      </w:r>
      <w:r>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 различни исторически периоди, както и значителен дял от живото  нематериалното културно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 от X в., с. Маточина;  7.Старият сводест мост на Мустафа паша от 1529г.; 8.Антично и средновековно селище в м. Хисаря, които са от национално значение и:  9.Османска баня от XVI, 10.Църква “Св. Троица” от 1834 г., 11.Лобно място “Голото хоро” – последните три са с местно значение. На територията действат 15 читалища, две от които в гр. Свиленград, и 21 библиотеки с общ фонд 231 242 книги. Опазването и развиването на културното наследство може да бъде важен ресурс за устойчиво развитие на цялата територия на МИГ.</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Пазар на труда</w:t>
      </w:r>
      <w:r>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е около половината от общия брой на населението над 15 годишна възраст, с което общината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коефициент на заетост (56.6%). По отношение на заетостта данните на НСИ за 2014 г отчитат </w:t>
      </w:r>
      <w:r>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Pr>
          <w:rFonts w:ascii="Times New Roman" w:eastAsia="Calibri" w:hAnsi="Times New Roman" w:cs="Times New Roman"/>
          <w:sz w:val="24"/>
          <w:szCs w:val="24"/>
          <w:lang w:eastAsia="en-US"/>
        </w:rPr>
        <w:t>броят на наетите отговаря на структурата на икономиката – водещо място заема секторът на преработващата промишленост със 706 наети, следван от транспорта и търговията – съответно със 671 и 648 наети. Голям е и делът на наетите в държавното управление – 626 и културата и развлеченията– 653.</w:t>
      </w:r>
      <w:r>
        <w:rPr>
          <w:rFonts w:ascii="Times New Roman" w:eastAsia="Times New Roman" w:hAnsi="Times New Roman" w:cs="Times New Roman"/>
          <w:sz w:val="24"/>
          <w:szCs w:val="24"/>
          <w:lang w:val="be-BY" w:eastAsia="en-US"/>
        </w:rPr>
        <w:t xml:space="preserve">Нивото на безработица на територията на МИГ е едно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редица групи от населението, най-вечеза ромската общност, хората с ниско образование или без образование и за младежите до 29 г. </w:t>
      </w:r>
      <w:r>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програмите за субсидирана заетост. Безработицата на територията на МИГ е един от основните проблеми за решаване, за който в стратегията са предвидени специални насочени мерки по различните програми.</w:t>
      </w:r>
    </w:p>
    <w:p w:rsidR="009329C9" w:rsidRDefault="00B5212B">
      <w:pPr>
        <w:tabs>
          <w:tab w:val="left" w:pos="284"/>
        </w:tabs>
        <w:spacing w:after="0"/>
        <w:ind w:right="-1"/>
        <w:jc w:val="both"/>
        <w:rPr>
          <w:rFonts w:ascii="Times New Roman" w:eastAsia="Times New Roman" w:hAnsi="Times New Roman" w:cs="Times New Roman"/>
          <w:sz w:val="24"/>
          <w:szCs w:val="24"/>
          <w:lang w:val="en-US"/>
        </w:rPr>
      </w:pPr>
      <w:r>
        <w:rPr>
          <w:rFonts w:ascii="Times New Roman" w:eastAsia="Calibri" w:hAnsi="Times New Roman" w:cs="Times New Roman"/>
          <w:b/>
          <w:sz w:val="24"/>
          <w:szCs w:val="24"/>
          <w:u w:val="single"/>
          <w:lang w:eastAsia="en-US"/>
        </w:rPr>
        <w:t>Техническата инфраструктура</w:t>
      </w:r>
      <w:r>
        <w:rPr>
          <w:rFonts w:ascii="Times New Roman" w:eastAsia="Calibri" w:hAnsi="Times New Roman" w:cs="Times New Roman"/>
          <w:sz w:val="24"/>
          <w:szCs w:val="24"/>
          <w:lang w:eastAsia="en-US"/>
        </w:rPr>
        <w:t xml:space="preserve">е сравнително добре развита. Изградената </w:t>
      </w:r>
      <w:r>
        <w:rPr>
          <w:rFonts w:ascii="Times New Roman" w:eastAsia="Calibri" w:hAnsi="Times New Roman" w:cs="Times New Roman"/>
          <w:b/>
          <w:sz w:val="24"/>
          <w:szCs w:val="24"/>
          <w:lang w:eastAsia="en-US"/>
        </w:rPr>
        <w:t>пътна мрежа</w:t>
      </w:r>
      <w:r>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w:t>
      </w:r>
      <w:r>
        <w:rPr>
          <w:rFonts w:ascii="Times New Roman" w:eastAsia="Calibri" w:hAnsi="Times New Roman" w:cs="Times New Roman"/>
          <w:sz w:val="24"/>
          <w:szCs w:val="24"/>
          <w:lang w:eastAsia="en-US"/>
        </w:rPr>
        <w:lastRenderedPageBreak/>
        <w:t xml:space="preserve">тък от 23,7 км от автомагистрала Марица; 25,1 км от РП I-8;  23,3 км от РП II-55; целият участък от 3,5 км от РII-80; 7,1 км от РП III-505; 5,2 км от РП III-761; 26,3 км от РП III-5507; целият участък от 34,9 км от РП III-5509; 7,2 км от РП III-7612. Освен магистралата и първокласните пътища, които са в много добро състояние,  пътната мрежа на територията на МИГ  обхваща и другите  класове пътища: второкласни (33,4 км) в добро състояние, третокласни (42,7 км) в средно състояние, четвъртокласни (125,1 км) в лошо състояние. </w:t>
      </w:r>
      <w:r>
        <w:rPr>
          <w:rFonts w:ascii="Times New Roman" w:eastAsia="Calibri" w:hAnsi="Times New Roman" w:cs="Times New Roman"/>
          <w:b/>
          <w:sz w:val="24"/>
          <w:szCs w:val="24"/>
          <w:lang w:eastAsia="en-US"/>
        </w:rPr>
        <w:t>Железопътният транспорт</w:t>
      </w:r>
      <w:r>
        <w:rPr>
          <w:rFonts w:ascii="Times New Roman" w:eastAsia="Calibri" w:hAnsi="Times New Roman" w:cs="Times New Roman"/>
          <w:sz w:val="24"/>
          <w:szCs w:val="24"/>
          <w:lang w:eastAsia="en-US"/>
        </w:rPr>
        <w:t xml:space="preserve"> е представен с 45 километров участък от ж.п. линията “Калотина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населени места са </w:t>
      </w:r>
      <w:r>
        <w:rPr>
          <w:rFonts w:ascii="Times New Roman" w:eastAsia="Calibri" w:hAnsi="Times New Roman" w:cs="Times New Roman"/>
          <w:b/>
          <w:sz w:val="24"/>
          <w:szCs w:val="24"/>
          <w:lang w:eastAsia="en-US"/>
        </w:rPr>
        <w:t>електрифицирани</w:t>
      </w:r>
      <w:r>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територията е </w:t>
      </w:r>
      <w:r>
        <w:rPr>
          <w:rFonts w:ascii="Times New Roman" w:eastAsia="Calibri" w:hAnsi="Times New Roman" w:cs="Times New Roman"/>
          <w:b/>
          <w:sz w:val="24"/>
          <w:szCs w:val="24"/>
          <w:lang w:eastAsia="en-US"/>
        </w:rPr>
        <w:t>газифицирана.</w:t>
      </w:r>
      <w:r>
        <w:rPr>
          <w:rFonts w:ascii="Times New Roman" w:eastAsia="Calibri" w:hAnsi="Times New Roman" w:cs="Times New Roman"/>
          <w:sz w:val="24"/>
          <w:szCs w:val="24"/>
          <w:lang w:eastAsia="en-US"/>
        </w:rPr>
        <w:t xml:space="preserve">Разпределението и снабдяването с природен газ се осъществява от  “Свиленград-газ”АД. </w:t>
      </w:r>
      <w:r>
        <w:rPr>
          <w:rFonts w:ascii="Times New Roman" w:eastAsia="Calibri" w:hAnsi="Times New Roman" w:cs="Times New Roman"/>
          <w:b/>
          <w:sz w:val="24"/>
          <w:szCs w:val="24"/>
          <w:lang w:eastAsia="en-US"/>
        </w:rPr>
        <w:t>Водоснабдени</w:t>
      </w:r>
      <w:r>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Навсякъде водоснабдяването се извършва главно от кладенци, като подаването е предимно чрез помпи, което увеличава себестойността на водата.</w:t>
      </w:r>
      <w:r>
        <w:rPr>
          <w:rFonts w:ascii="Times New Roman" w:eastAsia="Calibri" w:hAnsi="Times New Roman" w:cs="Times New Roman"/>
          <w:b/>
          <w:sz w:val="24"/>
          <w:szCs w:val="24"/>
          <w:lang w:eastAsia="en-US"/>
        </w:rPr>
        <w:t>Канализация</w:t>
      </w:r>
      <w:r>
        <w:rPr>
          <w:rFonts w:ascii="Times New Roman" w:eastAsia="Calibri" w:hAnsi="Times New Roman" w:cs="Times New Roman"/>
          <w:sz w:val="24"/>
          <w:szCs w:val="24"/>
          <w:lang w:eastAsia="en-US"/>
        </w:rPr>
        <w:t xml:space="preserve"> има само в гр. Свиленград и частично в село Мезек.  Дължината на канализационната мрежа е 41 138 м. Населението, което не е свързано към канализацията използва изгреби и септични ями. Това създава предпоставки за замърсяване на подпочвените води, както и тези на р. Марица. Изградеността на канализационната мрежа е около 38%, което е сред ниските в областта. Необходимо е доизграждане на водоснабдяването и канализацията в селата, особено в районите с туристически потенциал и строеж на пречиствателни станции, като тази в град Свиленград вече е факт.Като проблемни области се определят малката инфраструктура –уличната мрежа в почти всички села не е в добро състояние, зелените площи и спортните съоръжения са недостатъчни, което също е идентифицирано като един от проблемите за решаване в стратегията.</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Социална инфраструктура</w:t>
      </w:r>
      <w:r>
        <w:rPr>
          <w:rFonts w:ascii="Times New Roman" w:eastAsia="Calibri" w:hAnsi="Times New Roman" w:cs="Times New Roman"/>
          <w:sz w:val="24"/>
          <w:szCs w:val="24"/>
          <w:lang w:eastAsia="en-US"/>
        </w:rPr>
        <w:t xml:space="preserve"> В областта на </w:t>
      </w:r>
      <w:r>
        <w:rPr>
          <w:rFonts w:ascii="Times New Roman" w:eastAsia="Calibri" w:hAnsi="Times New Roman" w:cs="Times New Roman"/>
          <w:b/>
          <w:sz w:val="24"/>
          <w:szCs w:val="24"/>
          <w:lang w:eastAsia="en-US"/>
        </w:rPr>
        <w:t>здравеопазването</w:t>
      </w:r>
      <w:r>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 лекарски практики в селата Капитан Андреево, Момково, Левка, Райкова Могила и Сладун. В района липсват санитарно-курортни заведения. Структурата на </w:t>
      </w:r>
      <w:r>
        <w:rPr>
          <w:rFonts w:ascii="Times New Roman" w:eastAsia="Calibri" w:hAnsi="Times New Roman" w:cs="Times New Roman"/>
          <w:b/>
          <w:sz w:val="24"/>
          <w:szCs w:val="24"/>
          <w:lang w:eastAsia="en-US"/>
        </w:rPr>
        <w:t>образованието</w:t>
      </w:r>
      <w:r>
        <w:rPr>
          <w:rFonts w:ascii="Times New Roman" w:eastAsia="Calibri" w:hAnsi="Times New Roman" w:cs="Times New Roman"/>
          <w:sz w:val="24"/>
          <w:szCs w:val="24"/>
          <w:lang w:eastAsia="en-US"/>
        </w:rPr>
        <w:t xml:space="preserve">е представена от предучилищно обучение, общо образование във всичките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общообразователни училища и Професионалното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етнически произход. В областта на </w:t>
      </w:r>
      <w:r>
        <w:rPr>
          <w:rFonts w:ascii="Times New Roman" w:eastAsia="Calibri" w:hAnsi="Times New Roman" w:cs="Times New Roman"/>
          <w:b/>
          <w:sz w:val="24"/>
          <w:szCs w:val="24"/>
          <w:lang w:eastAsia="en-US"/>
        </w:rPr>
        <w:t>социалните услуги</w:t>
      </w:r>
      <w:r>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грижа, Домашен социален патронаж, Преходно жилище за лица с психически разстройства, Дом за лица с психически разстройства, Дневен център за деца с увреждания, Личен асистент, Домашен </w:t>
      </w:r>
      <w:r>
        <w:rPr>
          <w:rFonts w:ascii="Times New Roman" w:eastAsia="Calibri" w:hAnsi="Times New Roman" w:cs="Times New Roman"/>
          <w:sz w:val="24"/>
          <w:szCs w:val="24"/>
          <w:lang w:eastAsia="en-US"/>
        </w:rPr>
        <w:lastRenderedPageBreak/>
        <w:t xml:space="preserve">санитар, Клуб на инвалида, Социален асистент, Клуб на пенсионера и Център за настаняване от семеен тип.Предоставяните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разширява и кръгът от услуги, насочени към населението в над трудоспособна възраст и някои малцинствени групи. Богатото културно наследство предопределя и добре развитата инфраструктура по отношение на </w:t>
      </w:r>
      <w:r>
        <w:rPr>
          <w:rFonts w:ascii="Times New Roman" w:eastAsia="Calibri" w:hAnsi="Times New Roman" w:cs="Times New Roman"/>
          <w:b/>
          <w:sz w:val="24"/>
          <w:szCs w:val="24"/>
          <w:lang w:eastAsia="en-US"/>
        </w:rPr>
        <w:t>културата</w:t>
      </w:r>
      <w:r>
        <w:rPr>
          <w:rFonts w:ascii="Times New Roman" w:eastAsia="Calibri" w:hAnsi="Times New Roman" w:cs="Times New Roman"/>
          <w:sz w:val="24"/>
          <w:szCs w:val="24"/>
          <w:lang w:eastAsia="en-US"/>
        </w:rPr>
        <w:t xml:space="preserve">. От 2012 г. в Свиленград  действа нов  Туристически информационен център (ТИЦ), </w:t>
      </w:r>
      <w:r>
        <w:rPr>
          <w:rFonts w:ascii="Times New Roman" w:eastAsia="Calibri" w:hAnsi="Times New Roman" w:cs="Times New Roman"/>
          <w:iCs/>
          <w:sz w:val="24"/>
          <w:szCs w:val="24"/>
          <w:lang w:eastAsia="en-US"/>
        </w:rPr>
        <w:t>музейната дейност</w:t>
      </w:r>
      <w:r>
        <w:rPr>
          <w:rFonts w:ascii="Times New Roman" w:eastAsia="Calibri" w:hAnsi="Times New Roman" w:cs="Times New Roman"/>
          <w:sz w:val="24"/>
          <w:szCs w:val="24"/>
          <w:lang w:eastAsia="en-US"/>
        </w:rPr>
        <w:t xml:space="preserve"> е представена от Общинския исторически музей</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 xml:space="preserve">на територията на МИГ има 15 действащи читалища, като основните проблеми при тях са от финансов характер и особено невъзможността за поддържане състоянието на материалната база. Поддържането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художествена самодейност и др. Важен фактор за цялостното развитие на </w:t>
      </w:r>
      <w:r>
        <w:rPr>
          <w:rFonts w:ascii="Times New Roman" w:eastAsia="Calibri" w:hAnsi="Times New Roman" w:cs="Times New Roman"/>
          <w:b/>
          <w:sz w:val="24"/>
          <w:szCs w:val="24"/>
          <w:lang w:eastAsia="en-US"/>
        </w:rPr>
        <w:t xml:space="preserve">спорта </w:t>
      </w:r>
      <w:r>
        <w:rPr>
          <w:rFonts w:ascii="Times New Roman" w:eastAsia="Calibri" w:hAnsi="Times New Roman" w:cs="Times New Roman"/>
          <w:sz w:val="24"/>
          <w:szCs w:val="24"/>
          <w:lang w:eastAsia="en-US"/>
        </w:rPr>
        <w:t>е финансирането на 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административния център, не са в добро състояние. Основната част от спортната инфраструктура също е разположена в общинския център.</w:t>
      </w:r>
    </w:p>
    <w:p w:rsidR="009329C9" w:rsidRDefault="00B5212B">
      <w:pPr>
        <w:tabs>
          <w:tab w:val="left" w:pos="284"/>
        </w:tabs>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lang w:eastAsia="en-US"/>
        </w:rPr>
        <w:t>Екологично състояние и рискове</w:t>
      </w:r>
      <w:r>
        <w:rPr>
          <w:rFonts w:ascii="Times New Roman" w:eastAsia="Calibri" w:hAnsi="Times New Roman" w:cs="Times New Roman"/>
          <w:sz w:val="24"/>
          <w:szCs w:val="24"/>
          <w:lang w:eastAsia="en-US"/>
        </w:rPr>
        <w:t xml:space="preserve"> Битовите и индустриални замърсявания на околната среда, както и </w:t>
      </w:r>
      <w:r>
        <w:rPr>
          <w:rFonts w:ascii="Times New Roman" w:eastAsia="Calibri" w:hAnsi="Times New Roman" w:cs="Times New Roman"/>
          <w:b/>
          <w:sz w:val="24"/>
          <w:szCs w:val="24"/>
          <w:lang w:eastAsia="en-US"/>
        </w:rPr>
        <w:t>екологичните рискове са силно ограничени</w:t>
      </w:r>
      <w:r>
        <w:rPr>
          <w:rFonts w:ascii="Times New Roman" w:eastAsia="Calibri" w:hAnsi="Times New Roman" w:cs="Times New Roman"/>
          <w:sz w:val="24"/>
          <w:szCs w:val="24"/>
          <w:lang w:eastAsia="en-US"/>
        </w:rPr>
        <w:t xml:space="preserve">.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Сериозни дефицити има в слабата изграденост на канализационна мрежа, амортизираното състояние на съоръженията, липсата на пречиствателни станции за отпадни води в селата и необходимостта от съвременна система за управление на отпадъците и рекултивация на нарушените от тази дейност терени. Състоянието на </w:t>
      </w:r>
      <w:r>
        <w:rPr>
          <w:rFonts w:ascii="Times New Roman" w:eastAsia="Calibri" w:hAnsi="Times New Roman" w:cs="Times New Roman"/>
          <w:b/>
          <w:sz w:val="24"/>
          <w:szCs w:val="24"/>
          <w:lang w:eastAsia="en-US"/>
        </w:rPr>
        <w:t>атмосферния въздух</w:t>
      </w:r>
      <w:r>
        <w:rPr>
          <w:rFonts w:ascii="Times New Roman" w:eastAsia="Calibri" w:hAnsi="Times New Roman" w:cs="Times New Roman"/>
          <w:sz w:val="24"/>
          <w:szCs w:val="24"/>
          <w:lang w:eastAsia="en-US"/>
        </w:rPr>
        <w:t xml:space="preserve"> се определя като добро, липсват значителни местни източници на замърсяване. Националната система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свидетелство, че не са установени превишения на нормите за вредни вещества във въздуха. </w:t>
      </w:r>
      <w:r>
        <w:rPr>
          <w:rFonts w:ascii="Times New Roman" w:eastAsia="Calibri" w:hAnsi="Times New Roman" w:cs="Times New Roman"/>
          <w:b/>
          <w:sz w:val="24"/>
          <w:szCs w:val="24"/>
          <w:lang w:eastAsia="en-US"/>
        </w:rPr>
        <w:t>Повърхностните води</w:t>
      </w:r>
      <w:r>
        <w:rPr>
          <w:rFonts w:ascii="Times New Roman" w:eastAsia="Calibri" w:hAnsi="Times New Roman" w:cs="Times New Roman"/>
          <w:sz w:val="24"/>
          <w:szCs w:val="24"/>
          <w:lang w:eastAsia="en-US"/>
        </w:rPr>
        <w:t xml:space="preserve"> са в добро състояние за по-малките реки и лошо общо състояние за р. Марица, която е основен водоизточник в региона. Обект на екологичен мониторинг е Повърхностно водно тяло „Река Марица от река Съзлийка до границата“ с код BG3МА100R001 от типа „големи реки”.По данни на РИОСВ – Хасково, състоянието на р. Марица в района на гр. Свиленград е: по биологични елементи – умерено; по физико-химични елементи – много лошо и по химично състояние – добро. Общото състояние на р. Марица в района на гр. Свиленград е много лошо.Основното промишлено замърсяване на реката обаче се формира извън територията на МИГ. При гр. Свиленград е изграден пункт на контролен мониторинг с № BG3MA01191MS0010. Другите водни тела, които са обект на наблюдение са Повърхностно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Pr>
          <w:rFonts w:ascii="Times New Roman" w:eastAsia="Calibri" w:hAnsi="Times New Roman" w:cs="Times New Roman"/>
          <w:b/>
          <w:sz w:val="24"/>
          <w:szCs w:val="24"/>
          <w:lang w:eastAsia="en-US"/>
        </w:rPr>
        <w:t>Подземните води</w:t>
      </w:r>
      <w:r>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BG3G000000N011 и Подземно водно тяло „Порови води в Кватернер – Свиленград – Стамболово” с код BG3G000000Q048.На територията на МИГ Свиленград Ареал съществуват и </w:t>
      </w:r>
      <w:r>
        <w:rPr>
          <w:rFonts w:ascii="Times New Roman" w:eastAsia="Calibri" w:hAnsi="Times New Roman" w:cs="Times New Roman"/>
          <w:b/>
          <w:sz w:val="24"/>
          <w:szCs w:val="24"/>
          <w:lang w:eastAsia="en-US"/>
        </w:rPr>
        <w:t>зони за защита на водите</w:t>
      </w:r>
      <w:r>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w:t>
      </w:r>
      <w:r>
        <w:rPr>
          <w:rFonts w:ascii="Times New Roman" w:eastAsia="Calibri" w:hAnsi="Times New Roman" w:cs="Times New Roman"/>
          <w:sz w:val="24"/>
          <w:szCs w:val="24"/>
          <w:lang w:eastAsia="en-US"/>
        </w:rPr>
        <w:lastRenderedPageBreak/>
        <w:t>установени значителни замърсявания на почвите, липсват големи нарушения на земните недра, развитието на ерозийните процеси е в умерени граници. Доброто екологично състояние е отчетено като потенциал за развитие на територията на МИГ.</w:t>
      </w:r>
    </w:p>
    <w:p w:rsidR="009329C9" w:rsidRDefault="00B5212B">
      <w:pPr>
        <w:pStyle w:val="2"/>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3.2. Идентифицирани групи от заинтересовани лица на територията на МИГ:</w:t>
      </w:r>
    </w:p>
    <w:p w:rsidR="009329C9" w:rsidRDefault="00B5212B">
      <w:pPr>
        <w:spacing w:after="0"/>
        <w:ind w:right="-1"/>
        <w:jc w:val="both"/>
        <w:rPr>
          <w:rFonts w:ascii="Times New Roman" w:hAnsi="Times New Roman" w:cs="Times New Roman"/>
          <w:sz w:val="24"/>
          <w:szCs w:val="24"/>
        </w:rPr>
      </w:pPr>
      <w:bookmarkStart w:id="16" w:name="_Toc448392281"/>
      <w:bookmarkStart w:id="17" w:name="_Toc449349423"/>
      <w:r>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p>
    <w:p w:rsidR="009329C9" w:rsidRDefault="00B5212B">
      <w:pPr>
        <w:spacing w:after="0"/>
        <w:rPr>
          <w:rFonts w:ascii="Times New Roman" w:hAnsi="Times New Roman" w:cs="Times New Roman"/>
          <w:b/>
          <w:bCs/>
          <w:sz w:val="24"/>
          <w:szCs w:val="24"/>
        </w:rPr>
      </w:pPr>
      <w:r>
        <w:rPr>
          <w:rFonts w:ascii="Times New Roman" w:eastAsia="Calibri" w:hAnsi="Times New Roman" w:cs="Times New Roman"/>
          <w:b/>
          <w:sz w:val="24"/>
          <w:szCs w:val="24"/>
          <w:lang w:eastAsia="en-US"/>
        </w:rPr>
        <w:t>Публичен сектор(идентифицирани 5 групи):</w:t>
      </w:r>
      <w:r>
        <w:rPr>
          <w:rFonts w:ascii="Times New Roman" w:eastAsia="Calibri" w:hAnsi="Times New Roman" w:cs="Times New Roman"/>
          <w:sz w:val="24"/>
          <w:szCs w:val="24"/>
          <w:lang w:eastAsia="en-US"/>
        </w:rPr>
        <w:t>1.</w:t>
      </w:r>
      <w:r>
        <w:rPr>
          <w:rFonts w:ascii="Times New Roman" w:hAnsi="Times New Roman" w:cs="Times New Roman"/>
          <w:sz w:val="24"/>
          <w:szCs w:val="24"/>
        </w:rPr>
        <w:t xml:space="preserve">Община Свиленград, 2. Културни институции, 3. Образователни институции, 4.Социални заведения, 5. Представители на други структури на държавната власт. </w:t>
      </w:r>
    </w:p>
    <w:p w:rsidR="009329C9" w:rsidRDefault="00B5212B">
      <w:pPr>
        <w:spacing w:after="0"/>
        <w:rPr>
          <w:rFonts w:ascii="Times New Roman" w:eastAsia="Calibri" w:hAnsi="Times New Roman" w:cs="Times New Roman"/>
          <w:sz w:val="24"/>
          <w:szCs w:val="24"/>
          <w:lang w:eastAsia="en-US"/>
        </w:rPr>
      </w:pPr>
      <w:r>
        <w:rPr>
          <w:rFonts w:ascii="Times New Roman" w:hAnsi="Times New Roman" w:cs="Times New Roman"/>
          <w:b/>
          <w:bCs/>
          <w:sz w:val="24"/>
          <w:szCs w:val="24"/>
        </w:rPr>
        <w:t xml:space="preserve">Нестопанскисектор </w:t>
      </w:r>
      <w:r>
        <w:rPr>
          <w:rFonts w:ascii="Times New Roman" w:eastAsia="Calibri" w:hAnsi="Times New Roman" w:cs="Times New Roman"/>
          <w:b/>
          <w:sz w:val="24"/>
          <w:szCs w:val="24"/>
          <w:lang w:eastAsia="en-US"/>
        </w:rPr>
        <w:t>(идентифицирани 5 групи</w:t>
      </w:r>
      <w:r>
        <w:rPr>
          <w:rFonts w:ascii="Times New Roman" w:eastAsia="Calibri" w:hAnsi="Times New Roman" w:cs="Times New Roman"/>
          <w:sz w:val="24"/>
          <w:szCs w:val="24"/>
          <w:lang w:eastAsia="en-US"/>
        </w:rPr>
        <w:t xml:space="preserve">): </w:t>
      </w:r>
      <w:r>
        <w:rPr>
          <w:rFonts w:ascii="Times New Roman" w:hAnsi="Times New Roman" w:cs="Times New Roman"/>
          <w:bCs/>
          <w:sz w:val="24"/>
          <w:szCs w:val="24"/>
        </w:rPr>
        <w:t>1. Юридически лица с нестопанска цел, регистрирани по ЗЮЛНЦ, работещи в сферата на местното развитие; 2. Спортни клубове регистрирани по ЗЮЛНЦ</w:t>
      </w:r>
      <w:r>
        <w:rPr>
          <w:rFonts w:ascii="Times New Roman" w:hAnsi="Times New Roman" w:cs="Times New Roman"/>
          <w:sz w:val="24"/>
          <w:szCs w:val="24"/>
        </w:rPr>
        <w:t xml:space="preserve">; 3. Училищни настоятелства, регистрирани по </w:t>
      </w:r>
      <w:r>
        <w:rPr>
          <w:rFonts w:ascii="Times New Roman" w:hAnsi="Times New Roman" w:cs="Times New Roman"/>
          <w:bCs/>
          <w:sz w:val="24"/>
          <w:szCs w:val="24"/>
        </w:rPr>
        <w:t>ЗЮЛНЦ</w:t>
      </w:r>
      <w:r>
        <w:rPr>
          <w:rFonts w:ascii="Times New Roman" w:hAnsi="Times New Roman" w:cs="Times New Roman"/>
          <w:sz w:val="24"/>
          <w:szCs w:val="24"/>
        </w:rPr>
        <w:t xml:space="preserve">; 4. Организации, регистрирани по Закона за читалищата; 5. Местни лидери – физически лица; </w:t>
      </w:r>
    </w:p>
    <w:p w:rsidR="009329C9" w:rsidRDefault="00B5212B">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(идентифицирани 7 групи): </w:t>
      </w:r>
      <w:r>
        <w:rPr>
          <w:rFonts w:ascii="Times New Roman" w:eastAsia="Calibri" w:hAnsi="Times New Roman" w:cs="Times New Roman"/>
          <w:sz w:val="24"/>
          <w:szCs w:val="24"/>
          <w:lang w:eastAsia="en-US"/>
        </w:rPr>
        <w:t xml:space="preserve">1. Земеделски производители </w:t>
      </w:r>
      <w:r>
        <w:rPr>
          <w:rFonts w:ascii="Times New Roman" w:hAnsi="Times New Roman" w:cs="Times New Roman"/>
          <w:bCs/>
          <w:sz w:val="24"/>
          <w:szCs w:val="24"/>
        </w:rPr>
        <w:t xml:space="preserve">– сектор растениевъдство; 2. </w:t>
      </w:r>
      <w:r>
        <w:rPr>
          <w:rFonts w:ascii="Times New Roman" w:eastAsia="Calibri" w:hAnsi="Times New Roman" w:cs="Times New Roman"/>
          <w:sz w:val="24"/>
          <w:szCs w:val="24"/>
          <w:lang w:eastAsia="en-US"/>
        </w:rPr>
        <w:t xml:space="preserve">Земеделски производители </w:t>
      </w:r>
      <w:r>
        <w:rPr>
          <w:rFonts w:ascii="Times New Roman" w:hAnsi="Times New Roman" w:cs="Times New Roman"/>
          <w:bCs/>
          <w:sz w:val="24"/>
          <w:szCs w:val="24"/>
        </w:rPr>
        <w:t>– сектор животновъдство; 3. Юридически лица регистрирани по Закона за кооперациите; 4. Юридически и/или физически лица, микропредприятия,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сферата на услугите; 6. Юридически лица и физически лица, микропредприятия регистрирани по Търговския закон, работещи в сферата на производството;  7. Юридически лица и физически лица, микропредприятия регистрирани по Търговския закон – Малки и средни предприятия;</w:t>
      </w:r>
    </w:p>
    <w:p w:rsidR="009329C9" w:rsidRDefault="00B5212B">
      <w:pPr>
        <w:spacing w:after="0"/>
        <w:ind w:right="-1"/>
        <w:jc w:val="both"/>
        <w:rPr>
          <w:rFonts w:ascii="Times New Roman" w:eastAsia="Calibri" w:hAnsi="Times New Roman" w:cs="Times New Roman"/>
          <w:sz w:val="24"/>
          <w:szCs w:val="24"/>
          <w:lang w:eastAsia="en-US"/>
        </w:rPr>
      </w:pPr>
      <w:r>
        <w:rPr>
          <w:rFonts w:ascii="Times New Roman" w:hAnsi="Times New Roman" w:cs="Times New Roman"/>
          <w:b/>
          <w:bCs/>
          <w:sz w:val="24"/>
          <w:szCs w:val="24"/>
        </w:rPr>
        <w:t>Уязвими групи(идентифицирани 3 групи):</w:t>
      </w:r>
      <w:r>
        <w:rPr>
          <w:rFonts w:ascii="Times New Roman" w:hAnsi="Times New Roman" w:cs="Times New Roman"/>
          <w:bCs/>
          <w:sz w:val="24"/>
          <w:szCs w:val="24"/>
        </w:rPr>
        <w:t xml:space="preserve"> 1. Безработни - младежи, хора над 55, трайно безработни; 2. Малцинствени групи – предимно роми; 3. Хора в неравностойно положение, майки с деца, възрастни хора</w:t>
      </w:r>
      <w:r>
        <w:rPr>
          <w:rFonts w:ascii="Times New Roman" w:eastAsia="Calibri" w:hAnsi="Times New Roman" w:cs="Times New Roman"/>
          <w:sz w:val="24"/>
          <w:szCs w:val="24"/>
          <w:lang w:eastAsia="en-US"/>
        </w:rPr>
        <w:t>.</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В предвидените цели на Стратегията и мерките за реализирането им всички идентифицирани групи са </w:t>
      </w:r>
      <w:r>
        <w:rPr>
          <w:rFonts w:ascii="Times New Roman" w:hAnsi="Times New Roman" w:cs="Times New Roman"/>
          <w:b/>
          <w:sz w:val="24"/>
          <w:szCs w:val="24"/>
        </w:rPr>
        <w:t>обхванати 100%.</w:t>
      </w:r>
      <w:r>
        <w:rPr>
          <w:rFonts w:ascii="Times New Roman" w:hAnsi="Times New Roman" w:cs="Times New Roman"/>
          <w:sz w:val="24"/>
          <w:szCs w:val="24"/>
        </w:rPr>
        <w:t xml:space="preserve"> В проведените срещи и обсъждания са </w:t>
      </w:r>
      <w:r>
        <w:rPr>
          <w:rFonts w:ascii="Times New Roman" w:hAnsi="Times New Roman" w:cs="Times New Roman"/>
          <w:b/>
          <w:sz w:val="24"/>
          <w:szCs w:val="24"/>
        </w:rPr>
        <w:t>обхванати 88% от групите,</w:t>
      </w:r>
      <w:r>
        <w:rPr>
          <w:rFonts w:ascii="Times New Roman" w:hAnsi="Times New Roman" w:cs="Times New Roman"/>
          <w:sz w:val="24"/>
          <w:szCs w:val="24"/>
        </w:rPr>
        <w:t xml:space="preserve"> идентифицирани като заинтересовани. В колективния върховен орган на МИГ „Свиленград Ареал“ от общо 18 идентифицирани заинтересовани страни, членуват 10 или това възлиза на </w:t>
      </w:r>
      <w:r>
        <w:rPr>
          <w:rFonts w:ascii="Times New Roman" w:hAnsi="Times New Roman" w:cs="Times New Roman"/>
          <w:b/>
          <w:sz w:val="24"/>
          <w:szCs w:val="24"/>
        </w:rPr>
        <w:t>55% представителност</w:t>
      </w:r>
      <w:r>
        <w:rPr>
          <w:rFonts w:ascii="Times New Roman" w:hAnsi="Times New Roman" w:cs="Times New Roman"/>
          <w:sz w:val="24"/>
          <w:szCs w:val="24"/>
        </w:rPr>
        <w:t xml:space="preserve">.    </w:t>
      </w:r>
    </w:p>
    <w:p w:rsidR="009329C9" w:rsidRDefault="00B5212B">
      <w:pPr>
        <w:spacing w:after="0"/>
        <w:jc w:val="both"/>
        <w:rPr>
          <w:rFonts w:ascii="Times New Roman" w:hAnsi="Times New Roman" w:cs="Times New Roman"/>
          <w:b/>
          <w:sz w:val="24"/>
          <w:szCs w:val="24"/>
        </w:rPr>
      </w:pPr>
      <w:r>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f3"/>
        <w:tblW w:w="10031" w:type="dxa"/>
        <w:tblLook w:val="04A0" w:firstRow="1" w:lastRow="0" w:firstColumn="1" w:lastColumn="0" w:noHBand="0" w:noVBand="1"/>
      </w:tblPr>
      <w:tblGrid>
        <w:gridCol w:w="5211"/>
        <w:gridCol w:w="4820"/>
      </w:tblGrid>
      <w:tr w:rsidR="009329C9">
        <w:tc>
          <w:tcPr>
            <w:tcW w:w="5211" w:type="dxa"/>
          </w:tcPr>
          <w:p w:rsidR="009329C9" w:rsidRDefault="00B5212B">
            <w:pPr>
              <w:pStyle w:val="Default"/>
              <w:spacing w:line="276" w:lineRule="auto"/>
              <w:rPr>
                <w:b/>
                <w:color w:val="auto"/>
              </w:rPr>
            </w:pPr>
            <w:bookmarkStart w:id="18" w:name="_Toc448392282"/>
            <w:bookmarkStart w:id="19" w:name="_Toc449349428"/>
            <w:r>
              <w:rPr>
                <w:b/>
                <w:color w:val="auto"/>
              </w:rPr>
              <w:t>Силни страни</w:t>
            </w:r>
          </w:p>
        </w:tc>
        <w:tc>
          <w:tcPr>
            <w:tcW w:w="4820" w:type="dxa"/>
          </w:tcPr>
          <w:p w:rsidR="009329C9" w:rsidRDefault="00B5212B">
            <w:pPr>
              <w:spacing w:after="0" w:line="240" w:lineRule="auto"/>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Слаби страни</w:t>
            </w:r>
          </w:p>
        </w:tc>
      </w:tr>
      <w:tr w:rsidR="009329C9">
        <w:tc>
          <w:tcPr>
            <w:tcW w:w="5211" w:type="dxa"/>
          </w:tcPr>
          <w:p w:rsidR="009329C9" w:rsidRDefault="00B5212B">
            <w:pPr>
              <w:pStyle w:val="Default"/>
              <w:spacing w:line="274" w:lineRule="auto"/>
              <w:rPr>
                <w:color w:val="auto"/>
              </w:rPr>
            </w:pPr>
            <w:r>
              <w:rPr>
                <w:color w:val="auto"/>
              </w:rPr>
              <w:t>1. Благоприятни климатични, териториални  и почвени условия за развитие на интензивно и многопрофилно  земеделие и биоземеделие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9329C9" w:rsidRDefault="00B5212B">
            <w:pPr>
              <w:pStyle w:val="Default"/>
              <w:spacing w:line="274" w:lineRule="auto"/>
              <w:rPr>
                <w:color w:val="auto"/>
              </w:rPr>
            </w:pPr>
            <w:r>
              <w:lastRenderedPageBreak/>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9329C9" w:rsidRDefault="00B5212B">
            <w:pPr>
              <w:pStyle w:val="Default"/>
              <w:spacing w:line="274" w:lineRule="auto"/>
            </w:pPr>
            <w:r>
              <w:t>3. Ключово разположение на общината на границата с Турция и Гърция; Важно място в транспортната инфраструктура на страната и ЕС.</w:t>
            </w:r>
          </w:p>
          <w:p w:rsidR="009329C9" w:rsidRDefault="00B5212B">
            <w:pPr>
              <w:pStyle w:val="Default"/>
              <w:spacing w:line="274" w:lineRule="auto"/>
              <w:rPr>
                <w:color w:val="auto"/>
              </w:rPr>
            </w:pPr>
            <w:r>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 привличащ много туристи; Добри практики в туризма, наличие на потенциал за развитие на традиционен и алтернативен туризъм;</w:t>
            </w:r>
          </w:p>
          <w:p w:rsidR="009329C9" w:rsidRDefault="00B5212B">
            <w:pPr>
              <w:pStyle w:val="Default"/>
              <w:spacing w:line="274" w:lineRule="auto"/>
              <w:rPr>
                <w:color w:val="auto"/>
              </w:rPr>
            </w:pPr>
            <w:r>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9329C9" w:rsidRDefault="00B5212B">
            <w:pPr>
              <w:pStyle w:val="Default"/>
              <w:spacing w:line="274" w:lineRule="auto"/>
              <w:rPr>
                <w:color w:val="auto"/>
              </w:rPr>
            </w:pPr>
            <w:r>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9329C9" w:rsidRDefault="00B5212B">
            <w:pPr>
              <w:pStyle w:val="Default"/>
              <w:spacing w:line="274" w:lineRule="auto"/>
              <w:rPr>
                <w:color w:val="auto"/>
              </w:rPr>
            </w:pPr>
            <w:r>
              <w:t>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запазващиидентичността на местните общности.</w:t>
            </w:r>
          </w:p>
          <w:p w:rsidR="009329C9" w:rsidRDefault="00B5212B">
            <w:pPr>
              <w:pStyle w:val="Default"/>
              <w:spacing w:line="274" w:lineRule="auto"/>
              <w:rPr>
                <w:color w:val="auto"/>
              </w:rPr>
            </w:pPr>
            <w:r>
              <w:t>8. Относително стабилна демографска среда, 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w:t>
            </w:r>
            <w:r>
              <w:lastRenderedPageBreak/>
              <w:t>лението; Наличие на достатъчно квалифицирана работна сила</w:t>
            </w:r>
          </w:p>
          <w:p w:rsidR="009329C9" w:rsidRDefault="00B5212B">
            <w:pPr>
              <w:pStyle w:val="Default"/>
              <w:spacing w:line="274" w:lineRule="auto"/>
              <w:rPr>
                <w:color w:val="auto"/>
              </w:rPr>
            </w:pPr>
            <w:r>
              <w:t>9. Високо ниво на административен капацитет, високо качество на обслужване на населението; Много добър административен опит в областта на усвояване на средства от структурните фондове на ЕС.</w:t>
            </w:r>
          </w:p>
        </w:tc>
        <w:tc>
          <w:tcPr>
            <w:tcW w:w="4820" w:type="dxa"/>
          </w:tcPr>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2. Недостатъчно използван потенциал на биологичното разнообразие, вкл. и за валоризацията му като обект на туристически </w:t>
            </w:r>
            <w:r>
              <w:rPr>
                <w:rFonts w:ascii="Times New Roman" w:hAnsi="Times New Roman" w:cs="Times New Roman"/>
                <w:sz w:val="24"/>
                <w:szCs w:val="24"/>
              </w:rPr>
              <w:lastRenderedPageBreak/>
              <w:t>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w:t>
            </w:r>
            <w:r>
              <w:rPr>
                <w:rFonts w:ascii="Times New Roman" w:hAnsi="Times New Roman" w:cs="Times New Roman"/>
                <w:sz w:val="24"/>
                <w:szCs w:val="24"/>
              </w:rPr>
              <w:lastRenderedPageBreak/>
              <w:t>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9329C9" w:rsidRDefault="009329C9">
            <w:pPr>
              <w:spacing w:after="0" w:line="274" w:lineRule="auto"/>
              <w:ind w:right="-1"/>
              <w:jc w:val="both"/>
              <w:rPr>
                <w:rFonts w:ascii="Times New Roman" w:eastAsia="Times New Roman" w:hAnsi="Times New Roman" w:cs="Times New Roman"/>
              </w:rPr>
            </w:pPr>
          </w:p>
        </w:tc>
      </w:tr>
      <w:tr w:rsidR="009329C9">
        <w:tc>
          <w:tcPr>
            <w:tcW w:w="5211" w:type="dxa"/>
          </w:tcPr>
          <w:p w:rsidR="009329C9" w:rsidRDefault="00B5212B">
            <w:pPr>
              <w:pStyle w:val="Default"/>
              <w:spacing w:line="274" w:lineRule="auto"/>
              <w:rPr>
                <w:b/>
                <w:color w:val="auto"/>
              </w:rPr>
            </w:pPr>
            <w:r>
              <w:rPr>
                <w:b/>
                <w:color w:val="auto"/>
              </w:rPr>
              <w:lastRenderedPageBreak/>
              <w:t>Възможности</w:t>
            </w:r>
          </w:p>
        </w:tc>
        <w:tc>
          <w:tcPr>
            <w:tcW w:w="4820" w:type="dxa"/>
          </w:tcPr>
          <w:p w:rsidR="009329C9" w:rsidRDefault="00B5212B">
            <w:pPr>
              <w:spacing w:after="0" w:line="274" w:lineRule="auto"/>
              <w:rPr>
                <w:rFonts w:ascii="Times New Roman" w:hAnsi="Times New Roman" w:cs="Times New Roman"/>
                <w:b/>
                <w:sz w:val="24"/>
                <w:szCs w:val="24"/>
              </w:rPr>
            </w:pPr>
            <w:r>
              <w:rPr>
                <w:rFonts w:ascii="Times New Roman" w:hAnsi="Times New Roman" w:cs="Times New Roman"/>
                <w:b/>
                <w:sz w:val="24"/>
                <w:szCs w:val="24"/>
              </w:rPr>
              <w:t>Заплахи</w:t>
            </w:r>
          </w:p>
        </w:tc>
      </w:tr>
      <w:tr w:rsidR="009329C9">
        <w:tc>
          <w:tcPr>
            <w:tcW w:w="5211" w:type="dxa"/>
          </w:tcPr>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1. Развитие на земеделието чрез използване подкрепата на 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повишаване на тяхната конкурентоспособност; По-нататъшно развитие на лозарството и привличане на още инвестиции за този отрасъл</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2. Диверсификация в неземеделски дейности и изграждане на затворени цикли в няколко направления: селскостопанска продукция/хранително вкусова преработваща промишленост; жито-мелничарство-хранително-вкусова промишленост; фуражна база-животновъдство-месопреработване; отглеждане на лозя-винопроизводство; Подобряване на икономическото състояние на територията чрез насърчаване на местните МСП;</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усвояване на средства по ОПОС;</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4. Развитие на туризма като структуроопределящ  отрасъл и на туристическата инфраструктура; Развиване на алтернативен туризъм – еко-, ловен, лозаро-винарски, приключенски, религиозен и особено на селския туризъм, който ще създаде нови работни места в селата и ще задържи хората в тях; Създаване на интегриран туристически продукт – културни забележителности и природа; Създаване на културни маршрути;</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5. Подобряване на местната между- и вътреселищна инфраструктура – пътища и канализация; Повишаване на енергийната ефективност и по</w:t>
            </w:r>
            <w:r>
              <w:rPr>
                <w:rFonts w:ascii="Times New Roman" w:hAnsi="Times New Roman" w:cs="Times New Roman"/>
                <w:sz w:val="24"/>
                <w:szCs w:val="24"/>
              </w:rPr>
              <w:lastRenderedPageBreak/>
              <w:t>литики за енерго спестяване, вкл. и продължаване на газификацията и изграждане на ВЕИ; Подобряване на достъпа до интернет, както и разширяване на интернет  базираните услуги на администрацията и електронно управление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6. Подобряване на социалната инфраструктура за селата в областта на здравеопазването, образованието и социалните услуги чрез разширяване на обхвата и капацитета им;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7. По-нататъшно развитие на политиките за деинституционализация и десегрегация чрез включване на застрашени общности в проекти и използване на програми за заетостта;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8. Създаване на нови работни места, развитие на сектора на образованието и професионалната квалификация, намаляване на социалната изолация на определени групи, особено на ромската общност и възрастните хора;</w:t>
            </w:r>
          </w:p>
        </w:tc>
        <w:tc>
          <w:tcPr>
            <w:tcW w:w="4820" w:type="dxa"/>
          </w:tcPr>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lastRenderedPageBreak/>
              <w:t>1. Продължаващ ефект на глобалната финансова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невъзможност  на общинските бюджети да осигуряват необходимото съфинансиране в процеса на усвояване на европейски фондове; Липса на достатъчно външни финансови източници, вкл. и на чужди инвестиции; Проблеми със спиране или забавяне на финансирането от ЕСИФ;</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2. Липса на достатъчно пазари за селскостопанска продукция на територията; Висока конкуренция и по-ниски цени на вносната  продукция; Произведената животинска продукция няма стоков характер; Свръхпроизводство на една култура;</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3. Ограничения за дребния бизнес и МСП, който е основа на местната икономика, вследствие на лицензионни режими, държавна бюрокрация и лоша данъчна политика; Завишени изисквания към дребния и средния бизнес от ЕС; Недостатъчно изграден капацитет в частния сектор и ниска степен на усвояване на ресурси по линия на Европейските фондове;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4. Задълбочаване на негативните демографски процеси и миграцията в рамките на страната и в чужбина; По-добри възможности за реализация на младите хора извън общината; Намаляване на населението и съкращаване на работната сила и възпроизводствения потенциал; Обезлюдяване на селата; </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5. Увеличаване броя на здравно неосигуре</w:t>
            </w:r>
            <w:r>
              <w:rPr>
                <w:rFonts w:ascii="Times New Roman" w:hAnsi="Times New Roman" w:cs="Times New Roman"/>
                <w:sz w:val="24"/>
                <w:szCs w:val="24"/>
              </w:rPr>
              <w:lastRenderedPageBreak/>
              <w:t>ните лица и на младежите, които отпадат от училище в селата на общината; Продължаваща изолация на ромската общност - повишена заболеваемост, липса на мотивация за работа и превръщането на социалното подпомагане е начин на живот;</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9329C9" w:rsidRDefault="00B5212B">
            <w:pPr>
              <w:spacing w:after="0" w:line="274" w:lineRule="auto"/>
              <w:rPr>
                <w:rFonts w:ascii="Times New Roman" w:hAnsi="Times New Roman" w:cs="Times New Roman"/>
                <w:sz w:val="24"/>
                <w:szCs w:val="24"/>
              </w:rPr>
            </w:pPr>
            <w:r>
              <w:rPr>
                <w:rFonts w:ascii="Times New Roman" w:hAnsi="Times New Roman" w:cs="Times New Roman"/>
                <w:sz w:val="24"/>
                <w:szCs w:val="24"/>
              </w:rPr>
              <w:t>7. Рискове, причинени от промените в климата, вкл. от високи щети при природни бедствия и аварии. Рискове от продължаващото битово замърсяване поради употребата на твърди горива и замърсяване на отпадните води заради липсата на канализация и пречиствателни станции.</w:t>
            </w:r>
          </w:p>
          <w:p w:rsidR="009329C9" w:rsidRDefault="009329C9">
            <w:pPr>
              <w:spacing w:after="0" w:line="274" w:lineRule="auto"/>
              <w:rPr>
                <w:rFonts w:ascii="Times New Roman" w:hAnsi="Times New Roman" w:cs="Times New Roman"/>
                <w:sz w:val="24"/>
                <w:szCs w:val="24"/>
              </w:rPr>
            </w:pPr>
          </w:p>
        </w:tc>
      </w:tr>
    </w:tbl>
    <w:p w:rsidR="009329C9" w:rsidRDefault="00B5212B">
      <w:pPr>
        <w:pStyle w:val="2"/>
        <w:tabs>
          <w:tab w:val="left" w:pos="426"/>
        </w:tabs>
        <w:spacing w:before="0"/>
        <w:ind w:right="-1"/>
        <w:jc w:val="both"/>
        <w:rPr>
          <w:rFonts w:ascii="Times New Roman" w:hAnsi="Times New Roman" w:cs="Times New Roman"/>
          <w:b/>
          <w:color w:val="auto"/>
          <w:sz w:val="24"/>
          <w:szCs w:val="24"/>
          <w:highlight w:val="yellow"/>
        </w:rPr>
      </w:pPr>
      <w:r>
        <w:rPr>
          <w:rFonts w:ascii="Times New Roman" w:hAnsi="Times New Roman" w:cs="Times New Roman"/>
          <w:b/>
          <w:color w:val="auto"/>
          <w:sz w:val="24"/>
          <w:szCs w:val="24"/>
        </w:rPr>
        <w:lastRenderedPageBreak/>
        <w:t>3.4.Потребности на уязвимите и малцинствени групи</w:t>
      </w:r>
      <w:bookmarkEnd w:id="18"/>
      <w:bookmarkEnd w:id="19"/>
      <w:r>
        <w:rPr>
          <w:rFonts w:ascii="Times New Roman" w:hAnsi="Times New Roman" w:cs="Times New Roman"/>
          <w:b/>
          <w:color w:val="auto"/>
          <w:sz w:val="24"/>
          <w:szCs w:val="24"/>
        </w:rPr>
        <w:t>:</w:t>
      </w:r>
    </w:p>
    <w:p w:rsidR="009329C9" w:rsidRDefault="00B5212B">
      <w:pPr>
        <w:spacing w:after="0"/>
        <w:ind w:right="-1"/>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анализа на социално-демографската и икономическа картина на територията на МИГ „Свиленград Ареал” се очертават някои уязвимигрупи и малцинствени общности. Разрешаването на част от проблемите им е включено в целите на Стратегията за ВОМР.</w:t>
      </w:r>
    </w:p>
    <w:p w:rsidR="009329C9" w:rsidRDefault="00B5212B">
      <w:pPr>
        <w:pStyle w:val="af4"/>
        <w:numPr>
          <w:ilvl w:val="0"/>
          <w:numId w:val="2"/>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Безработни лица</w:t>
      </w:r>
      <w:r>
        <w:rPr>
          <w:rFonts w:ascii="Times New Roman" w:eastAsia="Calibri" w:hAnsi="Times New Roman" w:cs="Times New Roman"/>
          <w:sz w:val="24"/>
          <w:szCs w:val="24"/>
          <w:lang w:eastAsia="en-US"/>
        </w:rPr>
        <w:t xml:space="preserve"> с по-ниска конкурентоспособност на пазара на труда. Това са: -безработни младежи, завършили образованието си; - младежи, неактивни на пазара на труда; - безработни без квалификация, особено от етнически общности; - безработни в предпенсионна възраст. </w:t>
      </w:r>
      <w:r>
        <w:rPr>
          <w:rFonts w:ascii="Times New Roman" w:hAnsi="Times New Roman" w:cs="Times New Roman"/>
          <w:sz w:val="24"/>
          <w:szCs w:val="24"/>
        </w:rPr>
        <w:t>Разпределението на безработните по възраст се отличава с нарастване на броя им с увеличаване на възрастта. С най-голям дял са възрастовите групи над 55 г., следвани от тези до 54 г. и до 49 г.. Расте и броят на безработните до 29 годишна възраст - т.нар. „младежка безработица“ – 21,8% от всички безработни, показател по-висок от този за областта (18%). Освен тях, като най-уязвими на пазара на труда са лицата с ниско образование, ниска квалификация или без квалификация. Структурата на безработните по степен на образование също е негативна: най-голям е относителният дял на безработните без квалификация (33%) и с основно и по-ниско образование – (25%), като техният брой и относителен дял също се увеличават. Тенденцията към нарастване прави тази група една от най-рисковите и най-застрашените категории лица от социално изключване. Потребностите на тази група са най-вече от осигуряване на работа, затова в Стратегията са предвидени мерки по ОП РЧР.</w:t>
      </w:r>
    </w:p>
    <w:p w:rsidR="009329C9" w:rsidRDefault="00B5212B">
      <w:pPr>
        <w:pStyle w:val="af4"/>
        <w:numPr>
          <w:ilvl w:val="0"/>
          <w:numId w:val="2"/>
        </w:numPr>
        <w:tabs>
          <w:tab w:val="left" w:pos="142"/>
          <w:tab w:val="left" w:pos="426"/>
        </w:tabs>
        <w:spacing w:after="0"/>
        <w:ind w:left="0" w:firstLine="142"/>
        <w:jc w:val="both"/>
        <w:rPr>
          <w:rFonts w:ascii="Times New Roman" w:eastAsia="Calibri" w:hAnsi="Times New Roman" w:cs="Times New Roman"/>
          <w:sz w:val="24"/>
          <w:szCs w:val="24"/>
          <w:lang w:eastAsia="en-US"/>
        </w:rPr>
      </w:pPr>
      <w:r>
        <w:rPr>
          <w:rFonts w:ascii="Times New Roman" w:hAnsi="Times New Roman" w:cs="Times New Roman"/>
          <w:b/>
          <w:bCs/>
          <w:sz w:val="24"/>
          <w:szCs w:val="24"/>
        </w:rPr>
        <w:t xml:space="preserve">Регистрираните продължително безработни лица - </w:t>
      </w:r>
      <w:r>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Pr>
          <w:rFonts w:ascii="Times New Roman" w:eastAsia="Calibri" w:hAnsi="Times New Roman" w:cs="Times New Roman"/>
          <w:sz w:val="24"/>
          <w:szCs w:val="24"/>
          <w:lang w:eastAsia="en-US"/>
        </w:rPr>
        <w:t>.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За тях също са предвидени мерки по ОП РЧР, тъй като потребностите им също са най-вече от осигуряване на заетост и доходи.</w:t>
      </w:r>
    </w:p>
    <w:p w:rsidR="009329C9" w:rsidRDefault="00B5212B">
      <w:pPr>
        <w:pStyle w:val="af4"/>
        <w:numPr>
          <w:ilvl w:val="0"/>
          <w:numId w:val="2"/>
        </w:numPr>
        <w:tabs>
          <w:tab w:val="left" w:pos="142"/>
          <w:tab w:val="left" w:pos="426"/>
        </w:tabs>
        <w:spacing w:after="0"/>
        <w:ind w:left="0" w:firstLine="142"/>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Етнически общности със специален фокус към ромите</w:t>
      </w:r>
      <w:r>
        <w:rPr>
          <w:rFonts w:ascii="Times New Roman" w:eastAsia="Calibri" w:hAnsi="Times New Roman" w:cs="Times New Roman"/>
          <w:sz w:val="24"/>
          <w:szCs w:val="24"/>
          <w:lang w:eastAsia="en-US"/>
        </w:rPr>
        <w:t>. Ромската общност на територията е втора по численост след българската. В ромските квартали са налице различни фак</w:t>
      </w:r>
      <w:r>
        <w:rPr>
          <w:rFonts w:ascii="Times New Roman" w:eastAsia="Calibri" w:hAnsi="Times New Roman" w:cs="Times New Roman"/>
          <w:sz w:val="24"/>
          <w:szCs w:val="24"/>
          <w:lang w:eastAsia="en-US"/>
        </w:rPr>
        <w:lastRenderedPageBreak/>
        <w:t xml:space="preserve">тори, пораждащи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училище.  </w:t>
      </w:r>
      <w:r>
        <w:rPr>
          <w:rFonts w:ascii="Times New Roman" w:hAnsi="Times New Roman" w:cs="Times New Roman"/>
          <w:sz w:val="24"/>
          <w:szCs w:val="24"/>
        </w:rPr>
        <w:t xml:space="preserve">В резултат на значително по-високата раждаемост, ромските деца и младежи заемат все по-голям относителен дял в ниските възрастови групи. </w:t>
      </w:r>
      <w:r>
        <w:rPr>
          <w:rFonts w:ascii="Times New Roman" w:eastAsia="Calibri" w:hAnsi="Times New Roman" w:cs="Times New Roman"/>
          <w:sz w:val="24"/>
          <w:szCs w:val="24"/>
          <w:lang w:eastAsia="en-US"/>
        </w:rPr>
        <w:t>На територията на община Свиленград действа „План за изпълнение на Националната стратегия на РБ за интегриране на ромите 2012-2020“. 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9329C9" w:rsidRDefault="00B5212B">
      <w:pPr>
        <w:pStyle w:val="af4"/>
        <w:numPr>
          <w:ilvl w:val="0"/>
          <w:numId w:val="2"/>
        </w:numPr>
        <w:tabs>
          <w:tab w:val="left" w:pos="142"/>
          <w:tab w:val="left" w:pos="426"/>
        </w:tabs>
        <w:spacing w:after="0"/>
        <w:ind w:left="0" w:firstLine="142"/>
        <w:jc w:val="both"/>
        <w:rPr>
          <w:rFonts w:ascii="Times New Roman" w:eastAsia="Calibri" w:hAnsi="Times New Roman" w:cs="Times New Roman"/>
          <w:sz w:val="24"/>
          <w:szCs w:val="24"/>
          <w:lang w:eastAsia="en-US"/>
        </w:rPr>
      </w:pPr>
      <w:r>
        <w:rPr>
          <w:rFonts w:ascii="Times New Roman" w:hAnsi="Times New Roman" w:cs="Times New Roman"/>
          <w:b/>
          <w:bCs/>
          <w:sz w:val="24"/>
          <w:szCs w:val="24"/>
        </w:rPr>
        <w:t>Други рискови група са: хора с увреждания, самотни майки, самотно живеещи възрастни хора, особено в селата, социално слаби,</w:t>
      </w:r>
      <w:r>
        <w:rPr>
          <w:rFonts w:ascii="Times New Roman" w:hAnsi="Times New Roman" w:cs="Times New Roman"/>
          <w:bCs/>
          <w:sz w:val="24"/>
          <w:szCs w:val="24"/>
        </w:rPr>
        <w:t xml:space="preserve"> чиито потребости и нужди са очертани като проблем за решаване в целите и приоритетите на стратегията.</w:t>
      </w:r>
    </w:p>
    <w:p w:rsidR="009329C9" w:rsidRDefault="00B5212B">
      <w:pPr>
        <w:tabs>
          <w:tab w:val="left" w:pos="0"/>
          <w:tab w:val="left" w:pos="284"/>
        </w:tabs>
        <w:spacing w:after="0"/>
        <w:ind w:right="-1"/>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решаване на проблемите на рисковите групи – бедност, безработица и липса на квалификция, особено сред ромите, ще бъдат използвани мерките на ОП РЧР и на ОПНОИР. По ПРСР, ОПОС и ОПИК, където е възможно, ще бъде давано предимство на проекти създаващи нови работни места, подобряващи достъпността на средата, повишаващи качеството на живот в обичайна среда, а приоритет ще се дава на дейности, които осигуряват заетост и услуги за хора в неравностойно положение и рисковите групи.Ще бъдат предприети действия в посока на: наваксване на липсата на квалификация и образование; подкрепа   на   родители   в   случаите   на   трайна   безработица;насърчаване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както и наемането им в общински фирми; включване на групите в неравностойно положение в пазара на труда; изграждане на родителски капацитет и увереност; включване на децата от ранна възраст в образователната система и мотивация за задържане в нея;  директна работа в общността за подкрепа на семействата в неравностойно положение и за подпомагане на семейството при реинтеграция на деца, настанени в институции, както и превенция на изоставянето; изграждане  на  механизъм  на  междусекторно  партньорство  между  институциите  за използване на техните ресурси в подкрепа на семействата при преодоляване на бедността и социалната изолация.</w:t>
      </w:r>
    </w:p>
    <w:p w:rsidR="009329C9" w:rsidRDefault="00B5212B">
      <w:pPr>
        <w:tabs>
          <w:tab w:val="left" w:pos="0"/>
          <w:tab w:val="left" w:pos="284"/>
        </w:tabs>
        <w:spacing w:after="0"/>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Екипът на МИГ и всички експерти ще следват принципа на равните възможности. Информацията за работата на МИГ и потенциалът за получаване на финансиране по всички ОПтрябва да достига до всички членове на местната общност. </w:t>
      </w:r>
      <w:bookmarkStart w:id="20" w:name="_Toc448392283"/>
      <w:bookmarkStart w:id="21" w:name="_Toc449349429"/>
      <w:r>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9329C9" w:rsidRDefault="009329C9">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Pr>
          <w:rFonts w:ascii="Times New Roman" w:hAnsi="Times New Roman" w:cs="Times New Roman"/>
          <w:color w:val="auto"/>
          <w:sz w:val="24"/>
          <w:szCs w:val="24"/>
        </w:rPr>
        <w:lastRenderedPageBreak/>
        <w:t>4. Цели на стратегията:</w:t>
      </w:r>
      <w:bookmarkEnd w:id="20"/>
      <w:bookmarkEnd w:id="21"/>
    </w:p>
    <w:p w:rsidR="009329C9" w:rsidRDefault="00B5212B">
      <w:pPr>
        <w:pStyle w:val="2"/>
        <w:spacing w:before="0"/>
        <w:jc w:val="both"/>
        <w:rPr>
          <w:rFonts w:ascii="Times New Roman" w:hAnsi="Times New Roman" w:cs="Times New Roman"/>
          <w:b/>
          <w:color w:val="auto"/>
          <w:sz w:val="24"/>
          <w:szCs w:val="24"/>
        </w:rPr>
      </w:pPr>
      <w:bookmarkStart w:id="22" w:name="_Toc449349430"/>
      <w:bookmarkStart w:id="23" w:name="_Toc448392284"/>
      <w:r>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9329C9" w:rsidRDefault="00B5212B">
      <w:pPr>
        <w:spacing w:after="0"/>
        <w:rPr>
          <w:rFonts w:ascii="Times New Roman" w:eastAsia="Calibri" w:hAnsi="Times New Roman" w:cs="Times New Roman"/>
          <w:sz w:val="24"/>
          <w:szCs w:val="24"/>
          <w:lang w:eastAsia="en-US"/>
        </w:rPr>
      </w:pPr>
      <w:bookmarkStart w:id="24" w:name="_Toc448392285"/>
      <w:bookmarkStart w:id="25" w:name="_Toc449349431"/>
      <w:r>
        <w:rPr>
          <w:rFonts w:ascii="Times New Roman" w:eastAsia="Calibri" w:hAnsi="Times New Roman" w:cs="Times New Roman"/>
          <w:b/>
          <w:sz w:val="24"/>
          <w:szCs w:val="24"/>
          <w:lang w:eastAsia="en-US"/>
        </w:rPr>
        <w:t xml:space="preserve">Цел и мисия: </w:t>
      </w:r>
      <w:r>
        <w:rPr>
          <w:rFonts w:ascii="Times New Roman" w:eastAsia="Calibri" w:hAnsi="Times New Roman" w:cs="Times New Roman"/>
          <w:sz w:val="24"/>
          <w:szCs w:val="24"/>
          <w:lang w:eastAsia="en-US"/>
        </w:rPr>
        <w:t>Устойчив растеж на цялата територия на МИГ „Свиленград Ареал“ чрез подобряване конкурентостта на селското стопанство и на малките и средни предприятия, повишаване на ефективността на  местната икономика, увеличаване на заетостта и подобряване условията за живот, съхраняване на културния потенциал и подобряване на околната среда.</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Приоритет 1</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9329C9" w:rsidRDefault="00B5212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2</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u w:val="single"/>
        </w:rPr>
        <w:t>Приоритет 3</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подпомагане създаването на заетост, подобряване на местния пазар на труда и реализация на мерки за  активно социално приобщаване.</w:t>
      </w:r>
    </w:p>
    <w:p w:rsidR="009329C9" w:rsidRDefault="00B5212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4.2. Специфични цели:</w:t>
      </w:r>
      <w:bookmarkEnd w:id="24"/>
      <w:bookmarkEnd w:id="25"/>
    </w:p>
    <w:p w:rsidR="009329C9" w:rsidRDefault="00B5212B">
      <w:pPr>
        <w:spacing w:after="0"/>
        <w:rPr>
          <w:rFonts w:ascii="Times New Roman" w:eastAsia="Calibri" w:hAnsi="Times New Roman" w:cs="Times New Roman"/>
          <w:b/>
          <w:sz w:val="28"/>
          <w:szCs w:val="28"/>
          <w:lang w:eastAsia="en-US"/>
        </w:rPr>
      </w:pPr>
      <w:bookmarkStart w:id="26" w:name="_Toc448392286"/>
      <w:r>
        <w:rPr>
          <w:rFonts w:ascii="Times New Roman" w:eastAsia="Calibri" w:hAnsi="Times New Roman" w:cs="Times New Roman"/>
          <w:b/>
          <w:sz w:val="24"/>
          <w:szCs w:val="24"/>
          <w:u w:val="single"/>
          <w:lang w:eastAsia="en-US"/>
        </w:rPr>
        <w:t>Приоритет 1</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9329C9" w:rsidRDefault="00B5212B">
      <w:pPr>
        <w:spacing w:after="0"/>
        <w:rPr>
          <w:rFonts w:ascii="Times New Roman" w:eastAsia="Calibri" w:hAnsi="Times New Roman" w:cs="Times New Roman"/>
          <w:sz w:val="24"/>
          <w:lang w:eastAsia="en-US"/>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Тази цел ще бъде постигната чрез инвестиции в модернизация и механизация, пряко свързани с намаляване на производствените разходи и повишаване производителността на труда в земеделските стопанства. Също така чрез дейности за съхранение и преработка на земеделската продукция с цел запазване нейното качество. За постигане на тази цел, помощта ще бъде насочена към подобряване икономическото състояние на земеделския сектор на територията на МИГ.  </w:t>
      </w:r>
      <w:r>
        <w:rPr>
          <w:rFonts w:ascii="Times New Roman" w:eastAsia="Times New Roman" w:hAnsi="Times New Roman" w:cs="Times New Roman"/>
          <w:b/>
          <w:sz w:val="24"/>
          <w:szCs w:val="24"/>
        </w:rPr>
        <w:t xml:space="preserve">Мярка 4.1 „Инвестиции в земеделски стопанства“ от ПРСР </w:t>
      </w:r>
      <w:r>
        <w:rPr>
          <w:rFonts w:ascii="Times New Roman" w:eastAsia="Times New Roman" w:hAnsi="Times New Roman" w:cs="Times New Roman"/>
          <w:sz w:val="24"/>
          <w:szCs w:val="24"/>
        </w:rPr>
        <w:t>е основното средство за постигането на тази цел.</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2</w:t>
      </w:r>
      <w:r>
        <w:rPr>
          <w:rFonts w:ascii="Times New Roman" w:eastAsia="Times New Roman" w:hAnsi="Times New Roman" w:cs="Times New Roman"/>
          <w:sz w:val="24"/>
          <w:szCs w:val="24"/>
        </w:rPr>
        <w:t xml:space="preserve">  - Насърчаване на развитието и икономическата ефективност </w:t>
      </w:r>
      <w:r>
        <w:rPr>
          <w:rFonts w:ascii="Times New Roman" w:eastAsia="Calibri" w:hAnsi="Times New Roman" w:cs="Times New Roman"/>
          <w:sz w:val="24"/>
          <w:szCs w:val="24"/>
          <w:lang w:eastAsia="en-US"/>
        </w:rPr>
        <w:t>на предприятия от хранително-преработвателната промишленост.</w:t>
      </w:r>
    </w:p>
    <w:p w:rsidR="009329C9" w:rsidRDefault="00B5212B">
      <w:pPr>
        <w:spacing w:after="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Тази цел ще се реализира чрез инвестиции в материални и/или нематериални активи, подобряващи цялостната дейност на предприятията. Подкрепа се дава за инсталиране на нови машини и оборудване за оптимизиране на производствения процес и маркетинга, както и за инвестиции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Pr>
          <w:rFonts w:ascii="Times New Roman" w:eastAsia="Times New Roman" w:hAnsi="Times New Roman" w:cs="Times New Roman"/>
          <w:b/>
          <w:sz w:val="24"/>
          <w:szCs w:val="24"/>
        </w:rPr>
        <w:t>4.2 „Инвестиции в преработка/маркетинг на селскостопански продукти“ от ПРСР</w:t>
      </w:r>
    </w:p>
    <w:p w:rsidR="009329C9" w:rsidRDefault="00B521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Тази цел ще бъде постигната чрез подкрепа за дейности в областта на развитието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земеделието. Тази специфична цел ще се реализира чрез  мярка </w:t>
      </w:r>
      <w:r>
        <w:rPr>
          <w:rFonts w:ascii="Times New Roman" w:eastAsia="Times New Roman" w:hAnsi="Times New Roman" w:cs="Times New Roman"/>
          <w:b/>
          <w:sz w:val="24"/>
          <w:szCs w:val="24"/>
        </w:rPr>
        <w:t>6.4 „Инвестиции в подкрепа на неземеделски дейности“ от ПРСР.</w:t>
      </w:r>
    </w:p>
    <w:p w:rsidR="009329C9" w:rsidRDefault="00B5212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2</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9329C9" w:rsidRDefault="00B5212B">
      <w:pPr>
        <w:spacing w:after="0"/>
        <w:ind w:right="-1"/>
        <w:jc w:val="both"/>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Основните дейности за постигане на тази цел са изграждането и подобряването на инфраструктурата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бъде постигната чрез мярка </w:t>
      </w:r>
      <w:r>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Специфична цел 2</w:t>
      </w:r>
      <w:r>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Целта е да се създадат условия за развитие на туризма  и свързаното с него опазване на  природното и историческо наследство чрез инвестиции в туристическата инфраструктура, атракции и съоръжения, като по този начин се увеличава и заетостта в населените места.За реализирането на тази цел ще бъде използвана  мярка </w:t>
      </w:r>
      <w:r>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дадености, развитие на децата и младите 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 иновативна мярка </w:t>
      </w:r>
      <w:r>
        <w:rPr>
          <w:rFonts w:ascii="Times New Roman" w:eastAsia="Times New Roman" w:hAnsi="Times New Roman" w:cs="Times New Roman"/>
          <w:b/>
          <w:bCs/>
          <w:sz w:val="24"/>
          <w:szCs w:val="24"/>
        </w:rPr>
        <w:t>7.11 „Повишаване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p>
    <w:p w:rsidR="009329C9" w:rsidRDefault="00B521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Специфична цел 4 – </w:t>
      </w:r>
      <w:r>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Инвестициите за постигането на тази цел ще осигурят на общността  балансирана околна среда и екологично развитие, които са необходимо условие за напредъка както на земеделския сектор, така и на подобряването на условията за живот на населението.Мерките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приоритетна рамка за действие за Натура 2000 </w:t>
      </w:r>
      <w:r>
        <w:rPr>
          <w:rFonts w:ascii="Times New Roman" w:eastAsia="Calibri" w:hAnsi="Times New Roman" w:cs="Times New Roman"/>
          <w:sz w:val="24"/>
          <w:szCs w:val="24"/>
          <w:lang w:val="ru-RU" w:eastAsia="en-US"/>
        </w:rPr>
        <w:t>(</w:t>
      </w:r>
      <w:r>
        <w:rPr>
          <w:rFonts w:ascii="Times New Roman" w:eastAsia="Calibri" w:hAnsi="Times New Roman" w:cs="Times New Roman"/>
          <w:sz w:val="24"/>
          <w:szCs w:val="24"/>
          <w:lang w:eastAsia="en-US"/>
        </w:rPr>
        <w:t>НПРД). Средство за постигане на тази специфична цел е мярката по приоритетна ос 3 „Натура 2000 и биоразнообразие“  на Оперативна програма</w:t>
      </w:r>
      <w:r>
        <w:rPr>
          <w:rFonts w:ascii="Times New Roman" w:eastAsia="Calibri" w:hAnsi="Times New Roman" w:cs="Times New Roman"/>
          <w:lang w:eastAsia="en-US"/>
        </w:rPr>
        <w:t xml:space="preserve"> „</w:t>
      </w:r>
      <w:r>
        <w:rPr>
          <w:rFonts w:ascii="Times New Roman" w:eastAsia="Calibri" w:hAnsi="Times New Roman" w:cs="Times New Roman"/>
          <w:sz w:val="24"/>
          <w:szCs w:val="24"/>
          <w:lang w:eastAsia="en-US"/>
        </w:rPr>
        <w:t xml:space="preserve">Околна </w:t>
      </w:r>
      <w:r>
        <w:rPr>
          <w:rFonts w:ascii="Times New Roman" w:eastAsia="Calibri" w:hAnsi="Times New Roman" w:cs="Times New Roman"/>
          <w:sz w:val="24"/>
          <w:szCs w:val="24"/>
          <w:lang w:eastAsia="en-US"/>
        </w:rPr>
        <w:lastRenderedPageBreak/>
        <w:t>среда 2014 – 2020 г.“</w:t>
      </w:r>
      <w:r>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9329C9" w:rsidRDefault="00B5212B">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Приоритет </w:t>
      </w:r>
      <w:r>
        <w:rPr>
          <w:rFonts w:ascii="Times New Roman" w:eastAsia="Times New Roman" w:hAnsi="Times New Roman" w:cs="Times New Roman"/>
          <w:b/>
          <w:sz w:val="24"/>
          <w:szCs w:val="24"/>
        </w:rPr>
        <w:t>3</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p>
    <w:p w:rsidR="009329C9" w:rsidRDefault="00B5212B">
      <w:pPr>
        <w:spacing w:after="0"/>
        <w:ind w:right="283"/>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Специфична цел 1 - </w:t>
      </w:r>
      <w:r>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Целта ще бъде постигната чрез включване или реинтегриране в пазара на труда на безработни, трайно безработни и неактивни лица от всякакви възрастови групи и насърчаване на създаването на нови работни места. Предвижда се и подкрепа за мобилността на работната сила, както и за повишаване квалификацията на населението. За постигането на тази цел ще бъдат използвани </w:t>
      </w:r>
      <w:r>
        <w:rPr>
          <w:rFonts w:ascii="Times New Roman" w:eastAsia="Times New Roman" w:hAnsi="Times New Roman" w:cs="Times New Roman"/>
          <w:b/>
          <w:sz w:val="24"/>
          <w:szCs w:val="24"/>
        </w:rPr>
        <w:t>Мярка 1.1 Достъп до заетост</w:t>
      </w:r>
      <w:r>
        <w:rPr>
          <w:rFonts w:ascii="Times New Roman" w:eastAsia="Times New Roman" w:hAnsi="Times New Roman" w:cs="Times New Roman"/>
          <w:sz w:val="24"/>
          <w:szCs w:val="24"/>
        </w:rPr>
        <w:t xml:space="preserve">(ПО 1 „Подобряване достъпа до заетост и качеството на работните места“, ИП1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Pr>
          <w:rFonts w:ascii="Times New Roman" w:eastAsia="Times New Roman" w:hAnsi="Times New Roman" w:cs="Times New Roman"/>
          <w:b/>
          <w:sz w:val="24"/>
          <w:szCs w:val="24"/>
        </w:rPr>
        <w:t>Мярка 1.3</w:t>
      </w:r>
      <w:r>
        <w:rPr>
          <w:rFonts w:ascii="Times New Roman" w:eastAsia="Calibri" w:hAnsi="Times New Roman" w:cs="Times New Roman"/>
          <w:b/>
          <w:sz w:val="24"/>
          <w:szCs w:val="24"/>
          <w:lang w:eastAsia="en-US"/>
        </w:rPr>
        <w:t>Устойчиво интегриране на пазара на труда на младите хора</w:t>
      </w:r>
      <w:r>
        <w:rPr>
          <w:rFonts w:ascii="Times New Roman" w:eastAsia="Calibri" w:hAnsi="Times New Roman" w:cs="Times New Roman"/>
          <w:sz w:val="24"/>
          <w:szCs w:val="24"/>
          <w:lang w:eastAsia="en-US"/>
        </w:rPr>
        <w:t>(</w:t>
      </w:r>
      <w:r>
        <w:rPr>
          <w:rFonts w:ascii="Times New Roman" w:eastAsia="Times New Roman" w:hAnsi="Times New Roman" w:cs="Times New Roman"/>
          <w:sz w:val="24"/>
          <w:szCs w:val="24"/>
        </w:rPr>
        <w:t xml:space="preserve">ПО1 „Подобряване достъпа до заетост и качеството на работните места“, ИП 3 „Устойчиво интегриране на пазара на труда на младите хора,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маргинализирани общности, включително чрез прилагане на гаранция за младежта“) на </w:t>
      </w:r>
      <w:r>
        <w:rPr>
          <w:rFonts w:ascii="Times New Roman" w:eastAsia="Times New Roman" w:hAnsi="Times New Roman" w:cs="Times New Roman"/>
          <w:b/>
          <w:sz w:val="24"/>
          <w:szCs w:val="24"/>
        </w:rPr>
        <w:t>ОП РЧР 2014-2020.</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2 </w:t>
      </w:r>
      <w:r>
        <w:rPr>
          <w:rFonts w:ascii="Times New Roman" w:eastAsia="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Тази цел е насочена към доразвиване на политиките за недискриминация и десегрегация и  насърчаване на социалното включване и преодоляване на бедността,</w:t>
      </w:r>
      <w:r>
        <w:rPr>
          <w:rFonts w:ascii="Times New Roman" w:eastAsia="Calibri" w:hAnsi="Times New Roman" w:cs="Times New Roman"/>
          <w:sz w:val="24"/>
          <w:szCs w:val="24"/>
          <w:lang w:eastAsia="en-US"/>
        </w:rPr>
        <w:t xml:space="preserve">за да бъде постигнато пълноценно участие на най-маргинализираните групи и общности в икономиката, пазара на труда, обществения и културния живот. Действията ще бъдат фокусирани върху ромската общност като една от основните групи в риск на територията на МИГ. Целта ще бъде постигната чрез прилагането на </w:t>
      </w:r>
      <w:r>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r>
        <w:rPr>
          <w:rFonts w:ascii="Times New Roman" w:eastAsia="Times New Roman" w:hAnsi="Times New Roman" w:cs="Times New Roman"/>
          <w:sz w:val="24"/>
          <w:szCs w:val="24"/>
        </w:rPr>
        <w:t xml:space="preserve">(ПО 2Намаляване на бедността и насърчаване на социалното включване“, ИП1 „Социално-икономическа интеграция на маргинализирани общности като ромите”) от </w:t>
      </w:r>
      <w:r>
        <w:rPr>
          <w:rFonts w:ascii="Times New Roman" w:eastAsia="Times New Roman" w:hAnsi="Times New Roman" w:cs="Times New Roman"/>
          <w:b/>
          <w:sz w:val="24"/>
          <w:szCs w:val="24"/>
        </w:rPr>
        <w:t>ОП РЧР 2014-2020.</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p w:rsidR="009329C9" w:rsidRDefault="00B5212B">
      <w:pPr>
        <w:spacing w:after="0"/>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Тази цел също е насочена към социално-икономическа интеграция на маргинализирани общности като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детски градини и училища в населените места с повече от една детска градина/едно училище; преодоляване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недопускане на дискриминация, основана на раса, етнически произход или религиозна принадлежност).  Целта ще бъде реализирана чрез </w:t>
      </w:r>
      <w:r>
        <w:rPr>
          <w:rFonts w:ascii="Times New Roman" w:eastAsia="Times New Roman" w:hAnsi="Times New Roman" w:cs="Times New Roman"/>
          <w:b/>
          <w:sz w:val="24"/>
          <w:szCs w:val="24"/>
        </w:rPr>
        <w:t xml:space="preserve">„Осигуряване на достъп до качествено </w:t>
      </w:r>
      <w:r>
        <w:rPr>
          <w:rFonts w:ascii="Times New Roman" w:eastAsia="Times New Roman" w:hAnsi="Times New Roman" w:cs="Times New Roman"/>
          <w:b/>
          <w:sz w:val="24"/>
          <w:szCs w:val="24"/>
        </w:rPr>
        <w:lastRenderedPageBreak/>
        <w:t>образование в малките населени места и в трудно достъпните райони“ по Инвестиционен приоритет 9.ii „Социално-икономическо интегриране на маргинализирани общности, като например ромите” от ОПНОИР.</w:t>
      </w:r>
    </w:p>
    <w:p w:rsidR="009329C9" w:rsidRDefault="00B5212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1</w:t>
      </w:r>
      <w:r>
        <w:rPr>
          <w:rFonts w:ascii="Times New Roman" w:eastAsia="Times New Roman" w:hAnsi="Times New Roman" w:cs="Times New Roman"/>
          <w:sz w:val="24"/>
          <w:szCs w:val="24"/>
        </w:rPr>
        <w:t xml:space="preserve"> – Повишаване на производителността на МСП на територията на МИГ „Свиленград Ареал“.</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мярката съответстваща на  Инвестиционен приоритет </w:t>
      </w:r>
      <w:r>
        <w:rPr>
          <w:rFonts w:ascii="Times New Roman" w:eastAsia="Times New Roman" w:hAnsi="Times New Roman" w:cs="Times New Roman"/>
          <w:b/>
          <w:sz w:val="24"/>
          <w:szCs w:val="24"/>
        </w:rPr>
        <w:t>2.2„Капацитет за растеж на МСП”</w:t>
      </w:r>
      <w:r>
        <w:rPr>
          <w:rFonts w:ascii="Times New Roman" w:eastAsia="Times New Roman" w:hAnsi="Times New Roman" w:cs="Times New Roman"/>
          <w:sz w:val="24"/>
          <w:szCs w:val="24"/>
        </w:rPr>
        <w:t xml:space="preserve"> по </w:t>
      </w:r>
      <w:r>
        <w:rPr>
          <w:rFonts w:ascii="Times New Roman" w:eastAsia="Calibri" w:hAnsi="Times New Roman" w:cs="Times New Roman"/>
          <w:bCs/>
          <w:sz w:val="24"/>
          <w:szCs w:val="24"/>
          <w:lang w:eastAsia="en-US"/>
        </w:rPr>
        <w:t xml:space="preserve">Приоритетна ос 2 „Предприемачество и капацитет за растеж наМСП“ на </w:t>
      </w:r>
      <w:r>
        <w:rPr>
          <w:rFonts w:ascii="Times New Roman" w:eastAsia="Calibri" w:hAnsi="Times New Roman" w:cs="Times New Roman"/>
          <w:b/>
          <w:bCs/>
          <w:sz w:val="24"/>
          <w:szCs w:val="24"/>
          <w:lang w:eastAsia="en-US"/>
        </w:rPr>
        <w:t>ОПИК.</w:t>
      </w:r>
    </w:p>
    <w:p w:rsidR="009329C9" w:rsidRDefault="00B5212B">
      <w:pPr>
        <w:pStyle w:val="2"/>
        <w:ind w:right="-1"/>
        <w:jc w:val="both"/>
        <w:rPr>
          <w:rFonts w:ascii="Times New Roman" w:hAnsi="Times New Roman" w:cs="Times New Roman"/>
          <w:sz w:val="24"/>
          <w:szCs w:val="24"/>
        </w:rPr>
      </w:pPr>
      <w:r>
        <w:rPr>
          <w:rFonts w:ascii="Times New Roman" w:hAnsi="Times New Roman" w:cs="Times New Roman"/>
          <w:b/>
          <w:color w:val="auto"/>
          <w:sz w:val="24"/>
          <w:szCs w:val="24"/>
        </w:rPr>
        <w:t xml:space="preserve">4.3. </w:t>
      </w:r>
      <w:bookmarkEnd w:id="26"/>
      <w:r>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Настоящата Стратегияе съобразена с характеристиките на територията, местния потенциал и проблемите за решаване. На местно ниво в Стратегията са приведени основните приоритети на всички стратегически документи на национално и областно ниво.</w:t>
      </w:r>
    </w:p>
    <w:p w:rsidR="009329C9" w:rsidRDefault="00B5212B">
      <w:pPr>
        <w:tabs>
          <w:tab w:val="left" w:pos="284"/>
        </w:tabs>
        <w:spacing w:after="0"/>
        <w:ind w:right="-1"/>
        <w:jc w:val="both"/>
        <w:rPr>
          <w:rFonts w:ascii="Times New Roman" w:hAnsi="Times New Roman" w:cs="Times New Roman"/>
          <w:bCs/>
          <w:sz w:val="24"/>
          <w:szCs w:val="24"/>
        </w:rPr>
      </w:pPr>
      <w:r>
        <w:rPr>
          <w:rFonts w:ascii="Times New Roman" w:hAnsi="Times New Roman" w:cs="Times New Roman"/>
          <w:b/>
          <w:bCs/>
          <w:sz w:val="24"/>
          <w:szCs w:val="24"/>
          <w:u w:val="single"/>
        </w:rPr>
        <w:t>Потенциалът за развитие на територията</w:t>
      </w:r>
      <w:r>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обезпеченост и иновативност. Това ще подпомогне и създаването и развитието на преработваща промишленост с перспектива за реализация на продукция, както на местните, така и на външните пазари. Големи възможности за развитие има и пред неземеделските дейности в сферата на услугите и търговията. Осъществяването на този потенциал неминуемо ще доведе до разкриването на нови работни места, което ще реши голяма част от основните проблеми в областта на заетостта, доходите, демографията и др. Потенциал има и в културно-историческото наследство. Стратегията залага и на възможностите за повишаване на конкурентоспособността на МСП, както и на трайното опазване на природните ресурси, които са както условие за доброто качество на живот, така и потенциал за развитие на еко-туризма.</w:t>
      </w:r>
    </w:p>
    <w:p w:rsidR="009329C9" w:rsidRDefault="00B5212B">
      <w:pPr>
        <w:tabs>
          <w:tab w:val="left" w:pos="284"/>
        </w:tabs>
        <w:spacing w:after="0"/>
        <w:ind w:right="-1"/>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
          <w:bCs/>
          <w:sz w:val="24"/>
          <w:szCs w:val="24"/>
          <w:u w:val="single"/>
          <w:lang w:eastAsia="en-US"/>
        </w:rPr>
        <w:t>Основните проблеми</w:t>
      </w:r>
      <w:r>
        <w:rPr>
          <w:rFonts w:ascii="Times New Roman" w:eastAsia="Times New Roman" w:hAnsi="Times New Roman" w:cs="Times New Roman"/>
          <w:bCs/>
          <w:sz w:val="24"/>
          <w:szCs w:val="24"/>
          <w:lang w:eastAsia="en-US"/>
        </w:rPr>
        <w:t xml:space="preserve">според извършените анализи са: безработицата и достъпа до социални услуги, особено в селата, както и  състоянието на малката инфраструктура (водна и пътна), отново най-вече в селата. Като проблемна област се възприемат и демографията (миграция на младите, застаряващо население), ниски доходи поради липса на квалификация и образование. В икономиката проблем са липсата на свежи инвестици и капитали, недостатъчно развитите финансови услуги, ниския капацитет и съответно ниската норма на печалба на МСП, които са основен двигател на стопанския живот в общината и др. С тези нужди са свързани и най-спешните за решаване задачи.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eastAsia="Times New Roman" w:hAnsi="Times New Roman" w:cs="Times New Roman"/>
          <w:bCs/>
          <w:sz w:val="24"/>
          <w:szCs w:val="24"/>
          <w:lang w:eastAsia="en-US"/>
        </w:rPr>
        <w:t xml:space="preserve">Стратегията изхожда и от приоритетите на местните политики, заложени в Общинския план за развитие на Свиленград, както и в ОСР на област Хасково. Стратегията за ВОМР е изготвена в съответствие с приоритетите на Стратегическите насоки на Общността и на Националния стратегически план за развитие на селските райони на България 2014-2020, както и  </w:t>
      </w:r>
      <w:r>
        <w:rPr>
          <w:rFonts w:ascii="Times New Roman" w:hAnsi="Times New Roman" w:cs="Times New Roman"/>
          <w:sz w:val="24"/>
          <w:szCs w:val="24"/>
        </w:rPr>
        <w:t xml:space="preserve">е съобразена с всички приоритети на ПРСР 2014-2020.  Изборът на мерки за прилагане по </w:t>
      </w:r>
      <w:r>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територията на МИГ.</w:t>
      </w:r>
    </w:p>
    <w:tbl>
      <w:tblPr>
        <w:tblStyle w:val="af3"/>
        <w:tblW w:w="10031" w:type="dxa"/>
        <w:tblLook w:val="04A0" w:firstRow="1" w:lastRow="0" w:firstColumn="1" w:lastColumn="0" w:noHBand="0" w:noVBand="1"/>
      </w:tblPr>
      <w:tblGrid>
        <w:gridCol w:w="2802"/>
        <w:gridCol w:w="3402"/>
        <w:gridCol w:w="141"/>
        <w:gridCol w:w="3686"/>
      </w:tblGrid>
      <w:tr w:rsidR="009329C9">
        <w:tc>
          <w:tcPr>
            <w:tcW w:w="2802" w:type="dxa"/>
          </w:tcPr>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СВОМР</w:t>
            </w:r>
          </w:p>
        </w:tc>
        <w:tc>
          <w:tcPr>
            <w:tcW w:w="3402" w:type="dxa"/>
          </w:tcPr>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Характеристика на </w:t>
            </w:r>
          </w:p>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територията на МИГ</w:t>
            </w:r>
          </w:p>
        </w:tc>
        <w:tc>
          <w:tcPr>
            <w:tcW w:w="3827" w:type="dxa"/>
            <w:gridSpan w:val="2"/>
          </w:tcPr>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Съответствие с </w:t>
            </w:r>
          </w:p>
          <w:p w:rsidR="009329C9" w:rsidRDefault="00B5212B">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планов документ</w:t>
            </w:r>
          </w:p>
        </w:tc>
      </w:tr>
      <w:tr w:rsidR="009329C9">
        <w:tc>
          <w:tcPr>
            <w:tcW w:w="10031" w:type="dxa"/>
            <w:gridSpan w:val="4"/>
          </w:tcPr>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u w:val="single"/>
                <w:lang w:eastAsia="en-US"/>
              </w:rPr>
              <w:t>Приоритет 1</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 на производството и реализация на продукцията им, въвеждане на иновации и разнообразяване в неземеделски дейности</w:t>
            </w:r>
          </w:p>
        </w:tc>
      </w:tr>
      <w:tr w:rsidR="009329C9">
        <w:tc>
          <w:tcPr>
            <w:tcW w:w="2802" w:type="dxa"/>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rPr>
                <w:rFonts w:ascii="Times New Roman" w:eastAsia="Calibri" w:hAnsi="Times New Roman" w:cs="Times New Roman"/>
                <w:sz w:val="24"/>
                <w:lang w:eastAsia="en-US"/>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9329C9" w:rsidRDefault="009329C9">
            <w:pPr>
              <w:autoSpaceDE w:val="0"/>
              <w:autoSpaceDN w:val="0"/>
              <w:adjustRightInd w:val="0"/>
              <w:spacing w:after="0" w:line="240" w:lineRule="auto"/>
              <w:rPr>
                <w:rFonts w:ascii="Times New Roman" w:hAnsi="Times New Roman" w:cs="Times New Roman"/>
                <w:color w:val="000000"/>
                <w:sz w:val="24"/>
                <w:szCs w:val="24"/>
              </w:rPr>
            </w:pP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9329C9" w:rsidRDefault="009329C9">
            <w:pPr>
              <w:autoSpaceDE w:val="0"/>
              <w:autoSpaceDN w:val="0"/>
              <w:adjustRightInd w:val="0"/>
              <w:spacing w:after="0" w:line="240" w:lineRule="auto"/>
              <w:rPr>
                <w:rFonts w:ascii="Times New Roman" w:hAnsi="Times New Roman" w:cs="Times New Roman"/>
                <w:color w:val="000000"/>
                <w:sz w:val="24"/>
                <w:szCs w:val="24"/>
              </w:rPr>
            </w:pP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Недостатъчна предприемаческа култура в местната общност; </w:t>
            </w:r>
          </w:p>
        </w:tc>
        <w:tc>
          <w:tcPr>
            <w:tcW w:w="3827" w:type="dxa"/>
            <w:gridSpan w:val="2"/>
            <w:vMerge w:val="restart"/>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 </w:t>
            </w:r>
          </w:p>
          <w:p w:rsidR="009329C9" w:rsidRDefault="00B5212B">
            <w:pPr>
              <w:tabs>
                <w:tab w:val="left" w:pos="284"/>
              </w:tabs>
              <w:spacing w:after="0" w:line="240" w:lineRule="auto"/>
              <w:ind w:right="-1"/>
              <w:rPr>
                <w:rFonts w:ascii="Times New Roman" w:hAnsi="Times New Roman" w:cs="Times New Roman"/>
                <w:iCs/>
                <w:sz w:val="24"/>
                <w:szCs w:val="24"/>
              </w:rPr>
            </w:pPr>
            <w:r>
              <w:rPr>
                <w:rFonts w:ascii="Times New Roman" w:hAnsi="Times New Roman" w:cs="Times New Roman"/>
                <w:sz w:val="24"/>
                <w:szCs w:val="24"/>
              </w:rPr>
              <w:t xml:space="preserve">Подприоритет4.1 </w:t>
            </w:r>
            <w:r>
              <w:rPr>
                <w:rFonts w:ascii="Times New Roman" w:hAnsi="Times New Roman" w:cs="Times New Roman"/>
                <w:iCs/>
                <w:sz w:val="24"/>
                <w:szCs w:val="24"/>
              </w:rPr>
              <w:t>Балансирано секторно и структурно развитие на аграрния отрасъл</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4.2 </w:t>
            </w:r>
            <w:r>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земеделската практика</w:t>
            </w:r>
          </w:p>
          <w:p w:rsidR="009329C9" w:rsidRDefault="00B5212B">
            <w:pPr>
              <w:tabs>
                <w:tab w:val="left" w:pos="284"/>
              </w:tabs>
              <w:spacing w:after="0" w:line="240" w:lineRule="auto"/>
              <w:ind w:right="-1"/>
              <w:rPr>
                <w:rFonts w:ascii="Times New Roman" w:hAnsi="Times New Roman" w:cs="Times New Roman"/>
                <w:iCs/>
                <w:sz w:val="24"/>
                <w:szCs w:val="24"/>
              </w:rPr>
            </w:pPr>
            <w:r>
              <w:rPr>
                <w:rFonts w:ascii="Times New Roman" w:hAnsi="Times New Roman" w:cs="Times New Roman"/>
                <w:sz w:val="24"/>
                <w:szCs w:val="24"/>
              </w:rPr>
              <w:t xml:space="preserve">Подприоритет 4.4 </w:t>
            </w:r>
            <w:r>
              <w:rPr>
                <w:rFonts w:ascii="Times New Roman" w:hAnsi="Times New Roman" w:cs="Times New Roman"/>
                <w:iCs/>
                <w:sz w:val="24"/>
                <w:szCs w:val="24"/>
              </w:rPr>
              <w:t>Превръщане на земеделското производство в привлекателен бизнес, осигуряващ стабилни и справедливи доходи на заетите в него</w:t>
            </w:r>
          </w:p>
        </w:tc>
      </w:tr>
      <w:tr w:rsidR="009329C9">
        <w:tc>
          <w:tcPr>
            <w:tcW w:w="2802" w:type="dxa"/>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2</w:t>
            </w:r>
            <w:r>
              <w:rPr>
                <w:rFonts w:ascii="Times New Roman" w:eastAsia="Times New Roman" w:hAnsi="Times New Roman" w:cs="Times New Roman"/>
                <w:sz w:val="24"/>
                <w:szCs w:val="24"/>
              </w:rPr>
              <w:t xml:space="preserve">  - Насърчаване на развитието и икономическата ефективност </w:t>
            </w:r>
            <w:r>
              <w:rPr>
                <w:rFonts w:ascii="Times New Roman" w:eastAsia="Calibri" w:hAnsi="Times New Roman" w:cs="Times New Roman"/>
                <w:sz w:val="24"/>
                <w:szCs w:val="24"/>
                <w:lang w:eastAsia="en-US"/>
              </w:rPr>
              <w:t>на предприятия от хранително-преработвателната промишленост.</w:t>
            </w:r>
          </w:p>
          <w:p w:rsidR="009329C9" w:rsidRDefault="009329C9">
            <w:pPr>
              <w:tabs>
                <w:tab w:val="left" w:pos="284"/>
              </w:tabs>
              <w:spacing w:after="0" w:line="240" w:lineRule="auto"/>
              <w:ind w:right="-1"/>
              <w:rPr>
                <w:rFonts w:ascii="Times New Roman" w:hAnsi="Times New Roman" w:cs="Times New Roman"/>
                <w:sz w:val="24"/>
                <w:szCs w:val="24"/>
              </w:rPr>
            </w:pPr>
          </w:p>
        </w:tc>
        <w:tc>
          <w:tcPr>
            <w:tcW w:w="3402" w:type="dxa"/>
            <w:vMerge/>
            <w:tcBorders>
              <w:left w:val="single" w:sz="4" w:space="0" w:color="auto"/>
            </w:tcBorders>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rPr>
          <w:trHeight w:val="2420"/>
        </w:trPr>
        <w:tc>
          <w:tcPr>
            <w:tcW w:w="2802" w:type="dxa"/>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10031" w:type="dxa"/>
            <w:gridSpan w:val="4"/>
          </w:tcPr>
          <w:p w:rsidR="009329C9" w:rsidRDefault="00B5212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2</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9329C9">
        <w:tc>
          <w:tcPr>
            <w:tcW w:w="2802" w:type="dxa"/>
          </w:tcPr>
          <w:p w:rsidR="009329C9" w:rsidRDefault="00B5212B">
            <w:pPr>
              <w:spacing w:after="0" w:line="240" w:lineRule="auto"/>
              <w:ind w:right="-1"/>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Специфична цел 1</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p>
        </w:tc>
        <w:tc>
          <w:tcPr>
            <w:tcW w:w="3402" w:type="dxa"/>
            <w:vMerge w:val="restart"/>
          </w:tcPr>
          <w:p w:rsidR="009329C9" w:rsidRDefault="00B521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 </w:t>
            </w:r>
          </w:p>
        </w:tc>
        <w:tc>
          <w:tcPr>
            <w:tcW w:w="3827" w:type="dxa"/>
            <w:gridSpan w:val="2"/>
            <w:vMerge w:val="restart"/>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w:t>
            </w:r>
          </w:p>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Приоритет 3. Постигане на устойчиво интегрирано регионално развитие и използване на местния потенциал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iCs/>
                <w:sz w:val="24"/>
                <w:szCs w:val="24"/>
              </w:rPr>
              <w:t>Подкрепа за развитието на изоставащите и подобряване на качеството на живот в селските региони</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З.4 </w:t>
            </w:r>
            <w:r>
              <w:rPr>
                <w:rFonts w:ascii="Times New Roman" w:hAnsi="Times New Roman" w:cs="Times New Roman"/>
                <w:iCs/>
                <w:sz w:val="24"/>
                <w:szCs w:val="24"/>
              </w:rPr>
              <w:t>Подкрепа за ефективно и устойчиво усвояване на туристическия потенциал на регионите и развитие на културните и креативни индустрии в регионите</w:t>
            </w:r>
          </w:p>
        </w:tc>
      </w:tr>
      <w:tr w:rsidR="009329C9">
        <w:tc>
          <w:tcPr>
            <w:tcW w:w="2802" w:type="dxa"/>
          </w:tcPr>
          <w:p w:rsidR="009329C9" w:rsidRDefault="00B5212B">
            <w:pPr>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b/>
                <w:sz w:val="24"/>
                <w:szCs w:val="24"/>
                <w:lang w:eastAsia="en-US"/>
              </w:rPr>
              <w:t>Специфична цел 2</w:t>
            </w:r>
            <w:r>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w:t>
            </w:r>
          </w:p>
        </w:tc>
        <w:tc>
          <w:tcPr>
            <w:tcW w:w="3402" w:type="dxa"/>
            <w:vMerge/>
          </w:tcPr>
          <w:p w:rsidR="009329C9" w:rsidRDefault="009329C9">
            <w:pPr>
              <w:autoSpaceDE w:val="0"/>
              <w:autoSpaceDN w:val="0"/>
              <w:adjustRightInd w:val="0"/>
              <w:spacing w:after="0" w:line="240" w:lineRule="auto"/>
              <w:rPr>
                <w:rFonts w:ascii="Times New Roman" w:hAnsi="Times New Roman" w:cs="Times New Roman"/>
                <w:color w:val="000000"/>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2802" w:type="dxa"/>
          </w:tcPr>
          <w:p w:rsidR="009329C9" w:rsidRDefault="00B5212B">
            <w:pPr>
              <w:spacing w:after="0" w:line="240" w:lineRule="auto"/>
              <w:ind w:right="-1"/>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 Опазване на местната идентичност и популя</w:t>
            </w:r>
            <w:r>
              <w:rPr>
                <w:rFonts w:ascii="Times New Roman" w:eastAsia="Times New Roman" w:hAnsi="Times New Roman" w:cs="Times New Roman"/>
                <w:sz w:val="24"/>
                <w:szCs w:val="24"/>
              </w:rPr>
              <w:lastRenderedPageBreak/>
              <w:t>ризиране на културното и природно наследство</w:t>
            </w:r>
          </w:p>
        </w:tc>
        <w:tc>
          <w:tcPr>
            <w:tcW w:w="3402" w:type="dxa"/>
            <w:vMerge/>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2802" w:type="dxa"/>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Специфична цел 4 – </w:t>
            </w:r>
            <w:r>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9329C9" w:rsidRDefault="009329C9">
            <w:pPr>
              <w:tabs>
                <w:tab w:val="left" w:pos="284"/>
              </w:tabs>
              <w:spacing w:after="0" w:line="240" w:lineRule="auto"/>
              <w:ind w:right="-1"/>
              <w:rPr>
                <w:rFonts w:ascii="Times New Roman" w:hAnsi="Times New Roman" w:cs="Times New Roman"/>
                <w:sz w:val="24"/>
                <w:szCs w:val="24"/>
              </w:rPr>
            </w:pPr>
          </w:p>
        </w:tc>
        <w:tc>
          <w:tcPr>
            <w:tcW w:w="3402" w:type="dxa"/>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 общината, наложени от разпоредбите на ЗБР и ЗЗТ </w:t>
            </w:r>
          </w:p>
          <w:p w:rsidR="009329C9" w:rsidRDefault="009329C9">
            <w:pPr>
              <w:tabs>
                <w:tab w:val="left" w:pos="284"/>
              </w:tabs>
              <w:spacing w:after="0" w:line="240" w:lineRule="auto"/>
              <w:ind w:right="-1"/>
              <w:rPr>
                <w:rFonts w:ascii="Times New Roman" w:hAnsi="Times New Roman" w:cs="Times New Roman"/>
                <w:sz w:val="24"/>
                <w:szCs w:val="24"/>
              </w:rPr>
            </w:pPr>
          </w:p>
        </w:tc>
        <w:tc>
          <w:tcPr>
            <w:tcW w:w="3827" w:type="dxa"/>
            <w:gridSpan w:val="2"/>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3. Постигане на устойчиво интегрирано регионално развитие и използване на местния потенциал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Подприоритет З.5</w:t>
            </w:r>
            <w:r>
              <w:rPr>
                <w:rFonts w:ascii="Times New Roman" w:hAnsi="Times New Roman" w:cs="Times New Roman"/>
                <w:iCs/>
                <w:sz w:val="24"/>
                <w:szCs w:val="24"/>
              </w:rPr>
              <w:t>Създаване на условия за опазване и подобряване на околната среда в регионите, адаптиране към настъпващите климатични промени и постигане на устойчиво и ефективно използване на природните ресурси</w:t>
            </w:r>
          </w:p>
        </w:tc>
      </w:tr>
      <w:tr w:rsidR="009329C9">
        <w:tc>
          <w:tcPr>
            <w:tcW w:w="10031" w:type="dxa"/>
            <w:gridSpan w:val="4"/>
          </w:tcPr>
          <w:p w:rsidR="009329C9" w:rsidRDefault="00B5212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Приоритет 3</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p>
        </w:tc>
      </w:tr>
      <w:tr w:rsidR="009329C9">
        <w:tc>
          <w:tcPr>
            <w:tcW w:w="2802" w:type="dxa"/>
          </w:tcPr>
          <w:p w:rsidR="009329C9" w:rsidRDefault="00B5212B">
            <w:pPr>
              <w:spacing w:after="0" w:line="240" w:lineRule="auto"/>
              <w:ind w:right="283"/>
              <w:rPr>
                <w:rFonts w:ascii="Times New Roman" w:eastAsia="Calibri" w:hAnsi="Times New Roman" w:cs="Times New Roman"/>
                <w:sz w:val="24"/>
                <w:szCs w:val="24"/>
                <w:lang w:val="en-US" w:eastAsia="en-US"/>
              </w:rPr>
            </w:pPr>
            <w:r>
              <w:rPr>
                <w:rFonts w:ascii="Times New Roman" w:eastAsia="Calibri" w:hAnsi="Times New Roman" w:cs="Times New Roman"/>
                <w:b/>
                <w:sz w:val="24"/>
                <w:szCs w:val="24"/>
                <w:lang w:eastAsia="en-US"/>
              </w:rPr>
              <w:t xml:space="preserve">Специфична цел 1 - </w:t>
            </w:r>
            <w:r>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9329C9" w:rsidRDefault="00B5212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 </w:t>
            </w:r>
          </w:p>
          <w:p w:rsidR="009329C9" w:rsidRDefault="009329C9">
            <w:pPr>
              <w:tabs>
                <w:tab w:val="left" w:pos="284"/>
              </w:tabs>
              <w:spacing w:after="0" w:line="240" w:lineRule="auto"/>
              <w:ind w:right="-1"/>
              <w:rPr>
                <w:rFonts w:ascii="Times New Roman" w:hAnsi="Times New Roman" w:cs="Times New Roman"/>
                <w:sz w:val="24"/>
                <w:szCs w:val="24"/>
              </w:rPr>
            </w:pPr>
          </w:p>
        </w:tc>
        <w:tc>
          <w:tcPr>
            <w:tcW w:w="3827" w:type="dxa"/>
            <w:gridSpan w:val="2"/>
            <w:vMerge w:val="restart"/>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2.1 </w:t>
            </w:r>
            <w:r>
              <w:rPr>
                <w:rFonts w:ascii="Times New Roman" w:hAnsi="Times New Roman" w:cs="Times New Roman"/>
                <w:iCs/>
                <w:sz w:val="24"/>
                <w:szCs w:val="24"/>
              </w:rPr>
              <w:t>Осигуряване на възможности за заетост и за повишаване на доходите от труд</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2.2 </w:t>
            </w:r>
            <w:r>
              <w:rPr>
                <w:rFonts w:ascii="Times New Roman" w:hAnsi="Times New Roman" w:cs="Times New Roman"/>
                <w:iCs/>
                <w:sz w:val="24"/>
                <w:szCs w:val="24"/>
              </w:rPr>
              <w:t>Осигуряване на устойчиви, качествени и достъпни междусекторни услуги с цел превенция на социалното изключване</w:t>
            </w:r>
          </w:p>
        </w:tc>
      </w:tr>
      <w:tr w:rsidR="009329C9">
        <w:tc>
          <w:tcPr>
            <w:tcW w:w="2802" w:type="dxa"/>
          </w:tcPr>
          <w:p w:rsidR="009329C9" w:rsidRDefault="00B5212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Специфична цел 2 </w:t>
            </w:r>
            <w:r>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w:t>
            </w:r>
          </w:p>
        </w:tc>
        <w:tc>
          <w:tcPr>
            <w:tcW w:w="3402" w:type="dxa"/>
            <w:vMerge/>
          </w:tcPr>
          <w:p w:rsidR="009329C9" w:rsidRDefault="009329C9">
            <w:pPr>
              <w:tabs>
                <w:tab w:val="left" w:pos="284"/>
              </w:tabs>
              <w:spacing w:after="0" w:line="240" w:lineRule="auto"/>
              <w:ind w:right="-1"/>
              <w:jc w:val="both"/>
              <w:rPr>
                <w:rFonts w:ascii="Times New Roman" w:hAnsi="Times New Roman" w:cs="Times New Roman"/>
                <w:sz w:val="24"/>
                <w:szCs w:val="24"/>
              </w:rPr>
            </w:pPr>
          </w:p>
        </w:tc>
        <w:tc>
          <w:tcPr>
            <w:tcW w:w="3827" w:type="dxa"/>
            <w:gridSpan w:val="2"/>
            <w:vMerge/>
          </w:tcPr>
          <w:p w:rsidR="009329C9" w:rsidRDefault="009329C9">
            <w:pPr>
              <w:tabs>
                <w:tab w:val="left" w:pos="284"/>
              </w:tabs>
              <w:spacing w:after="0" w:line="240" w:lineRule="auto"/>
              <w:ind w:right="-1"/>
              <w:jc w:val="both"/>
              <w:rPr>
                <w:rFonts w:ascii="Times New Roman" w:hAnsi="Times New Roman" w:cs="Times New Roman"/>
                <w:sz w:val="24"/>
                <w:szCs w:val="24"/>
              </w:rPr>
            </w:pPr>
          </w:p>
        </w:tc>
      </w:tr>
      <w:tr w:rsidR="009329C9">
        <w:tc>
          <w:tcPr>
            <w:tcW w:w="2802" w:type="dxa"/>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3 – </w:t>
            </w:r>
            <w:r>
              <w:rPr>
                <w:rFonts w:ascii="Times New Roman" w:eastAsia="Times New Roman" w:hAnsi="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tc>
        <w:tc>
          <w:tcPr>
            <w:tcW w:w="3402" w:type="dxa"/>
          </w:tcPr>
          <w:p w:rsidR="009329C9" w:rsidRDefault="009329C9">
            <w:pPr>
              <w:tabs>
                <w:tab w:val="left" w:pos="284"/>
              </w:tabs>
              <w:spacing w:after="0"/>
              <w:ind w:right="-1"/>
              <w:rPr>
                <w:rFonts w:ascii="Times New Roman" w:hAnsi="Times New Roman" w:cs="Times New Roman"/>
                <w:sz w:val="24"/>
                <w:szCs w:val="24"/>
              </w:rPr>
            </w:pPr>
          </w:p>
        </w:tc>
        <w:tc>
          <w:tcPr>
            <w:tcW w:w="3827" w:type="dxa"/>
            <w:gridSpan w:val="2"/>
          </w:tcPr>
          <w:p w:rsidR="009329C9" w:rsidRDefault="00B5212B">
            <w:pPr>
              <w:tabs>
                <w:tab w:val="left" w:pos="284"/>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Национална програма за развитие България 2020 –</w:t>
            </w:r>
          </w:p>
          <w:p w:rsidR="009329C9" w:rsidRDefault="00B5212B">
            <w:pPr>
              <w:tabs>
                <w:tab w:val="left" w:pos="284"/>
              </w:tabs>
              <w:spacing w:after="0" w:line="240" w:lineRule="auto"/>
              <w:rPr>
                <w:rFonts w:ascii="Times New Roman" w:hAnsi="Times New Roman" w:cs="Times New Roman"/>
                <w:sz w:val="24"/>
                <w:szCs w:val="24"/>
              </w:rPr>
            </w:pPr>
            <w:r>
              <w:rPr>
                <w:rFonts w:ascii="Times New Roman" w:hAnsi="Times New Roman" w:cs="Times New Roman"/>
                <w:bCs/>
                <w:sz w:val="24"/>
                <w:szCs w:val="24"/>
              </w:rPr>
              <w:t>Приоритет 1. Подобряване на достъпа и повишаване на качеството на образованието и обучението и качествените характеристики на работната сила</w:t>
            </w:r>
          </w:p>
        </w:tc>
      </w:tr>
      <w:tr w:rsidR="009329C9">
        <w:tc>
          <w:tcPr>
            <w:tcW w:w="10031" w:type="dxa"/>
            <w:gridSpan w:val="4"/>
          </w:tcPr>
          <w:p w:rsidR="009329C9" w:rsidRDefault="00B5212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9329C9">
        <w:tc>
          <w:tcPr>
            <w:tcW w:w="2802" w:type="dxa"/>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1</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Повишаване на производителността на МСП на територията на МИГ Свиленград Ареал</w:t>
            </w:r>
          </w:p>
          <w:p w:rsidR="009329C9" w:rsidRDefault="009329C9">
            <w:pPr>
              <w:tabs>
                <w:tab w:val="left" w:pos="284"/>
              </w:tabs>
              <w:spacing w:after="0" w:line="240" w:lineRule="auto"/>
              <w:ind w:right="-1"/>
              <w:rPr>
                <w:rFonts w:ascii="Times New Roman" w:hAnsi="Times New Roman" w:cs="Times New Roman"/>
                <w:sz w:val="24"/>
                <w:szCs w:val="24"/>
              </w:rPr>
            </w:pPr>
          </w:p>
        </w:tc>
        <w:tc>
          <w:tcPr>
            <w:tcW w:w="3543" w:type="dxa"/>
            <w:gridSpan w:val="2"/>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МСП са със затруднен достъп </w:t>
            </w:r>
            <w:r>
              <w:rPr>
                <w:rFonts w:ascii="Times New Roman" w:hAnsi="Times New Roman" w:cs="Times New Roman"/>
                <w:color w:val="000000"/>
                <w:sz w:val="24"/>
                <w:szCs w:val="24"/>
              </w:rPr>
              <w:lastRenderedPageBreak/>
              <w:t xml:space="preserve">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w:t>
            </w:r>
          </w:p>
        </w:tc>
        <w:tc>
          <w:tcPr>
            <w:tcW w:w="3686" w:type="dxa"/>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lastRenderedPageBreak/>
              <w:t>Национална програма за раз</w:t>
            </w:r>
            <w:r>
              <w:rPr>
                <w:rFonts w:ascii="Times New Roman" w:hAnsi="Times New Roman" w:cs="Times New Roman"/>
                <w:b/>
                <w:bCs/>
                <w:sz w:val="24"/>
                <w:szCs w:val="24"/>
              </w:rPr>
              <w:lastRenderedPageBreak/>
              <w:t>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5. Подкрепа на иновационните и инвестиционни дейности за повишаване на конкурентоспособността на икономиката </w:t>
            </w:r>
          </w:p>
          <w:p w:rsidR="009329C9" w:rsidRDefault="00B5212B">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Подприоритет5.5 </w:t>
            </w:r>
            <w:r>
              <w:rPr>
                <w:rFonts w:ascii="Times New Roman" w:hAnsi="Times New Roman" w:cs="Times New Roman"/>
                <w:iCs/>
                <w:sz w:val="24"/>
                <w:szCs w:val="24"/>
              </w:rPr>
              <w:t>Повишаване на конкурентоспособността и жизнеспособността основно на МСП</w:t>
            </w:r>
          </w:p>
        </w:tc>
      </w:tr>
    </w:tbl>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lastRenderedPageBreak/>
        <w:t>Десегрегация и деинституционализация</w:t>
      </w:r>
    </w:p>
    <w:p w:rsidR="009329C9" w:rsidRDefault="00B5212B">
      <w:pPr>
        <w:tabs>
          <w:tab w:val="left" w:pos="284"/>
        </w:tabs>
        <w:spacing w:after="0"/>
        <w:ind w:right="-1"/>
        <w:jc w:val="both"/>
        <w:rPr>
          <w:rFonts w:ascii="Times New Roman" w:hAnsi="Times New Roman" w:cs="Times New Roman"/>
          <w:sz w:val="24"/>
          <w:szCs w:val="24"/>
        </w:rPr>
      </w:pPr>
      <w:bookmarkStart w:id="27" w:name="_Toc448392287"/>
      <w:r>
        <w:rPr>
          <w:rFonts w:ascii="Times New Roman" w:hAnsi="Times New Roman" w:cs="Times New Roman"/>
          <w:sz w:val="24"/>
          <w:szCs w:val="24"/>
        </w:rPr>
        <w:t xml:space="preserve">С цел избягване и превенция на дискриминацията, МИГ „Свиленград Ареал“създава възможности за участие на всички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Pr>
          <w:rFonts w:ascii="Times New Roman" w:hAnsi="Times New Roman" w:cs="Times New Roman"/>
          <w:b/>
          <w:sz w:val="24"/>
          <w:szCs w:val="24"/>
        </w:rPr>
        <w:t>десегрегация</w:t>
      </w:r>
      <w:r>
        <w:rPr>
          <w:rFonts w:ascii="Times New Roman" w:hAnsi="Times New Roman" w:cs="Times New Roman"/>
          <w:sz w:val="24"/>
          <w:szCs w:val="24"/>
        </w:rPr>
        <w:t>, ще бъдат създадени възможности за максимално ограничаване на социалното изключване чрез инструментите на ОП РЧР и ОПНОИР. Във всички дейности по проекта (Популяризиране процеса на разработка на стратегията,Обучение на местни лидери и по подготовката на стратегията) взеха участие уязвими групи и малцинства. В критериите за оценка на проекти по мерки:7.5., 7.11 и 7.2 от ПРСР и по всички мерки от ОПРЧР и ОПНОИР са включени политики за недискримиинация и десегрегация. Екипът на МИГ по прилагане на Стратегията ще работи усилено за информиране, мотивиране и подпомагане на потенциални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подкрепа на политиките за </w:t>
      </w:r>
      <w:r>
        <w:rPr>
          <w:rFonts w:ascii="Times New Roman" w:hAnsi="Times New Roman" w:cs="Times New Roman"/>
          <w:b/>
          <w:sz w:val="24"/>
          <w:szCs w:val="24"/>
        </w:rPr>
        <w:t xml:space="preserve">деинституционализация </w:t>
      </w:r>
      <w:r>
        <w:rPr>
          <w:rFonts w:ascii="Times New Roman" w:hAnsi="Times New Roman" w:cs="Times New Roman"/>
          <w:sz w:val="24"/>
          <w:szCs w:val="24"/>
        </w:rPr>
        <w:t>в община Свиленград  повечето социални услуги за изнесени в общността и извън специализираните институции. На територията действа „Общинска стратегия за развитие на социалните услуги“. Стратегията има за основни приоритети  ограничаването на бедността и социалното изключване, активното участие в пазара на труда, равни възможности за най-уязвимите групи.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 В подкрепа на децата в риск е приета и „Общинска Програма за закрила на детето“.Дейностите и мерките по процесите на деинституционализация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потребителя; насърчаване на услугите в общността и ограничаване на услугите в институции; гарантиране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решаването на проблемите на целевите рискови групи заедно със системите на здравеопазването и образованието.Избраните направления за съдържанието на социалните услуги включват:1. Превенция за деца и семейства в риск и деинституционализация на грижите за деца;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Развитие на социални услуги в общността за социално включване на уязвими</w:t>
      </w:r>
    </w:p>
    <w:p w:rsidR="009329C9" w:rsidRDefault="00B5212B">
      <w:pPr>
        <w:spacing w:after="0"/>
        <w:rPr>
          <w:rFonts w:ascii="Times New Roman" w:eastAsia="Calibri" w:hAnsi="Times New Roman" w:cs="Times New Roman"/>
          <w:sz w:val="23"/>
          <w:szCs w:val="23"/>
          <w:lang w:eastAsia="en-US"/>
        </w:rPr>
      </w:pPr>
      <w:r>
        <w:rPr>
          <w:rFonts w:ascii="Times New Roman" w:hAnsi="Times New Roman" w:cs="Times New Roman"/>
          <w:sz w:val="24"/>
          <w:szCs w:val="24"/>
        </w:rPr>
        <w:t xml:space="preserve">групи и лица в неравностойно положение; 3. Грижа за старите хора за по-добър и достоен живот; 4. Развитиена човешките ресурси в областта на социалните услуги; </w:t>
      </w:r>
      <w:r>
        <w:rPr>
          <w:rFonts w:ascii="Times New Roman" w:eastAsia="Calibri" w:hAnsi="Times New Roman" w:cs="Times New Roman"/>
          <w:sz w:val="23"/>
          <w:szCs w:val="23"/>
          <w:lang w:eastAsia="en-US"/>
        </w:rPr>
        <w:t xml:space="preserve">5. Изграждане на междуобщинско партньорство и междусекторно сътрудничество. </w:t>
      </w:r>
    </w:p>
    <w:p w:rsidR="009329C9" w:rsidRDefault="00B5212B">
      <w:pPr>
        <w:spacing w:after="0"/>
        <w:rPr>
          <w:rFonts w:ascii="Times New Roman" w:eastAsia="Calibri" w:hAnsi="Times New Roman" w:cs="Times New Roman"/>
          <w:sz w:val="23"/>
          <w:szCs w:val="23"/>
          <w:lang w:eastAsia="en-US"/>
        </w:rPr>
      </w:pPr>
      <w:r>
        <w:rPr>
          <w:rFonts w:ascii="Times New Roman" w:hAnsi="Times New Roman" w:cs="Times New Roman"/>
          <w:sz w:val="24"/>
          <w:szCs w:val="24"/>
        </w:rPr>
        <w:lastRenderedPageBreak/>
        <w:t>Предвидените в Стратегията за ВОМР цели и мерки по различните Програми допълват дейностите и усилията на общинската администрация и НПО сектора да се осигурят за нуждаещите се качествени грижи в домашна среда, възможност за независим начин на живот, борба с бедността и социалното изключване.</w:t>
      </w:r>
    </w:p>
    <w:p w:rsidR="009329C9" w:rsidRDefault="00B5212B">
      <w:pPr>
        <w:pStyle w:val="af4"/>
        <w:numPr>
          <w:ilvl w:val="1"/>
          <w:numId w:val="3"/>
        </w:numPr>
        <w:spacing w:after="0"/>
        <w:ind w:right="-1"/>
        <w:jc w:val="both"/>
        <w:rPr>
          <w:rFonts w:ascii="Times New Roman" w:hAnsi="Times New Roman" w:cs="Times New Roman"/>
          <w:b/>
          <w:sz w:val="24"/>
          <w:szCs w:val="24"/>
        </w:rPr>
      </w:pPr>
      <w:r>
        <w:rPr>
          <w:rFonts w:ascii="Times New Roman" w:hAnsi="Times New Roman" w:cs="Times New Roman"/>
          <w:b/>
          <w:sz w:val="24"/>
          <w:szCs w:val="24"/>
        </w:rPr>
        <w:t>Описание на иновативните характеристики на стратегията</w:t>
      </w:r>
      <w:bookmarkEnd w:id="27"/>
      <w:r>
        <w:rPr>
          <w:rFonts w:ascii="Times New Roman" w:hAnsi="Times New Roman" w:cs="Times New Roman"/>
          <w:b/>
          <w:sz w:val="24"/>
          <w:szCs w:val="24"/>
        </w:rPr>
        <w:t>.</w:t>
      </w:r>
      <w:bookmarkEnd w:id="28"/>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Иновативността на стратегията за ВОМР може да се открие във включените в нея нови подходи, методи и средства за реализирането й, които не са прилагани на теририторията на местната общност досега. Те ще бъдат реализирани чрез: </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Подходът ВОМР се прилага за първи път на територията на МИГ „Свиленград Ареал“ и в този смисъл е </w:t>
      </w:r>
      <w:r>
        <w:rPr>
          <w:rFonts w:ascii="Times New Roman" w:hAnsi="Times New Roman" w:cs="Times New Roman"/>
          <w:b/>
          <w:sz w:val="24"/>
          <w:szCs w:val="24"/>
        </w:rPr>
        <w:t>иновативен подход</w:t>
      </w:r>
      <w:r>
        <w:rPr>
          <w:rFonts w:ascii="Times New Roman" w:hAnsi="Times New Roman" w:cs="Times New Roman"/>
          <w:sz w:val="24"/>
          <w:szCs w:val="24"/>
        </w:rPr>
        <w:t xml:space="preserve"> за местно развитие,основан на широкото участие на различните групи заинтересовани страни и цялата местна общност чрез включване на комплексни мерки за оползотворяване на потенциала и решаване на проблемите на цялата територия.</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Използването на механизмите и мерките на различните ОП, които се допълват и дават възможност за комплексен подход при решаване на проблемите или развиване на потенциала на територията също представлява </w:t>
      </w:r>
      <w:r>
        <w:rPr>
          <w:rFonts w:ascii="Times New Roman" w:hAnsi="Times New Roman" w:cs="Times New Roman"/>
          <w:b/>
          <w:sz w:val="24"/>
          <w:szCs w:val="24"/>
        </w:rPr>
        <w:t>иновативен метод за развитие</w:t>
      </w:r>
      <w:r>
        <w:rPr>
          <w:rFonts w:ascii="Times New Roman" w:hAnsi="Times New Roman" w:cs="Times New Roman"/>
          <w:sz w:val="24"/>
          <w:szCs w:val="24"/>
        </w:rPr>
        <w:t>. Стратегията е многофондова и включва възможност за финансиране от ПРСР; ОПИК; ОПРЧР; ОПНОИР и  ОПОС.Подкрепата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Създадена е допълнителна </w:t>
      </w:r>
      <w:r>
        <w:rPr>
          <w:rFonts w:ascii="Times New Roman" w:hAnsi="Times New Roman" w:cs="Times New Roman"/>
          <w:b/>
          <w:sz w:val="24"/>
          <w:szCs w:val="24"/>
        </w:rPr>
        <w:t>иновативна мярка</w:t>
      </w:r>
      <w:r>
        <w:rPr>
          <w:rFonts w:ascii="Times New Roman" w:hAnsi="Times New Roman" w:cs="Times New Roman"/>
          <w:sz w:val="24"/>
          <w:szCs w:val="24"/>
        </w:rPr>
        <w:t xml:space="preserve">по ПРСР - 7.11 </w:t>
      </w:r>
      <w:r>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Pr>
          <w:rFonts w:ascii="Times New Roman" w:hAnsi="Times New Roman" w:cs="Times New Roman"/>
          <w:sz w:val="24"/>
          <w:szCs w:val="24"/>
        </w:rPr>
        <w:t>, която предоставя възможност за новиза територията на МИГ комбинирани форми за използване на културните и природните ресурси, както и валоризирането им в нови форми на туризъм.</w:t>
      </w:r>
    </w:p>
    <w:p w:rsidR="009329C9" w:rsidRDefault="00B5212B">
      <w:pPr>
        <w:pStyle w:val="af4"/>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Критерии за оценка на проекти  по мерки 6.4; 7.11 и 7.2 дават предимство на тези, въвеждащи </w:t>
      </w:r>
      <w:r>
        <w:rPr>
          <w:rFonts w:ascii="Times New Roman" w:hAnsi="Times New Roman" w:cs="Times New Roman"/>
          <w:b/>
          <w:sz w:val="24"/>
          <w:szCs w:val="24"/>
        </w:rPr>
        <w:t>иновативни практики и подходи</w:t>
      </w:r>
      <w:bookmarkStart w:id="29" w:name="_Toc448392288"/>
      <w:bookmarkStart w:id="30" w:name="_Toc449349433"/>
    </w:p>
    <w:p w:rsidR="009329C9" w:rsidRDefault="009329C9">
      <w:pPr>
        <w:ind w:right="-1"/>
        <w:jc w:val="both"/>
        <w:rPr>
          <w:rFonts w:ascii="Times New Roman" w:hAnsi="Times New Roman" w:cs="Times New Roman"/>
          <w:b/>
          <w:sz w:val="24"/>
          <w:szCs w:val="24"/>
        </w:rPr>
      </w:pPr>
    </w:p>
    <w:p w:rsidR="009329C9" w:rsidRDefault="00B5212B">
      <w:pPr>
        <w:rPr>
          <w:rFonts w:ascii="Times New Roman" w:hAnsi="Times New Roman" w:cs="Times New Roman"/>
          <w:b/>
          <w:sz w:val="24"/>
          <w:szCs w:val="24"/>
        </w:rPr>
      </w:pPr>
      <w:r>
        <w:rPr>
          <w:rFonts w:ascii="Times New Roman" w:hAnsi="Times New Roman" w:cs="Times New Roman"/>
          <w:b/>
          <w:sz w:val="24"/>
          <w:szCs w:val="24"/>
        </w:rPr>
        <w:br w:type="page"/>
      </w:r>
    </w:p>
    <w:p w:rsidR="009329C9" w:rsidRDefault="00B5212B">
      <w:pPr>
        <w:ind w:right="-1"/>
        <w:jc w:val="both"/>
        <w:rPr>
          <w:rFonts w:ascii="Times New Roman" w:hAnsi="Times New Roman" w:cs="Times New Roman"/>
          <w:sz w:val="24"/>
          <w:szCs w:val="24"/>
        </w:rPr>
      </w:pPr>
      <w:r>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329C9" w:rsidRDefault="00B5212B">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Pr>
          <w:rFonts w:ascii="Times New Roman" w:eastAsia="Calibri" w:hAnsi="Times New Roman" w:cs="Times New Roman"/>
          <w:noProof/>
        </w:rPr>
        <w:drawing>
          <wp:inline distT="0" distB="0" distL="0" distR="0">
            <wp:extent cx="6494145" cy="70161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numPr>
          <w:ilvl w:val="0"/>
          <w:numId w:val="5"/>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Pr>
          <w:rFonts w:ascii="Times New Roman" w:hAnsi="Times New Roman" w:cs="Times New Roman"/>
          <w:color w:val="auto"/>
          <w:sz w:val="24"/>
          <w:szCs w:val="24"/>
        </w:rPr>
        <w:lastRenderedPageBreak/>
        <w:t>Описание на мерките:</w:t>
      </w:r>
      <w:bookmarkEnd w:id="31"/>
      <w:bookmarkEnd w:id="32"/>
    </w:p>
    <w:p w:rsidR="009329C9" w:rsidRDefault="00B5212B">
      <w:pPr>
        <w:rPr>
          <w:rFonts w:ascii="Times New Roman" w:hAnsi="Times New Roman" w:cs="Times New Roman"/>
          <w:sz w:val="24"/>
          <w:szCs w:val="24"/>
        </w:rPr>
      </w:pPr>
      <w:r>
        <w:rPr>
          <w:rFonts w:ascii="Times New Roman" w:hAnsi="Times New Roman" w:cs="Times New Roman"/>
          <w:sz w:val="24"/>
          <w:szCs w:val="24"/>
        </w:rPr>
        <w:t>Мерки и дейности за всеки един от фондовете поотделно:</w:t>
      </w:r>
    </w:p>
    <w:p w:rsidR="009329C9" w:rsidRDefault="00B5212B">
      <w:pPr>
        <w:pStyle w:val="2"/>
        <w:rPr>
          <w:rFonts w:ascii="Times New Roman" w:hAnsi="Times New Roman" w:cs="Times New Roman"/>
          <w:b/>
          <w:i/>
          <w:color w:val="auto"/>
          <w:sz w:val="24"/>
          <w:szCs w:val="24"/>
        </w:rPr>
      </w:pPr>
      <w:r>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МЯРКА 4 ИНВЕСТИЦИИ В МАТЕРИАЛИ АКТИВИ</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4"/>
                <w:szCs w:val="24"/>
              </w:rPr>
            </w:pPr>
            <w:r>
              <w:rPr>
                <w:rFonts w:ascii="Times New Roman" w:eastAsia="Calibri" w:hAnsi="Times New Roman" w:cs="Times New Roman"/>
                <w:color w:val="auto"/>
                <w:sz w:val="24"/>
                <w:szCs w:val="24"/>
              </w:rPr>
              <w:t>Мярка 4.1 ИНВЕСТИЦИИ В ЗЕМЕДЕЛСКИ СТОПАНСТВА</w:t>
            </w:r>
          </w:p>
        </w:tc>
      </w:tr>
      <w:tr w:rsidR="009329C9">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на целите</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Да се повиши конкурентоспособността на земеделието на територията на МИГ „Свиленград Ареал“ чрез:</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Преструктуриране и развитие на наличните материали мощности в стопанствата;</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Насърчаване въвеждането на нови технологии в производството и модернизация на физическия капитал;</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Опазване на компонентите на околната среда;</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9329C9" w:rsidRDefault="00B5212B">
            <w:pPr>
              <w:numPr>
                <w:ilvl w:val="0"/>
                <w:numId w:val="6"/>
              </w:numPr>
              <w:tabs>
                <w:tab w:val="left" w:pos="175"/>
              </w:tabs>
              <w:spacing w:after="0"/>
              <w:ind w:left="317"/>
              <w:rPr>
                <w:rFonts w:ascii="Times New Roman" w:eastAsia="Calibri" w:hAnsi="Times New Roman" w:cs="Times New Roman"/>
                <w:sz w:val="24"/>
                <w:szCs w:val="24"/>
              </w:rPr>
            </w:pPr>
            <w:r>
              <w:rPr>
                <w:rFonts w:ascii="Times New Roman" w:eastAsia="Calibri" w:hAnsi="Times New Roman" w:cs="Times New Roman"/>
                <w:sz w:val="24"/>
                <w:szCs w:val="24"/>
              </w:rPr>
              <w:t>Насърчаване на сътрудничеството между земеделските стопани.</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Обхват на мярката</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Финансова помощ се предоставя за извършване на инвестиции на: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1.земеделски стопани за инвестиции в техните стопанства, пряко свързани с една или няколко от дейностите по първично селскостопанско производство и съхранение само на собствени земеделски продукти, както и подготовка на продукцията за продажба;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2. признати групи или организации на производители за инвестиции, които са от полза на цялата група или организация на производители и са свързани с основната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продажба.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земеделски продукти, трябва да са описани в приложение №1 по чл. 38 от Договора за функционирането на Европейския съюз и памук, с изключение на тютюн, риба и аквакултури.</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Допустими кандидати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подпомагане могат да кандидатстват лица, които към датата на подаване на заявлението за подпомагане са:</w:t>
            </w:r>
          </w:p>
          <w:p w:rsidR="009329C9" w:rsidRDefault="00B5212B">
            <w:pPr>
              <w:spacing w:after="0"/>
              <w:rPr>
                <w:rFonts w:ascii="Times New Roman" w:hAnsi="Times New Roman" w:cs="Times New Roman"/>
                <w:sz w:val="24"/>
                <w:szCs w:val="24"/>
              </w:rPr>
            </w:pPr>
            <w:r>
              <w:rPr>
                <w:rFonts w:ascii="Times New Roman" w:hAnsi="Times New Roman" w:cs="Times New Roman"/>
                <w:b/>
                <w:bCs/>
                <w:sz w:val="24"/>
                <w:szCs w:val="24"/>
              </w:rPr>
              <w:t>Земеделски производители /Физически и Юридически лица/:</w:t>
            </w:r>
          </w:p>
          <w:p w:rsidR="009329C9" w:rsidRDefault="00B5212B">
            <w:pPr>
              <w:numPr>
                <w:ilvl w:val="0"/>
                <w:numId w:val="7"/>
              </w:numPr>
              <w:tabs>
                <w:tab w:val="left" w:pos="391"/>
              </w:tabs>
              <w:spacing w:after="0" w:line="240" w:lineRule="auto"/>
              <w:ind w:left="107" w:firstLine="0"/>
              <w:jc w:val="both"/>
              <w:rPr>
                <w:rFonts w:ascii="Times New Roman" w:hAnsi="Times New Roman" w:cs="Times New Roman"/>
                <w:sz w:val="24"/>
                <w:szCs w:val="24"/>
              </w:rPr>
            </w:pPr>
            <w:r>
              <w:rPr>
                <w:rFonts w:ascii="Times New Roman" w:hAnsi="Times New Roman" w:cs="Times New Roman"/>
                <w:sz w:val="24"/>
                <w:szCs w:val="24"/>
              </w:rPr>
              <w:t xml:space="preserve">Земеделски стопани </w:t>
            </w:r>
          </w:p>
          <w:p w:rsidR="009329C9" w:rsidRDefault="00B5212B">
            <w:pPr>
              <w:numPr>
                <w:ilvl w:val="0"/>
                <w:numId w:val="7"/>
              </w:numPr>
              <w:tabs>
                <w:tab w:val="left" w:pos="391"/>
              </w:tabs>
              <w:spacing w:after="0"/>
              <w:ind w:left="107" w:firstLine="0"/>
              <w:jc w:val="both"/>
              <w:rPr>
                <w:rFonts w:ascii="Times New Roman" w:hAnsi="Times New Roman" w:cs="Times New Roman"/>
                <w:sz w:val="24"/>
                <w:szCs w:val="24"/>
              </w:rPr>
            </w:pPr>
            <w:r>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2014 -2020 г.;</w:t>
            </w:r>
          </w:p>
          <w:p w:rsidR="009329C9" w:rsidRDefault="00B5212B">
            <w:pPr>
              <w:tabs>
                <w:tab w:val="left" w:pos="391"/>
              </w:tabs>
              <w:spacing w:after="0"/>
              <w:jc w:val="both"/>
              <w:rPr>
                <w:rFonts w:ascii="Times New Roman" w:hAnsi="Times New Roman" w:cs="Times New Roman"/>
                <w:sz w:val="24"/>
                <w:szCs w:val="24"/>
              </w:rPr>
            </w:pPr>
            <w:r>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кооперациите, които включват най-малко 6 лица и са извън посочените в ал. 1.</w:t>
            </w:r>
          </w:p>
          <w:p w:rsidR="009329C9" w:rsidRDefault="00B5212B">
            <w:pPr>
              <w:tabs>
                <w:tab w:val="left" w:pos="391"/>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Допустими дейности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Подпомагат се проекти, които се изпълняват на територията на МИГ „Свиленград Ареал” и водят до подобряване на цялостната дейност на земеделското стопанство чрез:</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внедряване на нови продукти, процеси и технологии и обновяване на наличните производствени материални и/или нематериални активи;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2. насърчаване на сътрудничеството с производителите и преработвателите на земеделски продукти;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3. опазване на компонентите на околната среда, включително с намаляване на вредните емисии и отпадъци;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4. повишаване на енергийната ефективност в земеделските стопанства;</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5. подобряване условията на труд, подобряване на хигиенните, ветеринарните, фитосанитарните, екологичните и други условия на производство;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6. подобряване качеството на произвежданите земеделски продукти;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7. осигуряване на възможностите за производство на биологични земеделски продукти.</w:t>
            </w:r>
          </w:p>
        </w:tc>
      </w:tr>
      <w:tr w:rsidR="009329C9">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Допустими за финансова помощ са разходите за:</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 строителство или обновяване на сгради и на друга недвижима собственост, използвана за земеделското производство, включително такава, използвана за опазване компонентите на околната среда;</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2. закупуване, включително чрез финансов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земеделските дейности на стопанството и подобряване на енергийната ефективност, съхранение и подготовка за продажба на земеделска продукция;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3. създаване и/или презасаждане на трайни насаждения, включително трайни насаждения от десертни лозя, медоносни дървесни видове за производство на мед, други бързорастящи храсти и дървесни видове, използвани за производство на биоенергия;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5. закупуване на: съоръжения, прикачен инвентар за пчеларство и съответно оборудване, необходимо за производството на мед и други пчелни продукти, както и за развъждането на пчели-майки, включително чрез финансов лизинг;</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6. разходи за достигане на съответствие със съществуващи стандарти на ЕС – за млади земеделски стопани, получаващи финансова помощ по подмярка 6;</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7.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земеделските производствени дейности и/или за създаване и/или презасаждане на трайни насаждения;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 производствени дейности на територията на МИГ Свиленград ареал;</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средства за транспортиране на продукция, превозни средства за транспортиране на живи животни и птици;</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 xml:space="preserve">10. разходи за достигане на съответствие с международно признати стандарти, </w:t>
            </w:r>
            <w:r>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стопанства, въвеждане на добри производствени практики, подготовка за сертификация;</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11. закупуване на софтуер, включително чрез финансов лизинг;</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12. за ноу-хау, придобиване на патенти права и лицензи, за регистрация на търговски марки и процеси, необходими за изготвяне и изпълнение на проекта;</w:t>
            </w:r>
          </w:p>
          <w:p w:rsidR="009329C9" w:rsidRDefault="00B5212B">
            <w:pPr>
              <w:spacing w:after="0"/>
              <w:ind w:left="108"/>
              <w:rPr>
                <w:rFonts w:ascii="Times New Roman" w:hAnsi="Times New Roman" w:cs="Times New Roman"/>
                <w:sz w:val="24"/>
                <w:szCs w:val="24"/>
              </w:rPr>
            </w:pPr>
            <w:r>
              <w:rPr>
                <w:rFonts w:ascii="Times New Roman" w:hAnsi="Times New Roman" w:cs="Times New Roman"/>
                <w:sz w:val="24"/>
                <w:szCs w:val="24"/>
              </w:rPr>
              <w:t>13. разходи, свързани с проекта, в т.ч. разходи за предпроектни проучвания, такси, хонорари за архитекти, инженери и консултанти, консултации за екологична и икономическа устойчивост на проекти, проучвания за техническа осъществимост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12.</w:t>
            </w:r>
          </w:p>
        </w:tc>
      </w:tr>
      <w:tr w:rsidR="009329C9">
        <w:trPr>
          <w:trHeight w:val="661"/>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Финансови параметри на </w:t>
            </w:r>
          </w:p>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проектите</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Pr>
                <w:rFonts w:ascii="Times New Roman" w:eastAsia="Calibri" w:hAnsi="Times New Roman" w:cs="Times New Roman"/>
                <w:sz w:val="24"/>
                <w:szCs w:val="24"/>
                <w:lang w:val="en-US"/>
              </w:rPr>
              <w:t>10</w:t>
            </w:r>
            <w:r>
              <w:rPr>
                <w:rFonts w:ascii="Times New Roman" w:eastAsia="Calibri" w:hAnsi="Times New Roman" w:cs="Times New Roman"/>
                <w:sz w:val="24"/>
                <w:szCs w:val="24"/>
              </w:rPr>
              <w:t> 000 евро (19 558,00 лв.)</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Максималният размер на общите допустими разходи за проект е левовата равностойност на 50</w:t>
            </w:r>
            <w:r>
              <w:rPr>
                <w:rFonts w:ascii="Times New Roman" w:eastAsia="Calibri" w:hAnsi="Times New Roman" w:cs="Times New Roman"/>
                <w:sz w:val="24"/>
                <w:szCs w:val="24"/>
                <w:lang w:val="en-US"/>
              </w:rPr>
              <w:t xml:space="preserve"> 000</w:t>
            </w:r>
            <w:r>
              <w:rPr>
                <w:rFonts w:ascii="Times New Roman" w:eastAsia="Calibri" w:hAnsi="Times New Roman" w:cs="Times New Roman"/>
                <w:sz w:val="24"/>
                <w:szCs w:val="24"/>
              </w:rPr>
              <w:t xml:space="preserve"> евро. (97 790,00 лв.)</w:t>
            </w:r>
          </w:p>
          <w:p w:rsidR="009329C9" w:rsidRDefault="00B5212B">
            <w:pPr>
              <w:spacing w:after="0"/>
              <w:rPr>
                <w:rFonts w:ascii="Times New Roman" w:eastAsia="Calibri" w:hAnsi="Times New Roman" w:cs="Times New Roman"/>
                <w:b/>
                <w:sz w:val="24"/>
                <w:szCs w:val="24"/>
              </w:rPr>
            </w:pPr>
            <w:r>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9329C9">
        <w:trPr>
          <w:trHeight w:val="1262"/>
        </w:trPr>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Интензитет и размер на финансовата помощ /в % </w:t>
            </w:r>
          </w:p>
        </w:tc>
        <w:tc>
          <w:tcPr>
            <w:tcW w:w="8788" w:type="dxa"/>
            <w:shd w:val="clear" w:color="auto" w:fill="auto"/>
          </w:tcPr>
          <w:p w:rsidR="009329C9" w:rsidRDefault="00B5212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Финансовата помощ за одобрени проекти е в размер </w:t>
            </w:r>
            <w:r>
              <w:rPr>
                <w:rFonts w:ascii="Times New Roman" w:eastAsia="Calibri" w:hAnsi="Times New Roman" w:cs="Times New Roman"/>
                <w:sz w:val="24"/>
                <w:szCs w:val="24"/>
                <w:lang w:val="ru-RU"/>
              </w:rPr>
              <w:t xml:space="preserve">50 </w:t>
            </w:r>
            <w:r>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9329C9" w:rsidRDefault="00B5212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с 10 на сто за:</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проекти, представени от млади земеделски стопани;</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проекти, които се изпълняват в обхвата на необлагодетелствани райони;</w:t>
            </w:r>
          </w:p>
          <w:p w:rsidR="009329C9" w:rsidRDefault="00B521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Pr>
                <w:rFonts w:ascii="Times New Roman" w:hAnsi="Times New Roman" w:cs="Times New Roman"/>
                <w:sz w:val="24"/>
                <w:szCs w:val="24"/>
              </w:rPr>
              <w:t xml:space="preserve"> </w:t>
            </w:r>
            <w:r>
              <w:rPr>
                <w:rFonts w:ascii="Times New Roman" w:hAnsi="Times New Roman" w:cs="Times New Roman"/>
                <w:sz w:val="24"/>
                <w:szCs w:val="24"/>
                <w:lang w:val="en-US"/>
              </w:rPr>
              <w:t>стопани.</w:t>
            </w:r>
          </w:p>
          <w:p w:rsidR="009329C9" w:rsidRDefault="00B5212B">
            <w:pPr>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Финансовата помощ се увеличава с 10 на сто</w:t>
            </w:r>
            <w:r>
              <w:rPr>
                <w:rFonts w:ascii="Times New Roman" w:hAnsi="Times New Roman" w:cs="Times New Roman"/>
                <w:sz w:val="24"/>
                <w:szCs w:val="24"/>
              </w:rPr>
              <w:t xml:space="preserve"> </w:t>
            </w:r>
            <w:r>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Pr>
                <w:rFonts w:ascii="Times New Roman" w:hAnsi="Times New Roman" w:cs="Times New Roman"/>
                <w:sz w:val="24"/>
                <w:szCs w:val="24"/>
              </w:rPr>
              <w:t xml:space="preserve"> </w:t>
            </w:r>
            <w:r>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Pr>
                <w:rFonts w:ascii="Times New Roman" w:hAnsi="Times New Roman" w:cs="Times New Roman"/>
                <w:sz w:val="24"/>
                <w:szCs w:val="24"/>
              </w:rPr>
              <w:t xml:space="preserve"> </w:t>
            </w:r>
            <w:r>
              <w:rPr>
                <w:rFonts w:ascii="Times New Roman" w:hAnsi="Times New Roman" w:cs="Times New Roman"/>
                <w:sz w:val="24"/>
                <w:szCs w:val="24"/>
                <w:lang w:val="en-US"/>
              </w:rPr>
              <w:t>направление "Биологично земеделие" от ПРСР 2007 – 2013 г.</w:t>
            </w:r>
          </w:p>
          <w:p w:rsidR="009329C9" w:rsidRDefault="00B5212B">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3. Финансовата помощ се у</w:t>
            </w:r>
            <w:r>
              <w:rPr>
                <w:rFonts w:ascii="Times New Roman" w:hAnsi="Times New Roman" w:cs="Times New Roman"/>
                <w:sz w:val="24"/>
                <w:szCs w:val="24"/>
                <w:lang w:val="en-US"/>
              </w:rPr>
              <w:t>величава с 10 на сто</w:t>
            </w:r>
            <w:r>
              <w:rPr>
                <w:rFonts w:ascii="Times New Roman" w:hAnsi="Times New Roman" w:cs="Times New Roman"/>
                <w:sz w:val="24"/>
                <w:szCs w:val="24"/>
              </w:rPr>
              <w:t xml:space="preserve"> </w:t>
            </w:r>
            <w:r>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Pr>
                <w:rFonts w:ascii="Times New Roman" w:hAnsi="Times New Roman" w:cs="Times New Roman"/>
                <w:sz w:val="24"/>
                <w:szCs w:val="24"/>
              </w:rPr>
              <w:t xml:space="preserve"> </w:t>
            </w:r>
            <w:r>
              <w:rPr>
                <w:rFonts w:ascii="Times New Roman" w:hAnsi="Times New Roman" w:cs="Times New Roman"/>
                <w:sz w:val="24"/>
                <w:szCs w:val="24"/>
                <w:lang w:val="en-US"/>
              </w:rPr>
              <w:t>стопани и/или групи/организации на производители.</w:t>
            </w:r>
          </w:p>
          <w:p w:rsidR="009329C9" w:rsidRDefault="00B5212B">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 xml:space="preserve">4. </w:t>
            </w:r>
            <w:r>
              <w:rPr>
                <w:rFonts w:ascii="Times New Roman" w:hAnsi="Times New Roman" w:cs="Times New Roman"/>
                <w:sz w:val="24"/>
                <w:szCs w:val="24"/>
                <w:lang w:val="en-US"/>
              </w:rPr>
              <w:t xml:space="preserve">За проектите по </w:t>
            </w:r>
            <w:r>
              <w:rPr>
                <w:rFonts w:ascii="Times New Roman" w:hAnsi="Times New Roman" w:cs="Times New Roman"/>
                <w:sz w:val="24"/>
                <w:szCs w:val="24"/>
              </w:rPr>
              <w:t xml:space="preserve">т. 2 и </w:t>
            </w:r>
            <w:r>
              <w:rPr>
                <w:rFonts w:ascii="Times New Roman" w:hAnsi="Times New Roman" w:cs="Times New Roman"/>
                <w:sz w:val="24"/>
                <w:szCs w:val="24"/>
                <w:lang w:val="en-US"/>
              </w:rPr>
              <w:t>т. 3 трябва да са изпълнени едновременно следните условия:</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Pr>
                <w:rFonts w:ascii="Times New Roman" w:hAnsi="Times New Roman" w:cs="Times New Roman"/>
                <w:sz w:val="24"/>
                <w:szCs w:val="24"/>
              </w:rPr>
              <w:t xml:space="preserve"> </w:t>
            </w:r>
            <w:r>
              <w:rPr>
                <w:rFonts w:ascii="Times New Roman" w:hAnsi="Times New Roman" w:cs="Times New Roman"/>
                <w:sz w:val="24"/>
                <w:szCs w:val="24"/>
                <w:lang w:val="en-US"/>
              </w:rPr>
              <w:t>територията на населено място, чието землище попада в</w:t>
            </w:r>
            <w:r>
              <w:rPr>
                <w:rFonts w:ascii="Times New Roman" w:hAnsi="Times New Roman" w:cs="Times New Roman"/>
                <w:sz w:val="24"/>
                <w:szCs w:val="24"/>
              </w:rPr>
              <w:t xml:space="preserve"> </w:t>
            </w:r>
            <w:r>
              <w:rPr>
                <w:rFonts w:ascii="Times New Roman" w:hAnsi="Times New Roman" w:cs="Times New Roman"/>
                <w:sz w:val="24"/>
                <w:szCs w:val="24"/>
                <w:lang w:val="en-US"/>
              </w:rPr>
              <w:t>необлагодетелстван район съгласно Наредбата за</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определяне на критериите за </w:t>
            </w:r>
            <w:r>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Pr>
                <w:rFonts w:ascii="Times New Roman" w:hAnsi="Times New Roman" w:cs="Times New Roman"/>
                <w:sz w:val="24"/>
                <w:szCs w:val="24"/>
              </w:rPr>
              <w:t xml:space="preserve"> </w:t>
            </w:r>
            <w:r>
              <w:rPr>
                <w:rFonts w:ascii="Times New Roman" w:hAnsi="Times New Roman" w:cs="Times New Roman"/>
                <w:sz w:val="24"/>
                <w:szCs w:val="24"/>
                <w:lang w:val="en-US"/>
              </w:rPr>
              <w:t>от 2008 г.;</w:t>
            </w:r>
          </w:p>
          <w:p w:rsidR="009329C9" w:rsidRDefault="00B5212B">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б) </w:t>
            </w:r>
            <w:r>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9329C9" w:rsidRDefault="00B5212B">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Pr>
                <w:rFonts w:ascii="Times New Roman" w:hAnsi="Times New Roman" w:cs="Times New Roman"/>
                <w:sz w:val="24"/>
                <w:szCs w:val="24"/>
              </w:rPr>
              <w:t xml:space="preserve"> </w:t>
            </w:r>
            <w:r>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посочените условия по </w:t>
            </w:r>
            <w:r>
              <w:rPr>
                <w:rFonts w:ascii="Times New Roman" w:hAnsi="Times New Roman" w:cs="Times New Roman"/>
                <w:sz w:val="24"/>
                <w:szCs w:val="24"/>
              </w:rPr>
              <w:t>т. 4</w:t>
            </w:r>
            <w:r>
              <w:rPr>
                <w:rFonts w:ascii="Times New Roman" w:hAnsi="Times New Roman" w:cs="Times New Roman"/>
                <w:sz w:val="24"/>
                <w:szCs w:val="24"/>
                <w:lang w:val="en-US"/>
              </w:rPr>
              <w:t>.</w:t>
            </w:r>
          </w:p>
          <w:p w:rsidR="009329C9" w:rsidRDefault="00B5212B">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Pr>
                <w:rFonts w:ascii="Times New Roman" w:hAnsi="Times New Roman" w:cs="Times New Roman"/>
                <w:sz w:val="24"/>
                <w:szCs w:val="24"/>
              </w:rPr>
              <w:t>т</w:t>
            </w:r>
            <w:r>
              <w:rPr>
                <w:rFonts w:ascii="Times New Roman" w:hAnsi="Times New Roman" w:cs="Times New Roman"/>
                <w:sz w:val="24"/>
                <w:szCs w:val="24"/>
                <w:lang w:val="en-US"/>
              </w:rPr>
              <w:t xml:space="preserve">. 2 и/или </w:t>
            </w:r>
            <w:r>
              <w:rPr>
                <w:rFonts w:ascii="Times New Roman" w:hAnsi="Times New Roman" w:cs="Times New Roman"/>
                <w:sz w:val="24"/>
                <w:szCs w:val="24"/>
              </w:rPr>
              <w:t>т</w:t>
            </w:r>
            <w:r>
              <w:rPr>
                <w:rFonts w:ascii="Times New Roman" w:hAnsi="Times New Roman" w:cs="Times New Roman"/>
                <w:sz w:val="24"/>
                <w:szCs w:val="24"/>
                <w:lang w:val="en-US"/>
              </w:rPr>
              <w:t>. 3, е не повече от 60 на сто от общия размер</w:t>
            </w:r>
            <w:r>
              <w:rPr>
                <w:rFonts w:ascii="Times New Roman" w:hAnsi="Times New Roman" w:cs="Times New Roman"/>
                <w:sz w:val="24"/>
                <w:szCs w:val="24"/>
              </w:rPr>
              <w:t xml:space="preserve"> </w:t>
            </w:r>
            <w:r>
              <w:rPr>
                <w:rFonts w:ascii="Times New Roman" w:hAnsi="Times New Roman" w:cs="Times New Roman"/>
                <w:sz w:val="24"/>
                <w:szCs w:val="24"/>
                <w:lang w:val="en-US"/>
              </w:rPr>
              <w:t>на допустимите за финансово подпомагане разходи.</w:t>
            </w:r>
          </w:p>
          <w:p w:rsidR="009329C9" w:rsidRDefault="00B5212B">
            <w:pPr>
              <w:rPr>
                <w:rFonts w:ascii="Times New Roman" w:eastAsia="Calibri"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lang w:val="en-US"/>
              </w:rPr>
              <w:t>Максималният размер на финансовата помощ за</w:t>
            </w:r>
            <w:r>
              <w:rPr>
                <w:rFonts w:ascii="Times New Roman" w:hAnsi="Times New Roman" w:cs="Times New Roman"/>
                <w:sz w:val="24"/>
                <w:szCs w:val="24"/>
              </w:rPr>
              <w:t xml:space="preserve"> </w:t>
            </w:r>
            <w:r>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повече от едно от условията по </w:t>
            </w:r>
            <w:r>
              <w:rPr>
                <w:rFonts w:ascii="Times New Roman" w:hAnsi="Times New Roman" w:cs="Times New Roman"/>
                <w:sz w:val="24"/>
                <w:szCs w:val="24"/>
              </w:rPr>
              <w:t>т</w:t>
            </w:r>
            <w:r>
              <w:rPr>
                <w:rFonts w:ascii="Times New Roman" w:hAnsi="Times New Roman" w:cs="Times New Roman"/>
                <w:sz w:val="24"/>
                <w:szCs w:val="24"/>
                <w:lang w:val="en-US"/>
              </w:rPr>
              <w:t>. 2, 3 и 4, е не повече от 70 на сто от общия размер на допустимите за</w:t>
            </w:r>
            <w:r>
              <w:rPr>
                <w:rFonts w:ascii="Times New Roman" w:hAnsi="Times New Roman" w:cs="Times New Roman"/>
                <w:sz w:val="24"/>
                <w:szCs w:val="24"/>
              </w:rPr>
              <w:t xml:space="preserve"> </w:t>
            </w:r>
            <w:r>
              <w:rPr>
                <w:rFonts w:ascii="Times New Roman" w:hAnsi="Times New Roman" w:cs="Times New Roman"/>
                <w:sz w:val="24"/>
                <w:szCs w:val="24"/>
                <w:lang w:val="en-US"/>
              </w:rPr>
              <w:t>финансово подпомагане разходи.</w:t>
            </w:r>
          </w:p>
          <w:p w:rsidR="009329C9" w:rsidRDefault="00B5212B" w:rsidP="001145F8">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Общ бюджет на мярката – </w:t>
            </w:r>
            <w:r w:rsidR="001145F8">
              <w:rPr>
                <w:rFonts w:ascii="Times New Roman" w:eastAsia="Calibri" w:hAnsi="Times New Roman" w:cs="Times New Roman"/>
                <w:sz w:val="24"/>
                <w:szCs w:val="24"/>
              </w:rPr>
              <w:t>628 641,55</w:t>
            </w:r>
            <w:r>
              <w:rPr>
                <w:rFonts w:ascii="Times New Roman" w:eastAsia="Calibri" w:hAnsi="Times New Roman" w:cs="Times New Roman"/>
                <w:sz w:val="24"/>
                <w:szCs w:val="24"/>
              </w:rPr>
              <w:t xml:space="preserve"> лв.</w:t>
            </w: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Критерии за избор на </w:t>
            </w:r>
          </w:p>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проекти</w:t>
            </w:r>
          </w:p>
        </w:tc>
        <w:tc>
          <w:tcPr>
            <w:tcW w:w="8788" w:type="dxa"/>
            <w:shd w:val="clear" w:color="auto" w:fill="auto"/>
          </w:tcPr>
          <w:p w:rsidR="009329C9" w:rsidRDefault="009329C9">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342"/>
              <w:gridCol w:w="1182"/>
            </w:tblGrid>
            <w:tr w:rsidR="009329C9">
              <w:tc>
                <w:tcPr>
                  <w:tcW w:w="7342"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hAnsi="Times New Roman" w:cs="Times New Roman"/>
                      <w:b/>
                      <w:sz w:val="24"/>
                      <w:szCs w:val="24"/>
                    </w:rPr>
                  </w:pPr>
                  <w:r>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b/>
                      <w:sz w:val="24"/>
                      <w:szCs w:val="24"/>
                    </w:rPr>
                  </w:pPr>
                  <w:r>
                    <w:rPr>
                      <w:rFonts w:ascii="Times New Roman" w:hAnsi="Times New Roman" w:cs="Times New Roman"/>
                      <w:b/>
                      <w:sz w:val="24"/>
                      <w:szCs w:val="24"/>
                    </w:rPr>
                    <w:t>ТОЧКИ</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8"/>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производство на биологични продукти</w:t>
                  </w:r>
                </w:p>
                <w:p w:rsidR="009329C9" w:rsidRDefault="00B5212B">
                  <w:pPr>
                    <w:pStyle w:val="af4"/>
                    <w:numPr>
                      <w:ilvl w:val="0"/>
                      <w:numId w:val="9"/>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От 30% до 50% от допустимите инвестиционни разходи по проекта са свързани с производство на биологични продукти – 11 точки</w:t>
                  </w:r>
                </w:p>
                <w:p w:rsidR="009329C9" w:rsidRDefault="00B5212B">
                  <w:pPr>
                    <w:pStyle w:val="af4"/>
                    <w:numPr>
                      <w:ilvl w:val="0"/>
                      <w:numId w:val="9"/>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Над 50% от допустимите инвестиционни разходи по проекта са свързани с производство на биологични продукти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10"/>
                    </w:numPr>
                    <w:spacing w:after="0"/>
                    <w:rPr>
                      <w:rFonts w:ascii="Times New Roman" w:eastAsia="Calibri" w:hAnsi="Times New Roman" w:cs="Times New Roman"/>
                      <w:sz w:val="24"/>
                      <w:szCs w:val="24"/>
                      <w:lang w:val="en-US"/>
                    </w:rPr>
                  </w:pPr>
                  <w:r>
                    <w:rPr>
                      <w:rFonts w:ascii="Times New Roman" w:hAnsi="Times New Roman" w:cs="Times New Roman"/>
                      <w:sz w:val="24"/>
                      <w:szCs w:val="24"/>
                    </w:rPr>
                    <w:t>Дейностите по проекта са в областта на трайните насаждения и/или животновъдството.</w:t>
                  </w:r>
                </w:p>
                <w:p w:rsidR="009329C9" w:rsidRDefault="00B5212B">
                  <w:pPr>
                    <w:pStyle w:val="af4"/>
                    <w:numPr>
                      <w:ilvl w:val="0"/>
                      <w:numId w:val="9"/>
                    </w:num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Дейностите по проекта са в областта на трайните насаждения и са извън сектор биопроизводство – 15 точки</w:t>
                  </w:r>
                </w:p>
                <w:p w:rsidR="009329C9" w:rsidRDefault="00B5212B">
                  <w:pPr>
                    <w:pStyle w:val="af4"/>
                    <w:numPr>
                      <w:ilvl w:val="0"/>
                      <w:numId w:val="9"/>
                    </w:num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Дейностите по проекта са в сектор животновъдство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15</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Проектът създава нови работни места: </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От 1 до 3 работни места – 5 точки</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rsidR="009329C9">
              <w:tc>
                <w:tcPr>
                  <w:tcW w:w="7342" w:type="dxa"/>
                  <w:tcBorders>
                    <w:top w:val="outset" w:sz="6" w:space="0" w:color="auto"/>
                    <w:left w:val="outset" w:sz="6" w:space="0" w:color="auto"/>
                    <w:bottom w:val="outset" w:sz="6" w:space="0" w:color="auto"/>
                    <w:right w:val="outset" w:sz="6" w:space="0" w:color="auto"/>
                  </w:tcBorders>
                </w:tcPr>
                <w:p w:rsidR="009329C9" w:rsidRDefault="00B5212B">
                  <w:pPr>
                    <w:pStyle w:val="af4"/>
                    <w:numPr>
                      <w:ilvl w:val="0"/>
                      <w:numId w:val="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Кандидатът е земеделски стопанин,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tabs>
                      <w:tab w:val="left" w:pos="309"/>
                    </w:tabs>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не е получавал подкрепа от общността.</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lastRenderedPageBreak/>
                    <w:t xml:space="preserve">Проекти, подадени от кандидати, притежаващи опит в сектора за който кандидатстват: </w:t>
                  </w:r>
                </w:p>
                <w:p w:rsidR="009329C9" w:rsidRDefault="00B5212B">
                  <w:pPr>
                    <w:pStyle w:val="af4"/>
                    <w:numPr>
                      <w:ilvl w:val="0"/>
                      <w:numId w:val="9"/>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е осъществявал минимум три години дейност в сектора, за който кандидатства – 7 точки</w:t>
                  </w:r>
                </w:p>
                <w:p w:rsidR="009329C9" w:rsidRDefault="00B5212B">
                  <w:pPr>
                    <w:pStyle w:val="af4"/>
                    <w:numPr>
                      <w:ilvl w:val="0"/>
                      <w:numId w:val="9"/>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 xml:space="preserve">Кандидатът има подходящо образование или квалификация, курс за добри земеделски практики, курс по агроекология или др. – 3 точки </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pStyle w:val="af4"/>
                    <w:numPr>
                      <w:ilvl w:val="0"/>
                      <w:numId w:val="7"/>
                    </w:num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9329C9">
              <w:tc>
                <w:tcPr>
                  <w:tcW w:w="7342"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rPr>
                      <w:rFonts w:ascii="Times New Roman" w:hAnsi="Times New Roman" w:cs="Times New Roman"/>
                      <w:b/>
                      <w:sz w:val="24"/>
                      <w:szCs w:val="24"/>
                    </w:rPr>
                  </w:pPr>
                  <w:r>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hAnsi="Times New Roman" w:cs="Times New Roman"/>
                      <w:b/>
                      <w:sz w:val="24"/>
                      <w:szCs w:val="24"/>
                    </w:rPr>
                  </w:pPr>
                  <w:r>
                    <w:rPr>
                      <w:rFonts w:ascii="Times New Roman" w:hAnsi="Times New Roman" w:cs="Times New Roman"/>
                      <w:b/>
                      <w:sz w:val="24"/>
                      <w:szCs w:val="24"/>
                    </w:rPr>
                    <w:t>100</w:t>
                  </w:r>
                </w:p>
              </w:tc>
            </w:tr>
          </w:tbl>
          <w:p w:rsidR="009329C9" w:rsidRDefault="009329C9">
            <w:pPr>
              <w:spacing w:after="0"/>
              <w:rPr>
                <w:rFonts w:ascii="Times New Roman" w:eastAsia="Calibri" w:hAnsi="Times New Roman" w:cs="Times New Roman"/>
                <w:color w:val="000000"/>
                <w:sz w:val="24"/>
                <w:szCs w:val="24"/>
              </w:rPr>
            </w:pPr>
          </w:p>
        </w:tc>
      </w:tr>
      <w:tr w:rsidR="009329C9">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Държавни помощи</w:t>
            </w:r>
          </w:p>
        </w:tc>
        <w:tc>
          <w:tcPr>
            <w:tcW w:w="8788" w:type="dxa"/>
            <w:shd w:val="clear" w:color="auto" w:fill="auto"/>
          </w:tcPr>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rPr>
                <w:rFonts w:ascii="Times New Roman" w:eastAsia="Calibri" w:hAnsi="Times New Roman" w:cs="Times New Roman"/>
                <w:sz w:val="24"/>
                <w:szCs w:val="24"/>
              </w:rPr>
            </w:pPr>
            <w:r>
              <w:rPr>
                <w:rFonts w:ascii="Times New Roman" w:eastAsia="Calibri" w:hAnsi="Times New Roman" w:cs="Times New Roman"/>
                <w:sz w:val="24"/>
                <w:szCs w:val="24"/>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B5212B">
      <w:pPr>
        <w:rPr>
          <w:rFonts w:ascii="Times New Roman" w:hAnsi="Times New Roman" w:cs="Times New Roman"/>
        </w:rPr>
      </w:pPr>
      <w:r>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4 ИНВЕСТИЦИИ В МАТЕРИАЛИ АКТИВИ</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color w:val="auto"/>
                <w:sz w:val="24"/>
                <w:szCs w:val="24"/>
                <w:lang w:val="en-US" w:eastAsia="en-US"/>
              </w:rPr>
            </w:pPr>
            <w:r>
              <w:rPr>
                <w:rFonts w:ascii="Times New Roman" w:eastAsia="Calibri" w:hAnsi="Times New Roman" w:cs="Times New Roman"/>
                <w:color w:val="auto"/>
                <w:sz w:val="24"/>
                <w:szCs w:val="24"/>
                <w:lang w:eastAsia="en-US"/>
              </w:rPr>
              <w:t>Мярка 4.2 ИНВЕСТИЦИИ В ПРЕРАБОТКА/МАРКЕТИНГ НА СЕЛСКОСТОПАНСКИ</w:t>
            </w:r>
          </w:p>
          <w:p w:rsidR="009329C9" w:rsidRDefault="00B5212B">
            <w:pPr>
              <w:pStyle w:val="3"/>
              <w:spacing w:before="0"/>
              <w:jc w:val="center"/>
              <w:rPr>
                <w:rFonts w:ascii="Times New Roman" w:eastAsia="Calibri" w:hAnsi="Times New Roman" w:cs="Times New Roman"/>
                <w:b w:val="0"/>
                <w:sz w:val="24"/>
                <w:szCs w:val="24"/>
                <w:lang w:eastAsia="en-US"/>
              </w:rPr>
            </w:pPr>
            <w:r>
              <w:rPr>
                <w:rFonts w:ascii="Times New Roman" w:eastAsia="Calibri" w:hAnsi="Times New Roman" w:cs="Times New Roman"/>
                <w:color w:val="auto"/>
                <w:sz w:val="24"/>
                <w:szCs w:val="24"/>
                <w:lang w:eastAsia="en-US"/>
              </w:rPr>
              <w:t>ПРОДУКТИ</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930" w:type="dxa"/>
            <w:shd w:val="clear" w:color="auto" w:fill="auto"/>
          </w:tcPr>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по-добро използване на факторите за производство;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подобряване на качеството и безопасността на храните и тяхната проследяемост;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постигане на съответствие със стандартите на Европейския съюз (ЕС); </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подобряване опазването на околната среда.</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земеделски стопани;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признати групи или организации на производители или такива, одобрени за финансова помощ по мярка 9. "Учредяване на групи и организации на производители" от ПРСР 2014 - 2020 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Pr>
                <w:rFonts w:ascii="Times New Roman" w:hAnsi="Times New Roman" w:cs="Times New Roman"/>
                <w:sz w:val="24"/>
                <w:szCs w:val="24"/>
              </w:rPr>
              <w:lastRenderedPageBreak/>
              <w:t>на земеделските стопани.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9329C9" w:rsidRDefault="00B521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са само проекти, които се осъществяват на територията на МИГ Свиленград Ареал и водят до подобряване на цялостната дейност на предприятието чрез:</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внедряване на нови и/или модернизиране на наличните мощности и подобряване на използването им,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внедряване на нови продукти, процеси и технологии,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намаляване на себестойността на произвежданата продукция,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подобряване на енергийната ефективност в предприятията,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подобряване на качеството и безопасността на храните и тяхната проследяемост, и/или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подобряване на възможностите за производство на биологични храни чрез преработка на първични земеделски биологични продукти.</w:t>
            </w:r>
          </w:p>
        </w:tc>
      </w:tr>
      <w:tr w:rsidR="009329C9">
        <w:trPr>
          <w:trHeight w:val="700"/>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1.изграждане, придобиване и модернизиране на сгради и други недвижими активи, свързани с производството и/или маркетинга, включително такива, използвани за опазване компонентите на околната среда;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закупуване, включително чрез финансов лизинг, и/или инсталиране на нови машини, съоръжения и оборудване, необходими за подобряване на производствения процес по преработка и маркетинга, в т.ч. за: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б) производство на нови продукти, въвеждане на нови технологии и процеси;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опазване компонентите на околната среда;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животинска </w:t>
            </w:r>
            <w:r>
              <w:rPr>
                <w:rFonts w:ascii="Times New Roman" w:eastAsia="Calibri" w:hAnsi="Times New Roman" w:cs="Times New Roman"/>
                <w:sz w:val="24"/>
                <w:szCs w:val="24"/>
                <w:lang w:eastAsia="en-US"/>
              </w:rPr>
              <w:lastRenderedPageBreak/>
              <w:t xml:space="preserve">първична и вторична биомаса;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закупуване на сгради, помещения и други недвижими имоти, необходими за изпълнение на проекта, предназначени за производствени дейности на територията на МИГ Свиленград ареал;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изграждане/модернизиране,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финансов лизинг;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материални инвестиции за постигане на съответствие с новоприети стандарти на Съюза включително чрез финансов лизинг;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8. разходи за достигане на съответствие с международно признати стандарти за системи за управление, разходи за въвеждане на добри производствени практики, системи за управление на качеството и подготовка за сертификация в предприятията само когато тези разходи са част от общ проект на кандидата;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10. за ноу-хау, придобиване на патентни права и лицензи, за регистрация на търговски марки и процеси, необходими за изготвяне и изпълнение на проекта;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1 - 10.</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Pr>
                <w:rFonts w:ascii="Times New Roman" w:eastAsia="Calibri" w:hAnsi="Times New Roman" w:cs="Times New Roman"/>
                <w:sz w:val="24"/>
                <w:szCs w:val="24"/>
                <w:lang w:val="en-US" w:eastAsia="en-US"/>
              </w:rPr>
              <w:t>10</w:t>
            </w:r>
            <w:r>
              <w:rPr>
                <w:rFonts w:ascii="Times New Roman" w:eastAsia="Calibri" w:hAnsi="Times New Roman" w:cs="Times New Roman"/>
                <w:sz w:val="24"/>
                <w:szCs w:val="24"/>
                <w:lang w:eastAsia="en-US"/>
              </w:rPr>
              <w:t> 000 евро.</w:t>
            </w:r>
            <w:r>
              <w:rPr>
                <w:rFonts w:ascii="Times New Roman" w:eastAsia="Calibri" w:hAnsi="Times New Roman" w:cs="Times New Roman"/>
                <w:sz w:val="24"/>
                <w:szCs w:val="24"/>
              </w:rPr>
              <w:t xml:space="preserve"> Или 19 558,00 лв.</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Pr>
                <w:rFonts w:ascii="Times New Roman" w:eastAsia="Calibri" w:hAnsi="Times New Roman" w:cs="Times New Roman"/>
                <w:sz w:val="24"/>
                <w:szCs w:val="24"/>
                <w:lang w:val="en-US" w:eastAsia="en-US"/>
              </w:rPr>
              <w:t xml:space="preserve"> 000</w:t>
            </w:r>
            <w:r>
              <w:rPr>
                <w:rFonts w:ascii="Times New Roman" w:eastAsia="Calibri" w:hAnsi="Times New Roman" w:cs="Times New Roman"/>
                <w:sz w:val="24"/>
                <w:szCs w:val="24"/>
                <w:lang w:eastAsia="en-US"/>
              </w:rPr>
              <w:t xml:space="preserve"> евро. </w:t>
            </w:r>
            <w:r>
              <w:rPr>
                <w:rFonts w:ascii="Times New Roman" w:eastAsia="Calibri" w:hAnsi="Times New Roman" w:cs="Times New Roman"/>
                <w:sz w:val="24"/>
                <w:szCs w:val="24"/>
              </w:rPr>
              <w:t>Или 195 580,00 лв.</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Интензитет и размер на финансовата помощ /в </w:t>
            </w:r>
            <w:r>
              <w:rPr>
                <w:rFonts w:ascii="Times New Roman" w:eastAsia="Calibri" w:hAnsi="Times New Roman" w:cs="Times New Roman"/>
                <w:b/>
                <w:sz w:val="24"/>
                <w:szCs w:val="24"/>
                <w:lang w:eastAsia="en-US"/>
              </w:rPr>
              <w:lastRenderedPageBreak/>
              <w:t xml:space="preserve">% </w:t>
            </w:r>
          </w:p>
        </w:tc>
        <w:tc>
          <w:tcPr>
            <w:tcW w:w="8930" w:type="dxa"/>
            <w:shd w:val="clear" w:color="auto" w:fill="auto"/>
          </w:tcPr>
          <w:p w:rsidR="009329C9" w:rsidRDefault="00B5212B">
            <w:pPr>
              <w:numPr>
                <w:ilvl w:val="0"/>
                <w:numId w:val="11"/>
              </w:numPr>
              <w:spacing w:before="120" w:after="0"/>
              <w:ind w:left="504" w:hanging="357"/>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lastRenderedPageBreak/>
              <w:t xml:space="preserve">50 </w:t>
            </w:r>
            <w:r>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9329C9" w:rsidRDefault="00B5212B">
            <w:pPr>
              <w:numPr>
                <w:ilvl w:val="0"/>
                <w:numId w:val="11"/>
              </w:numPr>
              <w:spacing w:before="120" w:after="0"/>
              <w:ind w:left="504" w:hanging="357"/>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40 на сто от общия размер на допустимите за финансово подпомагане разходи </w:t>
            </w:r>
            <w:r>
              <w:rPr>
                <w:rFonts w:ascii="Times New Roman" w:eastAsia="Calibri" w:hAnsi="Times New Roman" w:cs="Times New Roman"/>
                <w:sz w:val="24"/>
                <w:szCs w:val="24"/>
                <w:lang w:eastAsia="en-US"/>
              </w:rPr>
              <w:lastRenderedPageBreak/>
              <w:t>за проекти, представени от големи предприятия.</w:t>
            </w:r>
          </w:p>
          <w:p w:rsidR="009329C9" w:rsidRDefault="00B5212B">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9329C9" w:rsidRDefault="00B5212B" w:rsidP="001145F8">
            <w:pPr>
              <w:spacing w:after="0"/>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 xml:space="preserve">Общ бюджет на мярката – </w:t>
            </w:r>
            <w:r w:rsidR="001145F8">
              <w:rPr>
                <w:rFonts w:ascii="Times New Roman" w:eastAsia="Calibri" w:hAnsi="Times New Roman" w:cs="Times New Roman"/>
                <w:sz w:val="24"/>
                <w:szCs w:val="24"/>
                <w:lang w:val="ru-RU" w:eastAsia="en-US"/>
              </w:rPr>
              <w:t>97 525</w:t>
            </w:r>
            <w:r>
              <w:rPr>
                <w:rFonts w:ascii="Times New Roman" w:eastAsia="Calibri" w:hAnsi="Times New Roman" w:cs="Times New Roman"/>
                <w:sz w:val="24"/>
                <w:szCs w:val="24"/>
                <w:lang w:val="ru-RU" w:eastAsia="en-US"/>
              </w:rPr>
              <w:t>,</w:t>
            </w:r>
            <w:r w:rsidR="001145F8">
              <w:rPr>
                <w:rFonts w:ascii="Times New Roman" w:eastAsia="Calibri" w:hAnsi="Times New Roman" w:cs="Times New Roman"/>
                <w:sz w:val="24"/>
                <w:szCs w:val="24"/>
                <w:lang w:val="ru-RU" w:eastAsia="en-US"/>
              </w:rPr>
              <w:t>0</w:t>
            </w:r>
            <w:r>
              <w:rPr>
                <w:rFonts w:ascii="Times New Roman" w:eastAsia="Calibri" w:hAnsi="Times New Roman" w:cs="Times New Roman"/>
                <w:sz w:val="24"/>
                <w:szCs w:val="24"/>
                <w:lang w:val="ru-RU" w:eastAsia="en-US"/>
              </w:rPr>
              <w:t>0 лв.</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9329C9" w:rsidRDefault="009329C9">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302"/>
              <w:gridCol w:w="1080"/>
            </w:tblGrid>
            <w:tr w:rsidR="009329C9">
              <w:tc>
                <w:tcPr>
                  <w:tcW w:w="7302"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ТОЧКИ</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Проектът създава нови работни места : </w:t>
                  </w:r>
                </w:p>
                <w:p w:rsidR="009329C9" w:rsidRDefault="00B5212B">
                  <w:pPr>
                    <w:spacing w:after="0"/>
                    <w:ind w:left="7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1 до 3 работни места – 1</w:t>
                  </w:r>
                  <w:r>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eastAsia="en-US"/>
                    </w:rPr>
                    <w:t xml:space="preserve"> точки</w:t>
                  </w:r>
                </w:p>
                <w:p w:rsidR="009329C9" w:rsidRDefault="00B5212B">
                  <w:pPr>
                    <w:spacing w:after="0"/>
                    <w:ind w:left="7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 3 работни места – 15 точки</w:t>
                  </w:r>
                  <w:r>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shd w:val="clear" w:color="auto" w:fill="FEFEFE"/>
                      <w:lang w:eastAsia="en-US"/>
                    </w:rPr>
                  </w:pPr>
                  <w:r>
                    <w:rPr>
                      <w:rFonts w:ascii="Times New Roman" w:eastAsia="Calibri" w:hAnsi="Times New Roman" w:cs="Times New Roman"/>
                      <w:sz w:val="24"/>
                      <w:szCs w:val="24"/>
                      <w:shd w:val="clear" w:color="auto" w:fill="FEFEFE"/>
                      <w:lang w:eastAsia="en-US"/>
                    </w:rPr>
                    <w:t>4.Кандидатът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lang w:val="en-US" w:eastAsia="en-US"/>
                    </w:rPr>
                  </w:pPr>
                  <w:r>
                    <w:rPr>
                      <w:rFonts w:ascii="Times New Roman" w:eastAsia="Times New Roman" w:hAnsi="Times New Roman" w:cs="Times New Roman"/>
                      <w:sz w:val="24"/>
                      <w:szCs w:val="24"/>
                      <w:lang w:eastAsia="en-US"/>
                    </w:rPr>
                    <w:t xml:space="preserve">5.Инвестициите са свързани с преработка на млечни продукти </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shd w:val="clear" w:color="auto" w:fill="FEFEFE"/>
                      <w:lang w:val="en-US" w:eastAsia="en-US"/>
                    </w:rPr>
                  </w:pPr>
                  <w:r>
                    <w:rPr>
                      <w:rFonts w:ascii="Times New Roman" w:eastAsia="Calibri" w:hAnsi="Times New Roman" w:cs="Times New Roman"/>
                      <w:sz w:val="24"/>
                      <w:szCs w:val="24"/>
                      <w:shd w:val="clear" w:color="auto" w:fill="FEFEFE"/>
                      <w:lang w:eastAsia="en-US"/>
                    </w:rPr>
                    <w:t>6.И</w:t>
                  </w:r>
                  <w:r>
                    <w:rPr>
                      <w:rFonts w:ascii="Times New Roman" w:eastAsia="Calibri" w:hAnsi="Times New Roman" w:cs="Times New Roman"/>
                      <w:sz w:val="24"/>
                      <w:szCs w:val="24"/>
                      <w:shd w:val="clear" w:color="auto" w:fill="FEFEFE"/>
                      <w:lang w:val="en-US" w:eastAsia="en-US"/>
                    </w:rPr>
                    <w:t>новации в предприятието</w:t>
                  </w:r>
                  <w:r>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lang w:eastAsia="en-US"/>
                    </w:rPr>
                    <w:t>7.Дейностите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302" w:type="dxa"/>
                  <w:tcBorders>
                    <w:top w:val="outset" w:sz="6" w:space="0" w:color="auto"/>
                    <w:left w:val="outset" w:sz="6" w:space="0" w:color="auto"/>
                    <w:bottom w:val="outset" w:sz="6" w:space="0" w:color="auto"/>
                    <w:right w:val="outset" w:sz="6" w:space="0" w:color="auto"/>
                  </w:tcBorders>
                  <w:vAlign w:val="center"/>
                </w:tcPr>
                <w:p w:rsidR="009329C9" w:rsidRDefault="00B521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9329C9" w:rsidRDefault="00B521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Държавни помощи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w:t>
            </w:r>
            <w:r>
              <w:rPr>
                <w:rFonts w:ascii="Times New Roman" w:eastAsia="Calibri" w:hAnsi="Times New Roman" w:cs="Times New Roman"/>
                <w:sz w:val="24"/>
                <w:szCs w:val="24"/>
                <w:lang w:eastAsia="en-US"/>
              </w:rPr>
              <w:lastRenderedPageBreak/>
              <w:t xml:space="preserve">носно прилагането на членове 107 и 108 от Договора за функционирането на Европейския съюз към помощта </w:t>
            </w:r>
            <w:r>
              <w:rPr>
                <w:rFonts w:ascii="Times New Roman" w:eastAsia="Calibri" w:hAnsi="Times New Roman" w:cs="Times New Roman"/>
                <w:sz w:val="24"/>
                <w:szCs w:val="24"/>
                <w:lang w:val="en-US" w:eastAsia="en-US"/>
              </w:rPr>
              <w:t>de minimis</w:t>
            </w: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val="en-US" w:eastAsia="en-US"/>
              </w:rPr>
              <w:t>OB</w:t>
            </w: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val="en-US" w:eastAsia="en-US"/>
              </w:rPr>
              <w:t xml:space="preserve"> L</w:t>
            </w:r>
            <w:r>
              <w:rPr>
                <w:rFonts w:ascii="Times New Roman" w:eastAsia="Calibri" w:hAnsi="Times New Roman" w:cs="Times New Roman"/>
                <w:sz w:val="24"/>
                <w:szCs w:val="24"/>
                <w:lang w:eastAsia="en-US"/>
              </w:rPr>
              <w:t xml:space="preserve">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9329C9">
      <w:pPr>
        <w:rPr>
          <w:rFonts w:ascii="Times New Roman" w:hAnsi="Times New Roman" w:cs="Times New Roman"/>
        </w:rPr>
      </w:pPr>
    </w:p>
    <w:p w:rsidR="009329C9" w:rsidRDefault="00B5212B">
      <w:pPr>
        <w:rPr>
          <w:rFonts w:ascii="Times New Roman" w:hAnsi="Times New Roman" w:cs="Times New Roman"/>
        </w:rPr>
      </w:pPr>
      <w:r>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4"/>
                <w:szCs w:val="24"/>
                <w:lang w:val="ru-RU" w:eastAsia="en-US"/>
              </w:rPr>
            </w:pPr>
            <w:r>
              <w:rPr>
                <w:rFonts w:ascii="Times New Roman" w:eastAsia="Calibri" w:hAnsi="Times New Roman" w:cs="Times New Roman"/>
                <w:color w:val="auto"/>
                <w:sz w:val="24"/>
                <w:szCs w:val="24"/>
                <w:lang w:eastAsia="en-US"/>
              </w:rPr>
              <w:t>Мярка 6.4 ИНВЕСТИЦИИ В ПОДКРЕПА НА НЕЗЕМЕДЕЛСКИ ДЕЙНОСТИ</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Мярката има следните специфични цели: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разнообразяване към неземеделски дейности;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насърчаване на предприемачеството на територията;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насърчаване развитието на туризма на територията;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развитие на „зелена икономика“ и иновации;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мярката се подпомагат проекти за инвестиции за създаване или развитие на неземеделски дейности. Изпълнява се на територията на МИГ „Свиленград Ареал“. </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Подпомагането на инвестициите в неземеделски дейности е от съществено значение за развитието на конкурентоспособността на селските райони.</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Насърчаването на инвестиционните дейности ще подпомогне създаването на заетост и ще ускори диверсификацията на неземеделските дейности.</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Pr>
                <w:rFonts w:ascii="Times New Roman" w:eastAsia="Times New Roman" w:hAnsi="Times New Roman" w:cs="Times New Roman"/>
                <w:i/>
                <w:iCs/>
                <w:sz w:val="24"/>
                <w:szCs w:val="24"/>
              </w:rPr>
              <w:t>.</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Чрез финансовата подкрепа ще се подпомогне усвояването на потенциала за развитие на туризъм, съчетаващ природни и културни ценности.</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Подмярката ще допринася към приоритетни области 6А и 5В.</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за вероизповеданията, както и физически лица, регистрирани по Закона за занаятите.</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определянето на едно предприятие за микропредприятие се следва дефиницията на Препоръка 2003/361/ЕО на Комисията.</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9329C9" w:rsidRDefault="00B5212B">
            <w:pPr>
              <w:pStyle w:val="af4"/>
              <w:numPr>
                <w:ilvl w:val="0"/>
                <w:numId w:val="12"/>
              </w:numPr>
              <w:spacing w:after="0"/>
              <w:ind w:lef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Допустими </w:t>
            </w:r>
            <w:r>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Допустими за финансова помощ са разходите за: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Финансова помощ за материали и нематериали инвестиции, за създаване и развитие на неземеделски дейности в селските райони, включващи:</w:t>
            </w:r>
          </w:p>
          <w:p w:rsidR="009329C9" w:rsidRDefault="00B5212B">
            <w:pPr>
              <w:spacing w:after="0"/>
              <w:ind w:left="364"/>
              <w:jc w:val="both"/>
              <w:textAlignment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а) Изграждане, придобиване или подобренията на недвижимо имущество;</w:t>
            </w:r>
          </w:p>
          <w:p w:rsidR="009329C9" w:rsidRDefault="00B5212B">
            <w:pPr>
              <w:spacing w:after="0"/>
              <w:ind w:left="283"/>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 xml:space="preserve"> б) Закупуване, включително чрез лизинг на нови машини и оборудване до пазарната стойност на активите;</w:t>
            </w:r>
          </w:p>
          <w:p w:rsidR="009329C9" w:rsidRDefault="00B5212B">
            <w:pPr>
              <w:spacing w:after="0"/>
              <w:ind w:left="36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в) Общи разходи, свързани с разходите по букви а и б,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9329C9" w:rsidRDefault="00B5212B">
            <w:pPr>
              <w:spacing w:after="0"/>
              <w:ind w:left="36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г) Нематериали инвестиции: придобиване и създаване на компютърен софтуер и придобиване на патенти, лицензи, авторски права и марки.</w:t>
            </w:r>
          </w:p>
          <w:p w:rsidR="009329C9" w:rsidRDefault="00B5212B">
            <w:pPr>
              <w:spacing w:after="0"/>
              <w:ind w:left="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текущи разходи.</w:t>
            </w:r>
          </w:p>
          <w:p w:rsidR="009329C9" w:rsidRDefault="00B5212B">
            <w:pPr>
              <w:spacing w:after="0"/>
              <w:ind w:left="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настаняванеи стойност на финансовата помощ до 50 000 лева с ДДС. Проекти, с включени инвестиции за производство енергия от ВЕИ се подпомагат, ако не надхвърлят необходимото количество енергия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9329C9" w:rsidRDefault="00B5212B">
            <w:pPr>
              <w:spacing w:after="0"/>
              <w:ind w:left="4"/>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Разходите са допустими само ако са извършени след подаване на заявлението за подпомагане, с изключение на общите разходи.</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 xml:space="preserve">Недопустими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разходи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съгласнот. 14 от Насоките за определяне условията за кандидатстване и условията за изпълнение на одобрените стратегии за ВОМР/ 23.06.2017г. на УО на ПРСР .чл. 21 от Наредба №22/14.12.2015 г. на МЗХГ.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източници за продажба.</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Pr>
                <w:rFonts w:ascii="Times New Roman" w:eastAsia="Calibri" w:hAnsi="Times New Roman" w:cs="Times New Roman"/>
                <w:sz w:val="24"/>
                <w:szCs w:val="24"/>
              </w:rPr>
              <w:t xml:space="preserve"> Или 19 558,00 лв.</w:t>
            </w:r>
          </w:p>
          <w:p w:rsidR="009329C9" w:rsidRDefault="00B5212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Pr>
                <w:rFonts w:ascii="Times New Roman" w:eastAsia="Calibri" w:hAnsi="Times New Roman" w:cs="Times New Roman"/>
                <w:sz w:val="24"/>
                <w:szCs w:val="24"/>
              </w:rPr>
              <w:t>Или 293 370,00 лв.</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9329C9" w:rsidRDefault="00B5212B">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75 на сто от общия размер на допустимите за финансово подпомагане разходи за проекти. </w:t>
            </w:r>
          </w:p>
          <w:p w:rsidR="009329C9" w:rsidRDefault="00B5212B">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p>
          <w:p w:rsidR="009329C9" w:rsidRDefault="00B5212B">
            <w:pPr>
              <w:spacing w:after="0"/>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 minimis.</w:t>
            </w:r>
          </w:p>
          <w:p w:rsidR="009329C9" w:rsidRDefault="00B5212B">
            <w:p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Общ бюджет на мярката – 1 462 625,44 лв.</w:t>
            </w:r>
          </w:p>
        </w:tc>
      </w:tr>
      <w:tr w:rsidR="009329C9">
        <w:trPr>
          <w:trHeight w:val="7224"/>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9329C9" w:rsidRDefault="009329C9">
            <w:pPr>
              <w:spacing w:after="0"/>
              <w:jc w:val="both"/>
              <w:rPr>
                <w:rFonts w:ascii="Times New Roman" w:eastAsia="Calibri" w:hAnsi="Times New Roman" w:cs="Times New Roman"/>
                <w:sz w:val="24"/>
                <w:szCs w:val="24"/>
                <w:lang w:eastAsia="en-US"/>
              </w:rPr>
            </w:pPr>
          </w:p>
          <w:tbl>
            <w:tblPr>
              <w:tblStyle w:val="TableGrid1"/>
              <w:tblW w:w="0" w:type="auto"/>
              <w:tblLayout w:type="fixed"/>
              <w:tblLook w:val="04A0" w:firstRow="1" w:lastRow="0" w:firstColumn="1" w:lastColumn="0" w:noHBand="0" w:noVBand="1"/>
            </w:tblPr>
            <w:tblGrid>
              <w:gridCol w:w="7403"/>
              <w:gridCol w:w="1153"/>
            </w:tblGrid>
            <w:tr w:rsidR="009329C9">
              <w:tc>
                <w:tcPr>
                  <w:tcW w:w="7403" w:type="dxa"/>
                </w:tcPr>
                <w:p w:rsidR="009329C9" w:rsidRDefault="00B5212B">
                  <w:pPr>
                    <w:spacing w:before="225" w:after="225"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ТЕХНИЧЕСКА ОЦЕНКА И КЛАСИРАНЕ</w:t>
                  </w:r>
                </w:p>
              </w:tc>
              <w:tc>
                <w:tcPr>
                  <w:tcW w:w="1153" w:type="dxa"/>
                </w:tcPr>
                <w:p w:rsidR="009329C9" w:rsidRDefault="00B5212B">
                  <w:pPr>
                    <w:spacing w:before="225" w:after="225"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ТОЧКИ</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Проектът допринася за въвеждане на иновативност в предприятието</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Проектът предвижда използване на местни доставчици на стоки и/или услуги</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Проектът е в сферата на битовите и/или техническите услуги и/или социалните услуги </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Проектът допринася за развитие на интегриран продукт за селски туризъм или развитие на еко, културен и др. алтернативни форми на туризъм;</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rPr>
                <w:trHeight w:val="680"/>
              </w:trPr>
              <w:tc>
                <w:tcPr>
                  <w:tcW w:w="7403" w:type="dxa"/>
                </w:tcPr>
                <w:p w:rsidR="009329C9" w:rsidRDefault="00B5212B">
                  <w:pPr>
                    <w:numPr>
                      <w:ilvl w:val="0"/>
                      <w:numId w:val="13"/>
                    </w:numPr>
                    <w:tabs>
                      <w:tab w:val="left" w:pos="293"/>
                    </w:tabs>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Проектът създава нови работни места</w:t>
                  </w:r>
                </w:p>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От 1 до 3 работни места – 5 точки</w:t>
                  </w:r>
                </w:p>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Над 3 работни места – 10 точки</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rPr>
                <w:trHeight w:val="680"/>
              </w:trPr>
              <w:tc>
                <w:tcPr>
                  <w:tcW w:w="7403" w:type="dxa"/>
                </w:tcPr>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Кандидатът не е получавал финансова подкрепа от Общността за подобна инвестиция </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rPr>
                <w:trHeight w:val="680"/>
              </w:trPr>
              <w:tc>
                <w:tcPr>
                  <w:tcW w:w="7403" w:type="dxa"/>
                </w:tcPr>
                <w:p w:rsidR="009329C9" w:rsidRDefault="00B5212B">
                  <w:pPr>
                    <w:numPr>
                      <w:ilvl w:val="0"/>
                      <w:numId w:val="14"/>
                    </w:numPr>
                    <w:spacing w:after="0"/>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Проектът предвижда създаването на производствени дейности</w:t>
                  </w:r>
                </w:p>
              </w:tc>
              <w:tc>
                <w:tcPr>
                  <w:tcW w:w="1153" w:type="dxa"/>
                </w:tcPr>
                <w:p w:rsidR="009329C9" w:rsidRDefault="00B5212B">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rPr>
                <w:trHeight w:val="417"/>
              </w:trPr>
              <w:tc>
                <w:tcPr>
                  <w:tcW w:w="7403" w:type="dxa"/>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53" w:type="dxa"/>
                </w:tcPr>
                <w:p w:rsidR="009329C9" w:rsidRDefault="00B5212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Държавни помощи</w:t>
            </w:r>
          </w:p>
        </w:tc>
        <w:tc>
          <w:tcPr>
            <w:tcW w:w="8930"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B5212B">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9329C9">
        <w:trPr>
          <w:trHeight w:val="746"/>
        </w:trPr>
        <w:tc>
          <w:tcPr>
            <w:tcW w:w="10490"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4"/>
                <w:szCs w:val="24"/>
                <w:lang w:val="ru-RU" w:eastAsia="en-US"/>
              </w:rPr>
            </w:pPr>
            <w:r>
              <w:rPr>
                <w:rFonts w:ascii="Times New Roman" w:eastAsia="Calibri" w:hAnsi="Times New Roman" w:cs="Times New Roman"/>
                <w:color w:val="auto"/>
                <w:sz w:val="24"/>
                <w:szCs w:val="24"/>
                <w:lang w:eastAsia="en-US"/>
              </w:rPr>
              <w:t>Мярка 7.2 ИНВЕСТИЦИИ В СЪЗДАВАНЕТО, ПОДОБРЯВАНЕТО ИЛИ РАЗШИРЯВАНЕТО НА ВСИЧКИ ВИДОВЕ МАЛКА ПО МАЩАБИ ИНФРАСТРУКТУРА</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Обхват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мярката се подпомагат проекти за подобряване на физическата среда и обхваща обектите и съоръженията за реализиране на услугите в сферата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благоустройството, физическата култура, спорта и отдиха.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Изпълнява се на територията на МИГ „Свиленград Ареал“</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За подпомагане могат да кандидатстват: </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Община Свиленград; </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Юридически лица с нестопанска цел /ЮЛНЦ/, регистрирани по закона за юридическите лица с нестопанска цел; </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Читалища, регистрирани по Закона за читалищата.</w:t>
            </w:r>
          </w:p>
          <w:p w:rsidR="009329C9" w:rsidRDefault="00B5212B">
            <w:pPr>
              <w:spacing w:before="120" w:after="0"/>
              <w:contextualSpacing/>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„Свиленград Ареал“, а именно: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изграждане, реконструкция и/или рехабилитация на водоснабдителни системи и съоръжения в агломерациис под 2000 е.ж. в селските райони;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изграждане и/или обновяване на площи за широко обществено ползване, предназначени за трайнозадоволяване на обществените потребности от общинско значение;</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деинституционализация на деца и възрастни,включително транспортни средства;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културния живот, включително мобилни такива, включително и дейности по вертикалнатапланировка и подобряване на прилежащите пространства;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 реконструкция, ремонт, оборудване и/или обзавеждане на общинска образователна инфраструктура с местнозначение в селските райони.</w:t>
            </w:r>
            <w:r>
              <w:rPr>
                <w:rFonts w:ascii="Times New Roman" w:eastAsia="Calibri" w:hAnsi="Times New Roman" w:cs="Times New Roman"/>
                <w:sz w:val="24"/>
                <w:szCs w:val="24"/>
                <w:lang w:eastAsia="en-US"/>
              </w:rPr>
              <w:tab/>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8646" w:type="dxa"/>
            <w:shd w:val="clear" w:color="auto" w:fill="auto"/>
          </w:tcPr>
          <w:p w:rsidR="009329C9" w:rsidRDefault="00B5212B">
            <w:pPr>
              <w:pStyle w:val="af4"/>
              <w:numPr>
                <w:ilvl w:val="0"/>
                <w:numId w:val="16"/>
              </w:num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 разходите за</w:t>
            </w:r>
          </w:p>
          <w:p w:rsidR="009329C9" w:rsidRDefault="00B5212B">
            <w:pPr>
              <w:pStyle w:val="af4"/>
              <w:numPr>
                <w:ilvl w:val="0"/>
                <w:numId w:val="16"/>
              </w:num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за строителство, реконструкция, рехабилитация, изграждане, обновяване, ремонт и/или реставрация на сгради и/или помещения и/или друга недвижима соб</w:t>
            </w:r>
            <w:r>
              <w:rPr>
                <w:rFonts w:ascii="Times New Roman" w:eastAsia="Calibri" w:hAnsi="Times New Roman" w:cs="Times New Roman"/>
                <w:sz w:val="24"/>
                <w:szCs w:val="24"/>
                <w:lang w:eastAsia="en-US"/>
              </w:rPr>
              <w:lastRenderedPageBreak/>
              <w:t>ственост съгласно допустимите за подпомагане дейности, които са: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разходи, свързани с прякото изпълнение на строително-монтажните работи;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обзавеждане до пазарната им стойност, включително чрез финансов лизинг;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за придобиване на компютърен софтуер, патентни и авторски права, лицензи, регистрация на търговски марки, до пазарната им стойност;</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свързани с проекта, в това число разходи за хонорари за архитекти, инженери и консултанти, консултации за икономическа и екологична устойчивост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за консултантски услуги, свързани с подготовката на проекта, като част от разходите по ал. 1, т. 4 не могат да надхвърлят 1 на сто от допустимите разходи по ал. 1, т. 1, буква "а", т. 2 и 3;</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разходите по ал. 1, т. 4 не могат да надхвърлят 1 на сто от допустимите разходи по ал. 1, т. 1, буква "а", т. 2 и 3;</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надхвърлят 5 на сто от допустимите разходи по ал. 1, т. 1,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разходите за авторски надзор, като част от разходите по ал. 1, т. 4 не могат да надхвърлят 1 на сто от допустимите разходи по ал. 1, т. 1, буква "а".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Разходите по ал. 1, т. 3 са допустими само в случай, че се кандидатства за разходи по ал. 1, т. 1, буква "а" и са необходими за постигане на целите по подмярка 7.2.</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Дейностите и разходите по проекта с изключение на разходите по ал. 1, т. 4 са допустими, ако са извършени след подаване на заявлението за подпомагане, независимо дали всички свързани с тях плащания са направени.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актив.</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разходи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евро.Или 19 558,00 лв</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евро.Или 391 160,00 лв.</w:t>
            </w:r>
          </w:p>
        </w:tc>
      </w:tr>
      <w:tr w:rsidR="009329C9">
        <w:tc>
          <w:tcPr>
            <w:tcW w:w="1844"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9329C9" w:rsidRDefault="00B5212B">
            <w:pPr>
              <w:pStyle w:val="af4"/>
              <w:numPr>
                <w:ilvl w:val="0"/>
                <w:numId w:val="15"/>
              </w:numPr>
              <w:jc w:val="both"/>
              <w:rPr>
                <w:rFonts w:ascii="Times New Roman" w:hAnsi="Times New Roman" w:cs="Times New Roman"/>
                <w:sz w:val="24"/>
                <w:szCs w:val="24"/>
              </w:rPr>
            </w:pPr>
            <w:r>
              <w:rPr>
                <w:rFonts w:ascii="Times New Roman" w:eastAsia="Calibri" w:hAnsi="Times New Roman" w:cs="Times New Roman"/>
                <w:sz w:val="24"/>
                <w:szCs w:val="24"/>
                <w:lang w:eastAsia="en-US"/>
              </w:rPr>
              <w:t>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9329C9" w:rsidRDefault="00B5212B">
            <w:pPr>
              <w:numPr>
                <w:ilvl w:val="0"/>
                <w:numId w:val="15"/>
              </w:numPr>
              <w:spacing w:before="120"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генерират нетни приходи, установени възоснова на анализ "разходи – ползи" (финансов анализ).</w:t>
            </w:r>
          </w:p>
          <w:p w:rsidR="009329C9" w:rsidRDefault="00B5212B">
            <w:pPr>
              <w:spacing w:before="120"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9329C9" w:rsidRDefault="00B5212B" w:rsidP="00090C47">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Общ бюджет на мярката – </w:t>
            </w:r>
            <w:r w:rsidR="00090C47">
              <w:rPr>
                <w:rFonts w:ascii="Times New Roman" w:eastAsia="Calibri" w:hAnsi="Times New Roman" w:cs="Times New Roman"/>
                <w:sz w:val="24"/>
                <w:szCs w:val="24"/>
                <w:lang w:eastAsia="en-US"/>
              </w:rPr>
              <w:t>1 023 898</w:t>
            </w:r>
            <w:r>
              <w:rPr>
                <w:rFonts w:ascii="Times New Roman" w:eastAsia="Calibri" w:hAnsi="Times New Roman" w:cs="Times New Roman"/>
                <w:sz w:val="24"/>
                <w:szCs w:val="24"/>
                <w:lang w:eastAsia="en-US"/>
              </w:rPr>
              <w:t>,</w:t>
            </w:r>
            <w:r w:rsidR="00090C47">
              <w:rPr>
                <w:rFonts w:ascii="Times New Roman" w:eastAsia="Calibri" w:hAnsi="Times New Roman" w:cs="Times New Roman"/>
                <w:sz w:val="24"/>
                <w:szCs w:val="24"/>
                <w:lang w:eastAsia="en-US"/>
              </w:rPr>
              <w:t>44</w:t>
            </w:r>
            <w:r>
              <w:rPr>
                <w:rFonts w:ascii="Times New Roman" w:eastAsia="Calibri" w:hAnsi="Times New Roman" w:cs="Times New Roman"/>
                <w:sz w:val="24"/>
                <w:szCs w:val="24"/>
                <w:lang w:eastAsia="en-US"/>
              </w:rPr>
              <w:t xml:space="preserve"> лв.</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Критерии за избор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403"/>
              <w:gridCol w:w="1153"/>
            </w:tblGrid>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ТОЧКИ</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 обхват на териториално въздействие</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 100 души – 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101 до 200 души  - 10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201 – до 500 души – 20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501 до 1000 души – 25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2 населени места – 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3 населени места – 10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Обекта/тите на интервенция еобект  с обществена значимост за територията или са в близост  до обект/и с обществена значимост за терито</w:t>
                  </w:r>
                  <w:r>
                    <w:rPr>
                      <w:rFonts w:ascii="Times New Roman" w:eastAsia="Calibri" w:hAnsi="Times New Roman" w:cs="Times New Roman"/>
                      <w:sz w:val="24"/>
                      <w:szCs w:val="24"/>
                      <w:lang w:eastAsia="en-US"/>
                    </w:rPr>
                    <w:lastRenderedPageBreak/>
                    <w:t>рията</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lastRenderedPageBreak/>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Проектът предлага инвестиция в обект, който е 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329C9">
              <w:tc>
                <w:tcPr>
                  <w:tcW w:w="740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9329C9">
      <w:pPr>
        <w:rPr>
          <w:rFonts w:ascii="Times New Roman" w:hAnsi="Times New Roman" w:cs="Times New Roman"/>
          <w:szCs w:val="24"/>
        </w:rPr>
      </w:pPr>
    </w:p>
    <w:p w:rsidR="009329C9" w:rsidRDefault="00B5212B">
      <w:pPr>
        <w:rPr>
          <w:rFonts w:ascii="Times New Roman" w:hAnsi="Times New Roman" w:cs="Times New Roman"/>
        </w:rPr>
      </w:pPr>
      <w:r>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9329C9">
        <w:tc>
          <w:tcPr>
            <w:tcW w:w="10773"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9329C9">
        <w:tc>
          <w:tcPr>
            <w:tcW w:w="10773"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Мярка 7.5 ИНВЕСТИЦИИ ЗА ПУБЛИЧНО ПОЛЗВАНЕ В ИНФРАСТРУКТУРА, </w:t>
            </w:r>
          </w:p>
          <w:p w:rsidR="009329C9" w:rsidRDefault="00B5212B">
            <w:pPr>
              <w:pStyle w:val="3"/>
              <w:spacing w:before="0"/>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9329C9" w:rsidRDefault="00B5212B">
            <w:pPr>
              <w:pStyle w:val="3"/>
              <w:spacing w:before="0"/>
              <w:jc w:val="center"/>
              <w:rPr>
                <w:rFonts w:ascii="Times New Roman" w:eastAsia="Calibri" w:hAnsi="Times New Roman" w:cs="Times New Roman"/>
                <w:sz w:val="24"/>
                <w:szCs w:val="24"/>
                <w:lang w:val="ru-RU" w:eastAsia="en-US"/>
              </w:rPr>
            </w:pPr>
            <w:r>
              <w:rPr>
                <w:rFonts w:ascii="Times New Roman" w:eastAsia="Calibri" w:hAnsi="Times New Roman" w:cs="Times New Roman"/>
                <w:color w:val="auto"/>
                <w:sz w:val="24"/>
                <w:szCs w:val="24"/>
                <w:lang w:eastAsia="en-US"/>
              </w:rPr>
              <w:t>ТУРИСТИЧЕСКА ИНФРАСТРУКТУРА</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Подобряване на средата на живот на територията на МИГ „Свиленград Ареал“;</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3.Оползотворяване на туристическите ресурси на територията на МИГ, посредством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наследство.</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„Свиленград Ареал“</w:t>
            </w:r>
          </w:p>
        </w:tc>
      </w:tr>
      <w:tr w:rsidR="009329C9">
        <w:trPr>
          <w:trHeight w:val="847"/>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цел;Читалища регистрирани по закона за Читалищата.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„Свиленград Ареал“, а именно: </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центровете за изкуство и занаяти с туристическа цел;</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 разходите за:</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Изграждането, включително отпускането на лизинг, или подобренията на недвижимо имущество;</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w:t>
            </w:r>
            <w:r>
              <w:rPr>
                <w:rFonts w:ascii="Times New Roman" w:eastAsia="Calibri" w:hAnsi="Times New Roman" w:cs="Times New Roman"/>
                <w:sz w:val="24"/>
                <w:szCs w:val="24"/>
                <w:lang w:eastAsia="en-US"/>
              </w:rPr>
              <w:lastRenderedPageBreak/>
              <w:t>икономическата устойчивост;</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9329C9" w:rsidRDefault="00B5212B">
            <w:pPr>
              <w:spacing w:after="0"/>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Инвестициите са допустими, ако</w:t>
            </w:r>
            <w:r>
              <w:rPr>
                <w:rFonts w:ascii="Times New Roman" w:eastAsia="Calibri" w:hAnsi="Times New Roman" w:cs="Times New Roman"/>
                <w:sz w:val="24"/>
                <w:szCs w:val="24"/>
                <w:lang w:eastAsia="en-US"/>
              </w:rPr>
              <w:t>: - се изпълняват на територията на МИГ; -отговарят на дефиницията за дребна по мащаби инфраструктура; -когато изграждането, реконструкцията или ремонтът се извършват върху имот общинска собственост; или, ако са общинска собственост; - 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 - когато предвидените дейности се изпълняват в съответствие с програмата за развитие на туризма на територията на общината; - ако е доказано, че няма да имат отрицателно въздействие върху околната среда по смисъла на Закона за опазване на околната среда; -ако е доказано, че отговарят на изискванията на заповедите за определянето на местата по Натура 2000 и плановете за тяхното управление, ЗЗТ, ЗБР и съответните им подзаконови нормативни актове за тяхното прилагане; -ако не са обявени за недвижима културна ценност от национално и световно значение; -ако са придружени с анализ на икономическите и социалните ползи в който е доказано, че инвестицията ще доведат до социално–икономическо развитие на територията</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Не са допустими за подпомагане по подмярката дейности свързани с опазването, популяризирането и развитието на културното наследство на обекти от национално и световно значение. </w:t>
            </w: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евро.Или 19 558,00 лв.</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евро.Или 391 160,00 лв.</w:t>
            </w:r>
          </w:p>
        </w:tc>
      </w:tr>
      <w:tr w:rsidR="009329C9">
        <w:tc>
          <w:tcPr>
            <w:tcW w:w="1560"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Размер на финансовата помощ в % </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бенефициенти общини и ЮЛНЦ, в случай, че не е налично генериране на приходи,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9329C9" w:rsidRDefault="00B5212B">
            <w:pPr>
              <w:spacing w:after="0"/>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eastAsia="en-US"/>
              </w:rPr>
              <w:t>Общ бюджет на мярката – 423 700,00 лв.</w:t>
            </w:r>
          </w:p>
        </w:tc>
      </w:tr>
      <w:tr w:rsidR="009329C9">
        <w:trPr>
          <w:trHeight w:val="9776"/>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681"/>
              <w:gridCol w:w="1134"/>
            </w:tblGrid>
            <w:tr w:rsidR="009329C9">
              <w:tc>
                <w:tcPr>
                  <w:tcW w:w="7681"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1.Брой население, което ще се възползва от подобрената  инфраструктура и обхват на териториално въздействие:</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 100 души – 5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101 до 200 души  - 10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201 – до 500 души – 20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501 до 1000 души – 25 точки</w:t>
                  </w:r>
                </w:p>
                <w:p w:rsidR="009329C9" w:rsidRDefault="00B5212B">
                  <w:pPr>
                    <w:pStyle w:val="af4"/>
                    <w:numPr>
                      <w:ilvl w:val="0"/>
                      <w:numId w:val="15"/>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2.Брой населени места, които обхваща проекта от територията на МИГ</w:t>
                  </w:r>
                </w:p>
                <w:p w:rsidR="009329C9" w:rsidRDefault="00B5212B">
                  <w:pPr>
                    <w:pStyle w:val="af4"/>
                    <w:numPr>
                      <w:ilvl w:val="0"/>
                      <w:numId w:val="17"/>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2 населени места – 5 точки</w:t>
                  </w:r>
                </w:p>
                <w:p w:rsidR="009329C9" w:rsidRDefault="00B5212B">
                  <w:pPr>
                    <w:pStyle w:val="af4"/>
                    <w:numPr>
                      <w:ilvl w:val="0"/>
                      <w:numId w:val="17"/>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Повече от 3 населени места – 10 точки</w:t>
                  </w:r>
                </w:p>
                <w:p w:rsidR="009329C9" w:rsidRDefault="00B5212B">
                  <w:pPr>
                    <w:pStyle w:val="af4"/>
                    <w:numPr>
                      <w:ilvl w:val="0"/>
                      <w:numId w:val="17"/>
                    </w:num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4.Дейностите по проекта са за обект/и от културната инфраструктура  за опазване и развитие на 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 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7.Проектът създава заетост за местното население, чрез създаване на работни места:</w:t>
                  </w:r>
                </w:p>
                <w:p w:rsidR="009329C9" w:rsidRDefault="00B521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От 1 до 3 работни места – 5 точки</w:t>
                  </w:r>
                </w:p>
                <w:p w:rsidR="009329C9" w:rsidRDefault="00B521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 Проектът предлага инвестиция в туристически атракции/услуги, които са значими за идентичността на района /културни празници, местни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329C9">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329C9">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line="240" w:lineRule="auto"/>
                    <w:ind w:left="8"/>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Държавни помощи</w:t>
            </w:r>
          </w:p>
        </w:tc>
        <w:tc>
          <w:tcPr>
            <w:tcW w:w="9213"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 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 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ЕС.</w:t>
            </w:r>
          </w:p>
        </w:tc>
      </w:tr>
    </w:tbl>
    <w:p w:rsidR="009329C9" w:rsidRDefault="009329C9"/>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9329C9">
        <w:tc>
          <w:tcPr>
            <w:tcW w:w="10490" w:type="dxa"/>
            <w:gridSpan w:val="2"/>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9329C9">
        <w:tc>
          <w:tcPr>
            <w:tcW w:w="10490" w:type="dxa"/>
            <w:gridSpan w:val="2"/>
            <w:shd w:val="clear" w:color="auto" w:fill="D9D9D9" w:themeFill="background1" w:themeFillShade="D9"/>
          </w:tcPr>
          <w:p w:rsidR="009329C9" w:rsidRDefault="00B5212B">
            <w:pPr>
              <w:pStyle w:val="3"/>
              <w:spacing w:before="0"/>
              <w:jc w:val="center"/>
              <w:rPr>
                <w:rFonts w:ascii="Times New Roman" w:eastAsia="Times New Roman" w:hAnsi="Times New Roman" w:cs="Times New Roman"/>
                <w:bCs w:val="0"/>
                <w:color w:val="auto"/>
                <w:sz w:val="24"/>
                <w:szCs w:val="24"/>
              </w:rPr>
            </w:pPr>
            <w:r>
              <w:rPr>
                <w:rFonts w:ascii="Times New Roman" w:eastAsia="Times New Roman" w:hAnsi="Times New Roman" w:cs="Times New Roman"/>
                <w:bCs w:val="0"/>
                <w:color w:val="auto"/>
                <w:sz w:val="24"/>
                <w:szCs w:val="24"/>
              </w:rPr>
              <w:t>Мярка 7.11 „Повишаване на атрактивността на територията на МИГ и стимулиране на сътрудничеството, чрез популяризиране на културно-историческото и</w:t>
            </w:r>
          </w:p>
          <w:p w:rsidR="009329C9" w:rsidRDefault="00B5212B">
            <w:pPr>
              <w:pStyle w:val="3"/>
              <w:spacing w:before="0"/>
              <w:jc w:val="center"/>
              <w:rPr>
                <w:rFonts w:ascii="Times New Roman" w:eastAsia="Times New Roman" w:hAnsi="Times New Roman" w:cs="Times New Roman"/>
                <w:bCs w:val="0"/>
                <w:color w:val="auto"/>
                <w:sz w:val="24"/>
                <w:szCs w:val="24"/>
              </w:rPr>
            </w:pPr>
            <w:r>
              <w:rPr>
                <w:rFonts w:ascii="Times New Roman" w:eastAsia="Times New Roman" w:hAnsi="Times New Roman" w:cs="Times New Roman"/>
                <w:bCs w:val="0"/>
                <w:color w:val="auto"/>
                <w:sz w:val="24"/>
                <w:szCs w:val="24"/>
              </w:rPr>
              <w:t>природно наследство.”(ИНОВАТИВНА МЯРКА)</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Описание на целите</w:t>
            </w:r>
          </w:p>
        </w:tc>
        <w:tc>
          <w:tcPr>
            <w:tcW w:w="8646" w:type="dxa"/>
            <w:shd w:val="clear" w:color="auto" w:fill="auto"/>
          </w:tcPr>
          <w:p w:rsidR="009329C9" w:rsidRDefault="00B5212B">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9329C9" w:rsidRDefault="00B5212B">
            <w:pPr>
              <w:tabs>
                <w:tab w:val="left" w:pos="318"/>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оползотворяване на свободното време;</w:t>
            </w:r>
          </w:p>
          <w:p w:rsidR="009329C9" w:rsidRDefault="00B5212B">
            <w:pPr>
              <w:tabs>
                <w:tab w:val="left" w:pos="318"/>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-Опознаване, и валоризиране на местното културно и природно наследство и повишаване обществения интерес към него;</w:t>
            </w:r>
          </w:p>
          <w:p w:rsidR="009329C9" w:rsidRDefault="00B5212B">
            <w:pPr>
              <w:tabs>
                <w:tab w:val="left" w:pos="318"/>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-Стимулиране на физическото, интелектуалното и творческото развитие на населението</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 на мярката</w:t>
            </w:r>
          </w:p>
        </w:tc>
        <w:tc>
          <w:tcPr>
            <w:tcW w:w="8646" w:type="dxa"/>
            <w:shd w:val="clear" w:color="auto" w:fill="auto"/>
          </w:tcPr>
          <w:p w:rsidR="009329C9" w:rsidRDefault="00B5212B">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Мярката се реализира на територията на МИГ „Свиленград Ареал“. Подкрепа се предоставя за инвестиции в материални и/или нематериални активи, подобряващи цялостната дейност на бенефициента и свързани с:</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Съхраняване на местната идентичност и култура, чрез опознаване, възстановяване, опазване и популяризиране на местното културно наследство и традиции и съхраняване на природните дадености.</w:t>
            </w:r>
          </w:p>
          <w:p w:rsidR="009329C9" w:rsidRDefault="00B5212B">
            <w:pPr>
              <w:numPr>
                <w:ilvl w:val="0"/>
                <w:numId w:val="18"/>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Насърчаване на активното участие и доброволческите дейности.</w:t>
            </w:r>
          </w:p>
          <w:p w:rsidR="009329C9" w:rsidRDefault="00B5212B">
            <w:pPr>
              <w:numPr>
                <w:ilvl w:val="0"/>
                <w:numId w:val="18"/>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Съхраняване на спортните традиции, осигуряване реализация на таланти, изява на младите хора, както стимулира тяхната активност в обществения живот.</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обществения живот.</w:t>
            </w:r>
          </w:p>
          <w:p w:rsidR="009329C9" w:rsidRDefault="00B5212B">
            <w:pPr>
              <w:numPr>
                <w:ilvl w:val="0"/>
                <w:numId w:val="18"/>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Популяризиране на местната култура, история, етноси чрез организирането на фестивали и други мероприятия.</w:t>
            </w:r>
          </w:p>
        </w:tc>
      </w:tr>
      <w:tr w:rsidR="009329C9">
        <w:trPr>
          <w:trHeight w:val="847"/>
        </w:trPr>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9329C9" w:rsidRDefault="00B5212B">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Допустими кандидати по мярката са:</w:t>
            </w:r>
          </w:p>
          <w:p w:rsidR="009329C9" w:rsidRDefault="00B5212B">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9329C9" w:rsidRDefault="00B5212B">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Читалища, регистрирани по Закона за народните читалища;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9329C9" w:rsidRDefault="00B5212B">
            <w:pPr>
              <w:numPr>
                <w:ilvl w:val="0"/>
                <w:numId w:val="19"/>
              </w:numPr>
              <w:tabs>
                <w:tab w:val="left" w:pos="34"/>
                <w:tab w:val="left" w:pos="176"/>
              </w:tabs>
              <w:ind w:left="34"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Проучвания и информационни дейности, свързани с популяризиране на нематериалното културно наследство;</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Проучвания и изработване на материали във връзка с документиране и/или изследване, и/или промотиране на нематериалното културно наследство;</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необходимо за изразяване на нематериалното културно наследство;</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9329C9" w:rsidRDefault="00B5212B">
            <w:pPr>
              <w:numPr>
                <w:ilvl w:val="0"/>
                <w:numId w:val="19"/>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Насърчаване на екологичната култура за опазване на природното наследство на селата;</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Популяризиране, насърчаване и организиране на различни спортни прояви и създаване спортна култура, посредством провеждането на спортни мероприятия, състезания, демонстрации или участие в различни спортни дейности за укрепване на здравето и борбата със стреса.</w:t>
            </w:r>
          </w:p>
        </w:tc>
      </w:tr>
      <w:tr w:rsidR="009329C9">
        <w:tc>
          <w:tcPr>
            <w:tcW w:w="1844"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 xml:space="preserve">Разходи за проучвания и информационни дейности, свързани с популяризиране на допустимите дейности: изработка на рекламни материали, промоционални клипове в т.ч. краеведски изследвания и отпечатване на материали (дипляни, книги) и други рекламни дейности. </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 xml:space="preserve">Разходи за организация и  провеждане на различни мероприятия/ събития във връзка с местни културни обичаи и традиции, опазване на природното наследство и спортни инициативи - /фестивали, събори, празници, обичаи, състезания, турнири/ и други. </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Разходи за закупуване на традиционни фолклорни костюми за самодейни колективи към читалищата, работещи в сферата на съхраняване на местните традиции и обичаи.</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за материално техническото обезпечаване – спортна екипировка, необходима за реализиране на проекта.</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Закупуване на оборудване (вкл. озвучителна и др.техника), свързано с предвидените в проектите събития.</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Разходи за опазване на природното наследство – меки мерки, свързани с насърчаване на екологичната култура за опазване на природното наследство – информационни кампании сред населението, организиране и провеждане на открити уроци за деца и ученици, екоизлети, конкурси други дейности, насочени към младите хора за повишаване на тяхната екологична култура за опазване на природното наследство, информационни и рекламни материали, семинари, изследвания за биоразнообразието и др.</w:t>
            </w:r>
          </w:p>
          <w:p w:rsidR="009329C9" w:rsidRDefault="00B5212B">
            <w:pPr>
              <w:numPr>
                <w:ilvl w:val="0"/>
                <w:numId w:val="20"/>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9329C9" w:rsidRDefault="00B5212B">
            <w:pPr>
              <w:numPr>
                <w:ilvl w:val="0"/>
                <w:numId w:val="20"/>
              </w:numPr>
              <w:spacing w:after="120"/>
              <w:ind w:left="0" w:right="-1" w:hanging="57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документиране и/или изследване, и/или съхраняване на елементи от нематериалното културно наследство;</w:t>
            </w:r>
          </w:p>
          <w:p w:rsidR="009329C9" w:rsidRDefault="00B5212B">
            <w:pPr>
              <w:numPr>
                <w:ilvl w:val="0"/>
                <w:numId w:val="20"/>
              </w:numPr>
              <w:tabs>
                <w:tab w:val="left" w:pos="240"/>
              </w:tabs>
              <w:spacing w:after="120"/>
              <w:ind w:left="34" w:right="-1" w:hanging="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Популяризиране, предаване и възраждане на различните аспекти на културното наследство (например провеждане на различни мероприятия във връзка с местни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организации, както и частни лица/обекти, които подкрепят идеята за утвърждаването на селското наследство като опреде</w:t>
            </w:r>
            <w:r>
              <w:rPr>
                <w:rFonts w:ascii="Times New Roman" w:eastAsia="Times New Roman" w:hAnsi="Times New Roman" w:cs="Times New Roman"/>
                <w:bCs/>
                <w:sz w:val="24"/>
                <w:szCs w:val="24"/>
              </w:rPr>
              <w:lastRenderedPageBreak/>
              <w:t>лена културна ценност и др.);</w:t>
            </w:r>
          </w:p>
          <w:p w:rsidR="009329C9" w:rsidRDefault="00B5212B">
            <w:pPr>
              <w:numPr>
                <w:ilvl w:val="0"/>
                <w:numId w:val="20"/>
              </w:numPr>
              <w:tabs>
                <w:tab w:val="left" w:pos="240"/>
              </w:tabs>
              <w:spacing w:after="0"/>
              <w:ind w:left="34" w:hanging="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Осигуряване на признаване, уважение и популяризиране на нематериалното културно наследство сред обществеността посредством:  </w:t>
            </w:r>
          </w:p>
          <w:p w:rsidR="009329C9" w:rsidRDefault="00B5212B">
            <w:pPr>
              <w:numPr>
                <w:ilvl w:val="0"/>
                <w:numId w:val="20"/>
              </w:numPr>
              <w:tabs>
                <w:tab w:val="left" w:pos="34"/>
              </w:tabs>
              <w:spacing w:after="0"/>
              <w:ind w:left="142"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предавания за нематериалното културно наследство; </w:t>
            </w:r>
          </w:p>
          <w:p w:rsidR="009329C9" w:rsidRDefault="00B5212B">
            <w:pPr>
              <w:numPr>
                <w:ilvl w:val="0"/>
                <w:numId w:val="20"/>
              </w:numPr>
              <w:tabs>
                <w:tab w:val="left" w:pos="34"/>
              </w:tabs>
              <w:spacing w:after="0"/>
              <w:ind w:left="142"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програми за повишаване на заинтересоваността и информираността на обществото и по-специално на младежта за опазване на природните пространства и на мемориалните места, чието съществуване е необходимо за изразяване на нематериалното културно наследство;  </w:t>
            </w:r>
          </w:p>
          <w:p w:rsidR="009329C9" w:rsidRDefault="00B5212B">
            <w:pPr>
              <w:numPr>
                <w:ilvl w:val="0"/>
                <w:numId w:val="20"/>
              </w:numPr>
              <w:tabs>
                <w:tab w:val="left" w:pos="34"/>
              </w:tabs>
              <w:spacing w:after="0"/>
              <w:ind w:left="142"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неформални способи за предаване на знанията и информацията за местното културно наследство (напр. предаване на знания и умения, техники и технологии, свързани с опазването и развитието на традиционните занаяти и др.); </w:t>
            </w:r>
          </w:p>
          <w:p w:rsidR="009329C9" w:rsidRDefault="00B5212B">
            <w:pPr>
              <w:pStyle w:val="af4"/>
              <w:numPr>
                <w:ilvl w:val="0"/>
                <w:numId w:val="20"/>
              </w:numPr>
              <w:tabs>
                <w:tab w:val="left" w:pos="175"/>
              </w:tabs>
              <w:spacing w:after="0"/>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за обикновена подмяна и поддръжка;</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•Закупуване на оборудване втора ръка;</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•Принос в натура;</w:t>
            </w:r>
          </w:p>
          <w:p w:rsidR="009329C9" w:rsidRDefault="00B5212B">
            <w:pPr>
              <w:numPr>
                <w:ilvl w:val="0"/>
                <w:numId w:val="20"/>
              </w:numPr>
              <w:ind w:left="142" w:right="-1" w:hanging="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околната среда;</w:t>
            </w:r>
          </w:p>
          <w:p w:rsidR="009329C9" w:rsidRDefault="00B5212B">
            <w:pPr>
              <w:spacing w:after="0"/>
              <w:ind w:left="175"/>
              <w:jc w:val="both"/>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•Разходи, извършени преди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Минимална стойност на допустимите разходи – левовата равностойност на 1 000 евро.Или 1955,80 лв.</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Максимална стойност на разходите по проекта – левовата равностойност на 10 000 евро.Или 19 558,00 лв.</w:t>
            </w:r>
          </w:p>
        </w:tc>
      </w:tr>
      <w:tr w:rsidR="009329C9">
        <w:trPr>
          <w:trHeight w:val="1029"/>
        </w:trPr>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Размер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финансовата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в % </w:t>
            </w:r>
          </w:p>
        </w:tc>
        <w:tc>
          <w:tcPr>
            <w:tcW w:w="8646" w:type="dxa"/>
            <w:shd w:val="clear" w:color="auto" w:fill="auto"/>
          </w:tcPr>
          <w:p w:rsidR="009329C9" w:rsidRDefault="00B5212B">
            <w:pPr>
              <w:spacing w:before="120" w:after="0" w:line="240" w:lineRule="auto"/>
              <w:jc w:val="both"/>
              <w:rPr>
                <w:rFonts w:ascii="Times New Roman" w:eastAsia="Calibri" w:hAnsi="Times New Roman" w:cs="Times New Roman"/>
                <w:sz w:val="24"/>
                <w:szCs w:val="24"/>
                <w:lang w:val="ru-RU" w:eastAsia="en-US"/>
              </w:rPr>
            </w:pPr>
            <w:r>
              <w:rPr>
                <w:rFonts w:ascii="Times New Roman" w:eastAsia="Times New Roman" w:hAnsi="Times New Roman" w:cs="Times New Roman"/>
                <w:sz w:val="24"/>
                <w:szCs w:val="24"/>
              </w:rPr>
              <w:t>Интензитетът на помощта е 100%.</w:t>
            </w:r>
          </w:p>
          <w:p w:rsidR="009329C9" w:rsidRDefault="00B5212B">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Мярката финансира проекти които не генерират приходи.</w:t>
            </w:r>
          </w:p>
          <w:p w:rsidR="009329C9" w:rsidRDefault="00B5212B" w:rsidP="00090C47">
            <w:pPr>
              <w:spacing w:before="120" w:after="0" w:line="240" w:lineRule="auto"/>
              <w:jc w:val="both"/>
              <w:rPr>
                <w:rFonts w:ascii="Times New Roman" w:eastAsia="Calibri" w:hAnsi="Times New Roman" w:cs="Times New Roman"/>
                <w:sz w:val="24"/>
                <w:szCs w:val="24"/>
                <w:lang w:val="ru-RU" w:eastAsia="en-US"/>
              </w:rPr>
            </w:pPr>
            <w:r>
              <w:rPr>
                <w:rFonts w:ascii="Times New Roman" w:eastAsia="Times New Roman" w:hAnsi="Times New Roman" w:cs="Times New Roman"/>
                <w:sz w:val="24"/>
                <w:szCs w:val="24"/>
              </w:rPr>
              <w:t xml:space="preserve">Общ бюджет на мярката – </w:t>
            </w:r>
            <w:r w:rsidR="00090C47">
              <w:rPr>
                <w:rFonts w:ascii="Times New Roman" w:eastAsia="Times New Roman" w:hAnsi="Times New Roman" w:cs="Times New Roman"/>
                <w:sz w:val="24"/>
                <w:szCs w:val="24"/>
              </w:rPr>
              <w:t>96 309,42</w:t>
            </w:r>
            <w:r>
              <w:rPr>
                <w:rFonts w:ascii="Times New Roman" w:eastAsia="Times New Roman" w:hAnsi="Times New Roman" w:cs="Times New Roman"/>
                <w:sz w:val="24"/>
                <w:szCs w:val="24"/>
              </w:rPr>
              <w:t xml:space="preserve"> лв</w:t>
            </w: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Критерии за избор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7277"/>
              <w:gridCol w:w="1137"/>
            </w:tblGrid>
            <w:tr w:rsidR="009329C9">
              <w:tc>
                <w:tcPr>
                  <w:tcW w:w="7277"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Повече от 2 населени места – 10 точки</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Повече от 3 населени места – 15 точки</w:t>
                  </w:r>
                </w:p>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lastRenderedPageBreak/>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329C9">
              <w:tc>
                <w:tcPr>
                  <w:tcW w:w="7277" w:type="dxa"/>
                  <w:tcBorders>
                    <w:top w:val="outset" w:sz="6" w:space="0" w:color="auto"/>
                    <w:left w:val="outset" w:sz="6" w:space="0" w:color="auto"/>
                    <w:bottom w:val="outset" w:sz="6" w:space="0" w:color="auto"/>
                    <w:right w:val="outset" w:sz="6" w:space="0" w:color="auto"/>
                  </w:tcBorders>
                </w:tcPr>
                <w:p w:rsidR="009329C9" w:rsidRDefault="00B5212B">
                  <w:pPr>
                    <w:ind w:right="-1"/>
                    <w:jc w:val="both"/>
                    <w:rPr>
                      <w:rFonts w:ascii="Times New Roman" w:hAnsi="Times New Roman" w:cs="Times New Roman"/>
                      <w:bCs/>
                      <w:sz w:val="24"/>
                      <w:szCs w:val="24"/>
                      <w:lang w:val="en-GB"/>
                    </w:rPr>
                  </w:pPr>
                  <w:r>
                    <w:rPr>
                      <w:rFonts w:ascii="Times New Roman" w:hAnsi="Times New Roman" w:cs="Times New Roman"/>
                      <w:bCs/>
                      <w:sz w:val="24"/>
                      <w:szCs w:val="24"/>
                    </w:rPr>
                    <w:t>5</w:t>
                  </w:r>
                  <w:r>
                    <w:rPr>
                      <w:rFonts w:ascii="Times New Roman" w:hAnsi="Times New Roman" w:cs="Times New Roman"/>
                      <w:bCs/>
                      <w:sz w:val="24"/>
                      <w:szCs w:val="24"/>
                      <w:lang w:val="en-GB"/>
                    </w:rPr>
                    <w:t>.</w:t>
                  </w:r>
                  <w:r>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120"/>
                    <w:ind w:left="360" w:right="-1"/>
                    <w:jc w:val="both"/>
                    <w:rPr>
                      <w:rFonts w:ascii="Times New Roman" w:hAnsi="Times New Roman" w:cs="Times New Roman"/>
                      <w:b/>
                      <w:bCs/>
                      <w:sz w:val="24"/>
                      <w:szCs w:val="24"/>
                    </w:rPr>
                  </w:pPr>
                  <w:r>
                    <w:rPr>
                      <w:rFonts w:ascii="Times New Roman" w:hAnsi="Times New Roman" w:cs="Times New Roman"/>
                      <w:b/>
                      <w:bCs/>
                      <w:sz w:val="24"/>
                      <w:szCs w:val="24"/>
                    </w:rPr>
                    <w:t>20</w:t>
                  </w:r>
                </w:p>
              </w:tc>
            </w:tr>
            <w:tr w:rsidR="009329C9">
              <w:tc>
                <w:tcPr>
                  <w:tcW w:w="7277" w:type="dxa"/>
                  <w:tcBorders>
                    <w:top w:val="outset" w:sz="6" w:space="0" w:color="auto"/>
                    <w:left w:val="outset" w:sz="6" w:space="0" w:color="auto"/>
                    <w:bottom w:val="outset" w:sz="6" w:space="0" w:color="auto"/>
                    <w:right w:val="outset" w:sz="6" w:space="0" w:color="auto"/>
                  </w:tcBorders>
                </w:tcPr>
                <w:p w:rsidR="009329C9" w:rsidRDefault="00B5212B">
                  <w:pPr>
                    <w:ind w:right="-1"/>
                    <w:jc w:val="both"/>
                    <w:rPr>
                      <w:rFonts w:ascii="Times New Roman" w:hAnsi="Times New Roman" w:cs="Times New Roman"/>
                      <w:bCs/>
                      <w:sz w:val="24"/>
                      <w:szCs w:val="24"/>
                    </w:rPr>
                  </w:pPr>
                  <w:r>
                    <w:rPr>
                      <w:rFonts w:ascii="Times New Roman" w:hAnsi="Times New Roman" w:cs="Times New Roman"/>
                      <w:bCs/>
                      <w:sz w:val="24"/>
                      <w:szCs w:val="24"/>
                    </w:rPr>
                    <w:t>6.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120"/>
                    <w:ind w:left="360" w:right="-1"/>
                    <w:jc w:val="both"/>
                    <w:rPr>
                      <w:rFonts w:ascii="Times New Roman" w:hAnsi="Times New Roman" w:cs="Times New Roman"/>
                      <w:b/>
                      <w:bCs/>
                      <w:sz w:val="24"/>
                      <w:szCs w:val="24"/>
                    </w:rPr>
                  </w:pPr>
                  <w:r>
                    <w:rPr>
                      <w:rFonts w:ascii="Times New Roman" w:hAnsi="Times New Roman" w:cs="Times New Roman"/>
                      <w:b/>
                      <w:bCs/>
                      <w:sz w:val="24"/>
                      <w:szCs w:val="24"/>
                    </w:rPr>
                    <w:t>15</w:t>
                  </w:r>
                </w:p>
              </w:tc>
            </w:tr>
            <w:tr w:rsidR="009329C9">
              <w:tc>
                <w:tcPr>
                  <w:tcW w:w="7277" w:type="dxa"/>
                  <w:tcBorders>
                    <w:top w:val="outset" w:sz="6" w:space="0" w:color="auto"/>
                    <w:left w:val="outset" w:sz="6" w:space="0" w:color="auto"/>
                    <w:bottom w:val="outset" w:sz="6" w:space="0" w:color="auto"/>
                    <w:right w:val="outset" w:sz="6" w:space="0" w:color="auto"/>
                  </w:tcBorders>
                  <w:vAlign w:val="center"/>
                </w:tcPr>
                <w:p w:rsidR="009329C9" w:rsidRDefault="00B5212B">
                  <w:pPr>
                    <w:tabs>
                      <w:tab w:val="left" w:pos="236"/>
                    </w:tabs>
                    <w:spacing w:after="0"/>
                    <w:ind w:left="8"/>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rsidR="009329C9" w:rsidRDefault="009329C9">
            <w:pPr>
              <w:spacing w:after="0"/>
              <w:jc w:val="both"/>
              <w:rPr>
                <w:rFonts w:ascii="Times New Roman" w:eastAsia="Calibri" w:hAnsi="Times New Roman" w:cs="Times New Roman"/>
                <w:color w:val="000000"/>
                <w:sz w:val="24"/>
                <w:szCs w:val="24"/>
                <w:lang w:eastAsia="en-US"/>
              </w:rPr>
            </w:pPr>
          </w:p>
        </w:tc>
      </w:tr>
      <w:tr w:rsidR="009329C9">
        <w:tc>
          <w:tcPr>
            <w:tcW w:w="1844"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9329C9" w:rsidRDefault="009329C9">
      <w:pPr>
        <w:spacing w:before="120" w:after="120" w:line="240" w:lineRule="auto"/>
        <w:rPr>
          <w:rFonts w:ascii="Times New Roman" w:eastAsia="Times New Roman" w:hAnsi="Times New Roman" w:cs="Times New Roman"/>
          <w:b/>
          <w:color w:val="FF0000"/>
          <w:sz w:val="24"/>
          <w:szCs w:val="24"/>
          <w:lang w:eastAsia="en-US"/>
        </w:rPr>
      </w:pPr>
    </w:p>
    <w:p w:rsidR="009329C9" w:rsidRDefault="00B5212B">
      <w:pPr>
        <w:rPr>
          <w:rFonts w:ascii="Times New Roman" w:hAnsi="Times New Roman" w:cs="Times New Roman"/>
          <w:i/>
          <w:iCs/>
          <w:sz w:val="24"/>
          <w:szCs w:val="24"/>
        </w:rPr>
      </w:pPr>
      <w:r>
        <w:rPr>
          <w:rFonts w:ascii="Times New Roman" w:hAnsi="Times New Roman" w:cs="Times New Roman"/>
          <w:i/>
          <w:iCs/>
          <w:sz w:val="24"/>
          <w:szCs w:val="24"/>
        </w:rPr>
        <w:br w:type="page"/>
      </w:r>
    </w:p>
    <w:p w:rsidR="009329C9" w:rsidRDefault="00B5212B">
      <w:pPr>
        <w:pStyle w:val="2"/>
        <w:rPr>
          <w:rFonts w:ascii="Times New Roman" w:hAnsi="Times New Roman" w:cs="Times New Roman"/>
          <w:b/>
          <w:i/>
          <w:iCs/>
          <w:color w:val="auto"/>
          <w:sz w:val="24"/>
          <w:szCs w:val="24"/>
          <w:lang w:val="en-US"/>
        </w:rPr>
      </w:pPr>
      <w:r>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9329C9">
        <w:trPr>
          <w:trHeight w:val="575"/>
        </w:trPr>
        <w:tc>
          <w:tcPr>
            <w:tcW w:w="11057" w:type="dxa"/>
            <w:shd w:val="clear" w:color="auto" w:fill="BFBFBF" w:themeFill="background1" w:themeFillShade="BF"/>
          </w:tcPr>
          <w:p w:rsidR="009329C9" w:rsidRDefault="00B5212B">
            <w:pPr>
              <w:pStyle w:val="3"/>
              <w:spacing w:before="0"/>
              <w:jc w:val="center"/>
              <w:outlineLvl w:val="2"/>
              <w:rPr>
                <w:rFonts w:ascii="Times New Roman" w:hAnsi="Times New Roman" w:cs="Times New Roman"/>
                <w:color w:val="auto"/>
                <w:sz w:val="24"/>
                <w:szCs w:val="24"/>
              </w:rPr>
            </w:pPr>
            <w:r>
              <w:rPr>
                <w:rFonts w:ascii="Times New Roman" w:hAnsi="Times New Roman" w:cs="Times New Roman"/>
                <w:color w:val="auto"/>
                <w:sz w:val="24"/>
                <w:szCs w:val="24"/>
              </w:rPr>
              <w:t xml:space="preserve">„Подобряване на природозащитното състояние на видове и/или местообитанияот </w:t>
            </w:r>
          </w:p>
          <w:p w:rsidR="009329C9" w:rsidRDefault="00B5212B">
            <w:pPr>
              <w:pStyle w:val="3"/>
              <w:spacing w:before="0"/>
              <w:jc w:val="center"/>
              <w:outlineLvl w:val="2"/>
              <w:rPr>
                <w:rFonts w:ascii="Times New Roman" w:hAnsi="Times New Roman" w:cs="Times New Roman"/>
                <w:sz w:val="24"/>
                <w:szCs w:val="24"/>
              </w:rPr>
            </w:pPr>
            <w:r>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9329C9">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Специфичната цел</w:t>
            </w:r>
            <w:r>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2000“.</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Целта на мярката</w:t>
            </w:r>
            <w:r>
              <w:rPr>
                <w:rFonts w:ascii="Times New Roman" w:eastAsia="Calibri" w:hAnsi="Times New Roman" w:cs="Times New Roman"/>
                <w:sz w:val="24"/>
                <w:szCs w:val="24"/>
                <w:lang w:eastAsia="en-US"/>
              </w:rPr>
              <w:t xml:space="preserve"> е : Подобряване на природозащитното състояние на видове и местообитания от мрежата Натура 2000 на територията на МИГ „Свиленград Ареал”, докладвани в неблагоприятно-незадоволително състояние.</w:t>
            </w:r>
          </w:p>
        </w:tc>
      </w:tr>
      <w:tr w:rsidR="009329C9">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Код на </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Име на защитена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Номер и </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наименование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Таксономия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Код на вид/местообитание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Име</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w:t>
            </w:r>
          </w:p>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вид/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329C9" w:rsidRDefault="00B5212B">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Площ на вид/ местообитание (ха)</w:t>
            </w:r>
          </w:p>
        </w:tc>
      </w:tr>
      <w:tr w:rsidR="009329C9">
        <w:trPr>
          <w:cantSplit/>
          <w:trHeight w:val="4187"/>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Родопи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 – Инвестиции в консервационни дейности за поддър</w:t>
            </w:r>
            <w:r>
              <w:rPr>
                <w:rFonts w:ascii="Times New Roman" w:eastAsia="Calibri" w:hAnsi="Times New Roman" w:cs="Times New Roman"/>
                <w:sz w:val="24"/>
                <w:szCs w:val="24"/>
                <w:lang w:eastAsia="en-US"/>
              </w:rPr>
              <w:softHyphen/>
              <w:t>жане/ подобряване на природозащит</w:t>
            </w:r>
            <w:r>
              <w:rPr>
                <w:rFonts w:ascii="Times New Roman" w:eastAsia="Calibri" w:hAnsi="Times New Roman" w:cs="Times New Roman"/>
                <w:sz w:val="24"/>
                <w:szCs w:val="24"/>
                <w:lang w:eastAsia="en-US"/>
              </w:rPr>
              <w:softHyphen/>
              <w:t>ното състояние на видове и природни место</w:t>
            </w:r>
            <w:r>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Rhinolophusmehelyi (Подковонос на Мехели)</w:t>
            </w:r>
          </w:p>
          <w:p w:rsidR="009329C9" w:rsidRDefault="009329C9">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67,96</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Rhinolophusmehelyi (Подковонос на Мехели)</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7 595,77</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Rhinolophuseuryale(Южен подковонос)</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5 226,25</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Rhinolophusblasii(Средиземноморски подковонос)</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22 575,62</w:t>
            </w:r>
          </w:p>
          <w:p w:rsidR="009329C9" w:rsidRDefault="009329C9">
            <w:pPr>
              <w:spacing w:after="0"/>
              <w:rPr>
                <w:rFonts w:ascii="Times New Roman" w:eastAsia="Calibri" w:hAnsi="Times New Roman" w:cs="Times New Roman"/>
                <w:sz w:val="24"/>
                <w:szCs w:val="24"/>
                <w:lang w:eastAsia="en-US"/>
              </w:rPr>
            </w:pPr>
          </w:p>
        </w:tc>
      </w:tr>
      <w:tr w:rsidR="009329C9">
        <w:trPr>
          <w:trHeight w:val="554"/>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9329C9">
            <w:pPr>
              <w:spacing w:after="0"/>
              <w:rPr>
                <w:rFonts w:ascii="Times New Roman" w:eastAsia="Calibri" w:hAnsi="Times New Roman" w:cs="Times New Roman"/>
                <w:sz w:val="24"/>
                <w:szCs w:val="24"/>
                <w:lang w:eastAsia="en-US"/>
              </w:rPr>
            </w:pP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p w:rsidR="009329C9" w:rsidRDefault="009329C9">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Myotisblythii</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(Остроухнощник)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39 274,21</w:t>
            </w:r>
          </w:p>
          <w:p w:rsidR="009329C9" w:rsidRDefault="009329C9">
            <w:pPr>
              <w:spacing w:after="0"/>
              <w:rPr>
                <w:rFonts w:ascii="Times New Roman" w:eastAsia="Calibri" w:hAnsi="Times New Roman" w:cs="Times New Roman"/>
                <w:sz w:val="24"/>
                <w:szCs w:val="24"/>
                <w:lang w:eastAsia="en-US"/>
              </w:rPr>
            </w:pPr>
          </w:p>
        </w:tc>
      </w:tr>
      <w:tr w:rsidR="009329C9">
        <w:trPr>
          <w:trHeight w:val="1547"/>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Miniopterusschreibersii</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(Дългокрил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17 254,91</w:t>
            </w:r>
          </w:p>
          <w:p w:rsidR="009329C9" w:rsidRDefault="009329C9">
            <w:pPr>
              <w:spacing w:after="0"/>
              <w:rPr>
                <w:rFonts w:ascii="Times New Roman" w:eastAsia="Calibri" w:hAnsi="Times New Roman" w:cs="Times New Roman"/>
                <w:sz w:val="24"/>
                <w:szCs w:val="24"/>
                <w:lang w:eastAsia="en-US"/>
              </w:rPr>
            </w:pPr>
          </w:p>
          <w:p w:rsidR="009329C9" w:rsidRDefault="009329C9">
            <w:pPr>
              <w:spacing w:after="0"/>
              <w:rPr>
                <w:rFonts w:ascii="Times New Roman" w:eastAsia="Calibri" w:hAnsi="Times New Roman" w:cs="Times New Roman"/>
                <w:sz w:val="24"/>
                <w:szCs w:val="24"/>
                <w:lang w:eastAsia="en-US"/>
              </w:rPr>
            </w:pPr>
          </w:p>
        </w:tc>
      </w:tr>
      <w:tr w:rsidR="009329C9">
        <w:trPr>
          <w:trHeight w:val="98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Myotiscapaccinii / Дългопръстнощник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17 254,91</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Myotismyotis / Голям нощник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39 274,21</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Родопи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671,07</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Родопи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Бозайници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175,02</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Земноводни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Bombinabombina / Червенокоремна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0,61</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Влечуги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lang w:eastAsia="en-US"/>
              </w:rPr>
              <w:t>Mauremyscaspica / Южна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150,47</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Земноводни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Bombinabombina / Червенокоремна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3,10</w:t>
            </w:r>
          </w:p>
          <w:p w:rsidR="009329C9" w:rsidRDefault="009329C9">
            <w:pPr>
              <w:spacing w:after="0"/>
              <w:rPr>
                <w:rFonts w:ascii="Times New Roman" w:eastAsia="Calibri" w:hAnsi="Times New Roman" w:cs="Times New Roman"/>
                <w:sz w:val="24"/>
                <w:szCs w:val="24"/>
                <w:lang w:eastAsia="en-US"/>
              </w:rPr>
            </w:pPr>
          </w:p>
        </w:tc>
      </w:tr>
      <w:tr w:rsidR="009329C9">
        <w:trPr>
          <w:trHeight w:val="696"/>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Река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Земноводни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Bombinabombina / Червенокоремна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7,65</w:t>
            </w:r>
          </w:p>
          <w:p w:rsidR="009329C9" w:rsidRDefault="009329C9">
            <w:pPr>
              <w:spacing w:after="0"/>
              <w:rPr>
                <w:rFonts w:ascii="Times New Roman" w:eastAsia="Calibri" w:hAnsi="Times New Roman" w:cs="Times New Roman"/>
                <w:sz w:val="24"/>
                <w:szCs w:val="24"/>
                <w:lang w:eastAsia="en-US"/>
              </w:rPr>
            </w:pPr>
          </w:p>
        </w:tc>
      </w:tr>
      <w:tr w:rsidR="009329C9">
        <w:trPr>
          <w:trHeight w:val="1020"/>
        </w:trPr>
        <w:tc>
          <w:tcPr>
            <w:tcW w:w="1701" w:type="dxa"/>
            <w:vMerge/>
            <w:tcBorders>
              <w:left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Река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Влечуги</w:t>
            </w:r>
          </w:p>
          <w:p w:rsidR="009329C9" w:rsidRDefault="009329C9">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Mauremyscaspica / Южна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601,79</w:t>
            </w:r>
          </w:p>
          <w:p w:rsidR="009329C9" w:rsidRDefault="009329C9">
            <w:pPr>
              <w:spacing w:after="0"/>
              <w:rPr>
                <w:rFonts w:ascii="Times New Roman" w:eastAsia="Calibri" w:hAnsi="Times New Roman" w:cs="Times New Roman"/>
                <w:sz w:val="24"/>
                <w:szCs w:val="24"/>
                <w:lang w:eastAsia="en-US"/>
              </w:rPr>
            </w:pPr>
          </w:p>
        </w:tc>
      </w:tr>
      <w:tr w:rsidR="009329C9">
        <w:trPr>
          <w:trHeight w:val="665"/>
        </w:trPr>
        <w:tc>
          <w:tcPr>
            <w:tcW w:w="1701" w:type="dxa"/>
            <w:vMerge/>
            <w:tcBorders>
              <w:left w:val="single" w:sz="4" w:space="0" w:color="auto"/>
              <w:bottom w:val="single" w:sz="4" w:space="0" w:color="auto"/>
              <w:right w:val="single" w:sz="4" w:space="0" w:color="auto"/>
            </w:tcBorders>
          </w:tcPr>
          <w:p w:rsidR="009329C9" w:rsidRDefault="009329C9">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9329C9" w:rsidRDefault="009329C9">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9329C9">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B5212B">
            <w:pPr>
              <w:spacing w:after="0"/>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rsidR="009329C9" w:rsidRDefault="00B5212B">
            <w:pPr>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40 776,87</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9306" w:type="dxa"/>
            <w:gridSpan w:val="8"/>
            <w:tcBorders>
              <w:left w:val="single" w:sz="4" w:space="0" w:color="auto"/>
              <w:bottom w:val="single" w:sz="4" w:space="0" w:color="auto"/>
              <w:right w:val="single" w:sz="4" w:space="0" w:color="auto"/>
            </w:tcBorders>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Извършване на преки консервационни дейности за видове и/или местообитания, докладвани в неблагоприятно-незадоволително състояние;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Изграждане/реконструкция/рехабилитация на инфраструктура, пряко необходима за подобряване на природозащитното състояние на видове и/или местообитания, докладвани в неблагоприятно-незадоволително състояние.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Pr>
                <w:rFonts w:ascii="Times New Roman" w:eastAsia="Times New Roman" w:hAnsi="Times New Roman" w:cs="Times New Roman"/>
                <w:b/>
                <w:sz w:val="24"/>
                <w:szCs w:val="24"/>
              </w:rPr>
              <w:t>е е допустимо</w:t>
            </w:r>
            <w:r>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посетителски центрове и др. подобни.</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Посочените дейности не са изчерпателни. Окончателните допустими дейности за проектите, подавани в рамките на стратегия за ВОМР, ще бъдат част от указанията на УО по чл.37, ал. 1 по ПМС 161/2016 г. (Кандидатите с проектни предложения към стратегия за ВОМР може да включат недопустими дейности в проектните си предложения, при условие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9329C9" w:rsidRDefault="00B5212B">
            <w:pPr>
              <w:numPr>
                <w:ilvl w:val="0"/>
                <w:numId w:val="21"/>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9329C9" w:rsidRDefault="00B5212B">
            <w:pPr>
              <w:numPr>
                <w:ilvl w:val="0"/>
                <w:numId w:val="21"/>
              </w:numPr>
              <w:spacing w:after="0"/>
              <w:ind w:left="284" w:hanging="284"/>
              <w:jc w:val="both"/>
              <w:rPr>
                <w:rFonts w:ascii="Times New Roman" w:hAnsi="Times New Roman" w:cs="Times New Roman"/>
                <w:i/>
                <w:sz w:val="24"/>
                <w:szCs w:val="24"/>
              </w:rPr>
            </w:pPr>
            <w:r>
              <w:rPr>
                <w:rFonts w:ascii="Times New Roman" w:hAnsi="Times New Roman" w:cs="Times New Roman"/>
                <w:sz w:val="24"/>
                <w:szCs w:val="24"/>
              </w:rPr>
              <w:t>Общини със седалище и адрес на управление на територията на действие на МИГ</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9329C9" w:rsidRDefault="00B5212B">
            <w:pPr>
              <w:spacing w:after="0"/>
              <w:ind w:left="284"/>
              <w:rPr>
                <w:rFonts w:ascii="Times New Roman" w:hAnsi="Times New Roman" w:cs="Times New Roman"/>
                <w:sz w:val="23"/>
                <w:szCs w:val="23"/>
              </w:rPr>
            </w:pPr>
            <w:r>
              <w:rPr>
                <w:rFonts w:ascii="Times New Roman" w:hAnsi="Times New Roman" w:cs="Times New Roman"/>
                <w:sz w:val="24"/>
                <w:szCs w:val="24"/>
              </w:rPr>
              <w:t>І</w:t>
            </w:r>
            <w:r>
              <w:rPr>
                <w:rFonts w:ascii="Times New Roman" w:hAnsi="Times New Roman" w:cs="Times New Roman"/>
                <w:sz w:val="23"/>
                <w:szCs w:val="23"/>
              </w:rPr>
              <w:t>. РАЗХОДИ ЗА СМР (СТРОИТЕЛНО-МОНТАЖНИ РАБОТИ)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II. РАЗХОДИ ЗА МАТЕРИАЛНИ АКТИВИ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ІІІ. РАЗХОДИ ЗА НЕМАТЕРИАЛНИ АКТИВИ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IV. РАЗХОДИ ЗА УСЛУГИ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 РАЗХОДИ ЗА ТАКСИ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VI.  РАЗХОДИ ЗА МАТЕРИАЛИ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VІI. РАЗХОДИ ЗА ПЕРСОНАЛ</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VІІІ. РАЗХОДИ ЗА ПРОВЕЖДАНЕ И УЧАСТИЕ В МЕРОПРИЯТИЯ</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ІХ. НЕПРЕКИ РАЗХОДИ</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X. НЕВЪЗСТАНОВИМ ДДС</w:t>
            </w:r>
          </w:p>
          <w:p w:rsidR="009329C9" w:rsidRDefault="00B5212B">
            <w:pPr>
              <w:spacing w:after="0"/>
              <w:ind w:left="284"/>
              <w:rPr>
                <w:rFonts w:ascii="Times New Roman" w:hAnsi="Times New Roman" w:cs="Times New Roman"/>
                <w:sz w:val="23"/>
                <w:szCs w:val="23"/>
              </w:rPr>
            </w:pPr>
            <w:r>
              <w:rPr>
                <w:rFonts w:ascii="Times New Roman" w:hAnsi="Times New Roman" w:cs="Times New Roman"/>
                <w:sz w:val="23"/>
                <w:szCs w:val="23"/>
              </w:rPr>
              <w:t>ХІ. НЕДОПУСТИМИ РАЗХОДИ</w:t>
            </w:r>
          </w:p>
          <w:p w:rsidR="009329C9" w:rsidRDefault="00B5212B">
            <w:pPr>
              <w:spacing w:after="0"/>
              <w:rPr>
                <w:rFonts w:ascii="Times New Roman" w:hAnsi="Times New Roman" w:cs="Times New Roman"/>
                <w:sz w:val="24"/>
                <w:szCs w:val="24"/>
              </w:rPr>
            </w:pPr>
            <w:r>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9329C9">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Максимален размер на ДР</w:t>
            </w:r>
          </w:p>
        </w:tc>
        <w:tc>
          <w:tcPr>
            <w:tcW w:w="9306" w:type="dxa"/>
            <w:gridSpan w:val="8"/>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9329C9">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на </w:t>
            </w:r>
            <w:r>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съфинансиране се определя в насоките за кандидатстване по ОПОС 2014 – 2020 г.</w:t>
            </w:r>
          </w:p>
        </w:tc>
      </w:tr>
      <w:tr w:rsidR="009329C9">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Критерии за оценка на </w:t>
            </w:r>
            <w:r>
              <w:rPr>
                <w:rFonts w:ascii="Times New Roman" w:eastAsia="Calibri" w:hAnsi="Times New Roman" w:cs="Times New Roman"/>
                <w:b/>
                <w:lang w:eastAsia="en-US"/>
              </w:rPr>
              <w:lastRenderedPageBreak/>
              <w:t>проектите и тяхната тежест:</w:t>
            </w:r>
          </w:p>
        </w:tc>
        <w:tc>
          <w:tcPr>
            <w:tcW w:w="9306" w:type="dxa"/>
            <w:gridSpan w:val="8"/>
            <w:tcBorders>
              <w:left w:val="single" w:sz="4" w:space="0" w:color="auto"/>
              <w:bottom w:val="single" w:sz="4" w:space="0" w:color="auto"/>
              <w:right w:val="single" w:sz="4" w:space="0" w:color="auto"/>
            </w:tcBorders>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стратегиите за </w:t>
            </w:r>
            <w:r>
              <w:rPr>
                <w:rFonts w:ascii="Times New Roman" w:hAnsi="Times New Roman" w:cs="Times New Roman"/>
                <w:sz w:val="24"/>
                <w:szCs w:val="24"/>
              </w:rPr>
              <w:lastRenderedPageBreak/>
              <w:t>ВОМР по отношение на мерките с финансиране по Приоритетна ос 3 „Натура 2000 е биоразнообразие“ на ОПОС 2014-2020</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Оценката на проектни предложения се извършва от Комисия, назначена от МИГ, съгласно чл. 44, ал.1 от ПМС 161от 4 юли 2016 г. Оценката се извършва на два етапа:</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1.Оценка на административно съответствие и допустимост</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 Техническа и финансова оценка</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формалното съответствие на проектните предложения и на допустимостта на кандидатите и проектните дейности. Оценителната комисия проверява дали проектното предложение отговаря на всички критерии, описани в насоките за кандидатстване, като ги оценява с „ДА“, „НЕ“ или „Неприложимо“.</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предложения се класират в низходящ ред.</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покриване на общия размер на предварително определените и обявени финансови средства по съответната процедура. </w:t>
            </w:r>
          </w:p>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f3"/>
              <w:tblW w:w="7400" w:type="dxa"/>
              <w:tblInd w:w="284" w:type="dxa"/>
              <w:tblLayout w:type="fixed"/>
              <w:tblLook w:val="04A0" w:firstRow="1" w:lastRow="0" w:firstColumn="1" w:lastColumn="0" w:noHBand="0" w:noVBand="1"/>
            </w:tblPr>
            <w:tblGrid>
              <w:gridCol w:w="596"/>
              <w:gridCol w:w="3827"/>
              <w:gridCol w:w="2977"/>
            </w:tblGrid>
            <w:tr w:rsidR="009329C9">
              <w:tc>
                <w:tcPr>
                  <w:tcW w:w="596" w:type="dxa"/>
                </w:tcPr>
                <w:p w:rsidR="009329C9" w:rsidRDefault="009329C9">
                  <w:pPr>
                    <w:spacing w:after="0" w:line="240" w:lineRule="auto"/>
                    <w:rPr>
                      <w:rFonts w:ascii="Times New Roman" w:hAnsi="Times New Roman" w:cs="Times New Roman"/>
                      <w:b/>
                      <w:sz w:val="24"/>
                      <w:szCs w:val="24"/>
                    </w:rPr>
                  </w:pPr>
                </w:p>
              </w:tc>
              <w:tc>
                <w:tcPr>
                  <w:tcW w:w="3827" w:type="dxa"/>
                </w:tcPr>
                <w:p w:rsidR="009329C9" w:rsidRDefault="00B5212B">
                  <w:pPr>
                    <w:spacing w:after="0" w:line="240" w:lineRule="auto"/>
                    <w:rPr>
                      <w:rFonts w:ascii="Times New Roman" w:hAnsi="Times New Roman" w:cs="Times New Roman"/>
                      <w:b/>
                      <w:sz w:val="23"/>
                      <w:szCs w:val="23"/>
                    </w:rPr>
                  </w:pPr>
                  <w:r>
                    <w:rPr>
                      <w:rFonts w:ascii="Times New Roman" w:hAnsi="Times New Roman" w:cs="Times New Roman"/>
                      <w:b/>
                      <w:sz w:val="23"/>
                      <w:szCs w:val="23"/>
                    </w:rPr>
                    <w:t>Критерии</w:t>
                  </w:r>
                </w:p>
              </w:tc>
              <w:tc>
                <w:tcPr>
                  <w:tcW w:w="2977" w:type="dxa"/>
                </w:tcPr>
                <w:p w:rsidR="009329C9" w:rsidRDefault="00B5212B">
                  <w:pPr>
                    <w:spacing w:after="0" w:line="240" w:lineRule="auto"/>
                    <w:rPr>
                      <w:rFonts w:ascii="Times New Roman" w:hAnsi="Times New Roman" w:cs="Times New Roman"/>
                      <w:b/>
                      <w:sz w:val="23"/>
                      <w:szCs w:val="23"/>
                    </w:rPr>
                  </w:pPr>
                  <w:r>
                    <w:rPr>
                      <w:rFonts w:ascii="Times New Roman" w:hAnsi="Times New Roman" w:cs="Times New Roman"/>
                      <w:b/>
                      <w:sz w:val="23"/>
                      <w:szCs w:val="23"/>
                    </w:rPr>
                    <w:t>Максимален брой точки</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Съответствие и допълняемост</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14</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Методика и работен план</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16</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Трудности и рискове</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2</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Капацитет на кандидата</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5</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Устойчивост</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9</w:t>
                  </w:r>
                </w:p>
              </w:tc>
            </w:tr>
            <w:tr w:rsidR="009329C9">
              <w:tc>
                <w:tcPr>
                  <w:tcW w:w="596" w:type="dxa"/>
                </w:tcPr>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827" w:type="dxa"/>
                </w:tcPr>
                <w:p w:rsidR="009329C9" w:rsidRDefault="00B5212B">
                  <w:pPr>
                    <w:spacing w:after="0" w:line="240" w:lineRule="auto"/>
                    <w:rPr>
                      <w:rFonts w:ascii="Times New Roman" w:hAnsi="Times New Roman" w:cs="Times New Roman"/>
                      <w:sz w:val="23"/>
                      <w:szCs w:val="23"/>
                    </w:rPr>
                  </w:pPr>
                  <w:r>
                    <w:rPr>
                      <w:rFonts w:ascii="Times New Roman" w:hAnsi="Times New Roman" w:cs="Times New Roman"/>
                      <w:sz w:val="23"/>
                      <w:szCs w:val="23"/>
                    </w:rPr>
                    <w:t>Финансова оценка</w:t>
                  </w:r>
                </w:p>
              </w:tc>
              <w:tc>
                <w:tcPr>
                  <w:tcW w:w="2977" w:type="dxa"/>
                  <w:vAlign w:val="center"/>
                </w:tcPr>
                <w:p w:rsidR="009329C9" w:rsidRDefault="00B5212B">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6</w:t>
                  </w:r>
                </w:p>
              </w:tc>
            </w:tr>
            <w:tr w:rsidR="009329C9">
              <w:tc>
                <w:tcPr>
                  <w:tcW w:w="596" w:type="dxa"/>
                </w:tcPr>
                <w:p w:rsidR="009329C9" w:rsidRDefault="009329C9">
                  <w:pPr>
                    <w:spacing w:after="0" w:line="240" w:lineRule="auto"/>
                    <w:rPr>
                      <w:rFonts w:ascii="Times New Roman" w:hAnsi="Times New Roman" w:cs="Times New Roman"/>
                      <w:sz w:val="24"/>
                      <w:szCs w:val="24"/>
                    </w:rPr>
                  </w:pPr>
                </w:p>
              </w:tc>
              <w:tc>
                <w:tcPr>
                  <w:tcW w:w="3827" w:type="dxa"/>
                  <w:vAlign w:val="bottom"/>
                </w:tcPr>
                <w:p w:rsidR="009329C9" w:rsidRDefault="00B5212B">
                  <w:pPr>
                    <w:spacing w:after="0" w:line="240" w:lineRule="auto"/>
                    <w:jc w:val="right"/>
                    <w:rPr>
                      <w:rFonts w:ascii="Times New Roman" w:hAnsi="Times New Roman" w:cs="Times New Roman"/>
                      <w:b/>
                      <w:sz w:val="23"/>
                      <w:szCs w:val="23"/>
                    </w:rPr>
                  </w:pPr>
                  <w:r>
                    <w:rPr>
                      <w:rFonts w:ascii="Times New Roman" w:hAnsi="Times New Roman" w:cs="Times New Roman"/>
                      <w:b/>
                      <w:sz w:val="23"/>
                      <w:szCs w:val="23"/>
                    </w:rPr>
                    <w:t>ОБЩО:</w:t>
                  </w:r>
                </w:p>
              </w:tc>
              <w:tc>
                <w:tcPr>
                  <w:tcW w:w="2977" w:type="dxa"/>
                  <w:vAlign w:val="center"/>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52</w:t>
                  </w:r>
                </w:p>
              </w:tc>
            </w:tr>
          </w:tbl>
          <w:p w:rsidR="009329C9" w:rsidRDefault="00B5212B">
            <w:pPr>
              <w:spacing w:after="0" w:line="240" w:lineRule="auto"/>
              <w:rPr>
                <w:rFonts w:ascii="Times New Roman" w:hAnsi="Times New Roman" w:cs="Times New Roman"/>
                <w:sz w:val="24"/>
                <w:szCs w:val="24"/>
              </w:rPr>
            </w:pPr>
            <w:r>
              <w:rPr>
                <w:rFonts w:ascii="Times New Roman" w:hAnsi="Times New Roman" w:cs="Times New Roman"/>
                <w:sz w:val="24"/>
                <w:szCs w:val="24"/>
              </w:rPr>
              <w:t>Няма да бъдат финансирани проектни предложения получили: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-Общ брой точки по всички критерии по-малък от 31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„Съответствие и допълняемост“ по-малък от 8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„Методика и работен план“ по-малък от 10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„Трудности и рискове“ по-малък от 1 точка</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„Капацитет на кандидата“ по-малък от 1 точка</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„Устойчивост“ по-малък от 3 точки</w:t>
            </w:r>
          </w:p>
          <w:p w:rsidR="009329C9" w:rsidRDefault="00B5212B">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„Финансова оценка“ по-малък от 4 точки</w:t>
            </w:r>
          </w:p>
        </w:tc>
      </w:tr>
    </w:tbl>
    <w:p w:rsidR="009329C9" w:rsidRDefault="009329C9">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9329C9">
        <w:tc>
          <w:tcPr>
            <w:tcW w:w="8364" w:type="dxa"/>
          </w:tcPr>
          <w:p w:rsidR="009329C9" w:rsidRDefault="00B5212B">
            <w:pPr>
              <w:spacing w:after="0" w:line="240" w:lineRule="auto"/>
              <w:ind w:right="283"/>
              <w:jc w:val="both"/>
              <w:rPr>
                <w:rFonts w:ascii="Times New Roman" w:hAnsi="Times New Roman" w:cs="Times New Roman"/>
                <w:b/>
                <w:bCs/>
                <w:sz w:val="24"/>
                <w:szCs w:val="24"/>
              </w:rPr>
            </w:pPr>
            <w:r>
              <w:rPr>
                <w:rFonts w:ascii="Times New Roman" w:hAnsi="Times New Roman" w:cs="Times New Roman"/>
                <w:b/>
                <w:bCs/>
                <w:sz w:val="24"/>
                <w:szCs w:val="24"/>
              </w:rPr>
              <w:t>Подобряване на природозащитното състояние на видове и местообитания от мрежата Натура 2000 чрез подхода ВОМР</w:t>
            </w:r>
          </w:p>
        </w:tc>
        <w:tc>
          <w:tcPr>
            <w:tcW w:w="2126" w:type="dxa"/>
            <w:vAlign w:val="center"/>
          </w:tcPr>
          <w:p w:rsidR="009329C9" w:rsidRDefault="00B5212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ОБЩО:</w:t>
            </w:r>
          </w:p>
          <w:p w:rsidR="009329C9" w:rsidRDefault="00B5212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4 785 157, 54 лв.  </w:t>
            </w:r>
          </w:p>
        </w:tc>
      </w:tr>
    </w:tbl>
    <w:p w:rsidR="009329C9" w:rsidRDefault="00B5212B">
      <w:pPr>
        <w:pStyle w:val="2"/>
        <w:rPr>
          <w:rFonts w:ascii="Times New Roman" w:eastAsia="Calibri" w:hAnsi="Times New Roman" w:cs="Times New Roman"/>
          <w:b/>
          <w:color w:val="auto"/>
          <w:sz w:val="24"/>
          <w:szCs w:val="24"/>
          <w:lang w:eastAsia="en-US"/>
        </w:rPr>
      </w:pPr>
      <w:r>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9329C9">
        <w:tc>
          <w:tcPr>
            <w:tcW w:w="1418" w:type="dxa"/>
            <w:shd w:val="clear" w:color="auto" w:fill="BFBFBF" w:themeFill="background1" w:themeFillShade="BF"/>
          </w:tcPr>
          <w:p w:rsidR="009329C9" w:rsidRDefault="009329C9">
            <w:pPr>
              <w:keepNext/>
              <w:keepLines/>
              <w:spacing w:before="200" w:after="0" w:line="240" w:lineRule="auto"/>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9329C9" w:rsidRDefault="00B5212B">
            <w:pPr>
              <w:keepNext/>
              <w:keepLines/>
              <w:spacing w:after="0" w:line="240" w:lineRule="auto"/>
              <w:jc w:val="center"/>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Общи условия по стратегията за ВОМР от ОПНОИР</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color w:val="4F81BD"/>
                <w:sz w:val="23"/>
                <w:szCs w:val="23"/>
              </w:rPr>
            </w:pPr>
            <w:r>
              <w:rPr>
                <w:rFonts w:ascii="Times New Roman" w:eastAsia="Times New Roman" w:hAnsi="Times New Roman" w:cs="Times New Roman"/>
                <w:b/>
                <w:bCs/>
                <w:sz w:val="23"/>
                <w:szCs w:val="23"/>
              </w:rPr>
              <w:t>Водещи принципи:</w:t>
            </w:r>
          </w:p>
        </w:tc>
        <w:tc>
          <w:tcPr>
            <w:tcW w:w="9199" w:type="dxa"/>
            <w:shd w:val="clear" w:color="auto" w:fill="auto"/>
          </w:tcPr>
          <w:p w:rsidR="009329C9" w:rsidRDefault="00B5212B">
            <w:pPr>
              <w:pStyle w:val="Default"/>
              <w:rPr>
                <w:color w:val="auto"/>
                <w:sz w:val="23"/>
                <w:szCs w:val="23"/>
              </w:rPr>
            </w:pPr>
            <w:r>
              <w:rPr>
                <w:b/>
                <w:bCs/>
                <w:sz w:val="23"/>
                <w:szCs w:val="23"/>
              </w:rPr>
              <w:t xml:space="preserve">Ефективност и ефикасност на инвестициите </w:t>
            </w:r>
            <w:r>
              <w:rPr>
                <w:sz w:val="23"/>
                <w:szCs w:val="23"/>
              </w:rPr>
              <w:t xml:space="preserve">– избраните дейности да отговарят в пълна степен на целите на ОП НОИР, при най-адекватно съотношение разходи и ползи. </w:t>
            </w:r>
            <w:r>
              <w:rPr>
                <w:b/>
                <w:bCs/>
                <w:color w:val="auto"/>
                <w:sz w:val="23"/>
                <w:szCs w:val="23"/>
              </w:rPr>
              <w:t xml:space="preserve">Финансиране, основано на нуждите </w:t>
            </w:r>
            <w:r>
              <w:rPr>
                <w:color w:val="auto"/>
                <w:sz w:val="23"/>
                <w:szCs w:val="23"/>
              </w:rPr>
              <w:t xml:space="preserve">– избраните мерки да отговарят на идентифицираните потребности на целевите групи; </w:t>
            </w:r>
            <w:r>
              <w:rPr>
                <w:b/>
                <w:bCs/>
                <w:color w:val="auto"/>
                <w:sz w:val="23"/>
                <w:szCs w:val="23"/>
              </w:rPr>
              <w:t xml:space="preserve"> Релевантност</w:t>
            </w:r>
            <w:r>
              <w:rPr>
                <w:color w:val="auto"/>
                <w:sz w:val="23"/>
                <w:szCs w:val="23"/>
              </w:rPr>
              <w:t>– избраните операции да допринасят за изпълнението на индикаторите за изпълнение и резултат;</w:t>
            </w:r>
            <w:r>
              <w:rPr>
                <w:b/>
                <w:bCs/>
                <w:color w:val="auto"/>
                <w:sz w:val="23"/>
                <w:szCs w:val="23"/>
              </w:rPr>
              <w:t>Координация, допълняемост и синергия</w:t>
            </w:r>
            <w:r>
              <w:rPr>
                <w:color w:val="auto"/>
                <w:sz w:val="23"/>
                <w:szCs w:val="23"/>
              </w:rPr>
              <w:t xml:space="preserve">–с други програми и инструменти, финансирани със средства от ЕС, държавния бюджет, местния бюджет и други донорски програми; </w:t>
            </w:r>
            <w:r>
              <w:rPr>
                <w:b/>
                <w:bCs/>
                <w:color w:val="auto"/>
                <w:sz w:val="23"/>
                <w:szCs w:val="23"/>
              </w:rPr>
              <w:t xml:space="preserve">Принцип на устойчиво развитие </w:t>
            </w:r>
            <w:r>
              <w:rPr>
                <w:color w:val="auto"/>
                <w:sz w:val="23"/>
                <w:szCs w:val="23"/>
              </w:rPr>
              <w:t xml:space="preserve">да се търси устойчивост на постигнатите резултати и дългосрочност на очакваните ефекти; </w:t>
            </w:r>
            <w:r>
              <w:rPr>
                <w:b/>
                <w:bCs/>
                <w:color w:val="auto"/>
                <w:sz w:val="23"/>
                <w:szCs w:val="23"/>
              </w:rPr>
              <w:t xml:space="preserve">Принцип на равните възможности </w:t>
            </w:r>
            <w:r>
              <w:rPr>
                <w:color w:val="auto"/>
                <w:sz w:val="23"/>
                <w:szCs w:val="23"/>
              </w:rPr>
              <w:t xml:space="preserve">– насърчаване на равните възможности за всички; </w:t>
            </w:r>
            <w:r>
              <w:rPr>
                <w:b/>
                <w:bCs/>
                <w:sz w:val="23"/>
                <w:szCs w:val="23"/>
              </w:rPr>
              <w:t>Избягване на двойно финансиране;</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329C9" w:rsidRDefault="00B5212B">
            <w:pPr>
              <w:pStyle w:val="Default"/>
              <w:rPr>
                <w:b/>
                <w:bCs/>
                <w:sz w:val="23"/>
                <w:szCs w:val="23"/>
              </w:rPr>
            </w:pPr>
            <w:r>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многофондови стратегии на МИГ чрез подхода ВОМР допринасяйки към тематична цел 9, съгласно член 9 от Общия регламент</w:t>
            </w:r>
            <w:r>
              <w:rPr>
                <w:b/>
                <w:bCs/>
                <w:sz w:val="23"/>
                <w:szCs w:val="23"/>
                <w:lang w:val="ru-RU"/>
              </w:rPr>
              <w:t>.</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rPr>
            </w:pPr>
            <w:r>
              <w:rPr>
                <w:rFonts w:ascii="Times New Roman" w:eastAsia="Times New Roman" w:hAnsi="Times New Roman" w:cs="Times New Roman"/>
                <w:b/>
                <w:bCs/>
              </w:rPr>
              <w:t>Демаркация</w:t>
            </w:r>
          </w:p>
        </w:tc>
        <w:tc>
          <w:tcPr>
            <w:tcW w:w="9199" w:type="dxa"/>
            <w:shd w:val="clear" w:color="auto" w:fill="auto"/>
          </w:tcPr>
          <w:p w:rsidR="009329C9" w:rsidRDefault="00B5212B">
            <w:pPr>
              <w:pStyle w:val="Default"/>
              <w:rPr>
                <w:bCs/>
                <w:sz w:val="23"/>
                <w:szCs w:val="23"/>
              </w:rPr>
            </w:pPr>
            <w:r>
              <w:rPr>
                <w:bCs/>
                <w:sz w:val="23"/>
                <w:szCs w:val="23"/>
              </w:rPr>
              <w:t>Демаркацията на ОП НОИР 2014 – 2020 г. с други Програми е подробно уредена  8. „Координация между фондовете, ЕЗФРСР и ЕФМДР и координация с други инструменти за финансиране, национални и на Съюза, както и с ЕИБ“.</w:t>
            </w:r>
          </w:p>
        </w:tc>
      </w:tr>
      <w:tr w:rsidR="009329C9">
        <w:tc>
          <w:tcPr>
            <w:tcW w:w="1418" w:type="dxa"/>
            <w:shd w:val="clear" w:color="auto" w:fill="BFBFBF" w:themeFill="background1" w:themeFillShade="BF"/>
            <w:vAlign w:val="center"/>
          </w:tcPr>
          <w:p w:rsidR="009329C9" w:rsidRDefault="00B5212B">
            <w:pPr>
              <w:keepNext/>
              <w:keepLines/>
              <w:spacing w:before="200" w:after="0" w:line="240" w:lineRule="auto"/>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Държавни помощи</w:t>
            </w:r>
          </w:p>
        </w:tc>
        <w:tc>
          <w:tcPr>
            <w:tcW w:w="9199" w:type="dxa"/>
            <w:shd w:val="clear" w:color="auto" w:fill="auto"/>
          </w:tcPr>
          <w:p w:rsidR="009329C9" w:rsidRDefault="00B5212B">
            <w:pPr>
              <w:pStyle w:val="Default"/>
              <w:rPr>
                <w:bCs/>
                <w:sz w:val="23"/>
                <w:szCs w:val="23"/>
              </w:rPr>
            </w:pPr>
            <w:r>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Pr>
                <w:bCs/>
                <w:sz w:val="23"/>
                <w:szCs w:val="23"/>
                <w:lang w:val="ru-RU"/>
              </w:rPr>
              <w:t xml:space="preserve">за </w:t>
            </w:r>
            <w:r>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9329C9">
        <w:tc>
          <w:tcPr>
            <w:tcW w:w="10617" w:type="dxa"/>
            <w:gridSpan w:val="2"/>
            <w:shd w:val="clear" w:color="auto" w:fill="BFBFBF" w:themeFill="background1" w:themeFillShade="BF"/>
          </w:tcPr>
          <w:p w:rsidR="009329C9" w:rsidRDefault="00B5212B">
            <w:pPr>
              <w:pStyle w:val="Default"/>
              <w:jc w:val="center"/>
              <w:rPr>
                <w:b/>
                <w:bCs/>
                <w:sz w:val="23"/>
                <w:szCs w:val="23"/>
              </w:rPr>
            </w:pPr>
            <w:r>
              <w:rPr>
                <w:b/>
                <w:bCs/>
                <w:sz w:val="23"/>
                <w:szCs w:val="23"/>
              </w:rPr>
              <w:t>„Осигуряване на достъп до качествено образование в малките населени места и</w:t>
            </w:r>
          </w:p>
          <w:p w:rsidR="009329C9" w:rsidRDefault="00B5212B">
            <w:pPr>
              <w:pStyle w:val="Default"/>
              <w:jc w:val="center"/>
              <w:rPr>
                <w:bCs/>
                <w:sz w:val="23"/>
                <w:szCs w:val="23"/>
              </w:rPr>
            </w:pPr>
            <w:r>
              <w:rPr>
                <w:b/>
                <w:bCs/>
                <w:sz w:val="23"/>
                <w:szCs w:val="23"/>
              </w:rPr>
              <w:t>в трудно достъпните райони“</w:t>
            </w:r>
            <w:r>
              <w:rPr>
                <w:bCs/>
                <w:sz w:val="23"/>
                <w:szCs w:val="23"/>
              </w:rPr>
              <w:t>.</w:t>
            </w:r>
          </w:p>
        </w:tc>
      </w:tr>
      <w:tr w:rsidR="009329C9">
        <w:trPr>
          <w:trHeight w:val="694"/>
        </w:trPr>
        <w:tc>
          <w:tcPr>
            <w:tcW w:w="1418" w:type="dxa"/>
            <w:shd w:val="clear" w:color="auto" w:fill="BFBFBF" w:themeFill="background1" w:themeFillShade="BF"/>
          </w:tcPr>
          <w:p w:rsidR="009329C9" w:rsidRDefault="00B5212B">
            <w:pPr>
              <w:tabs>
                <w:tab w:val="left" w:pos="239"/>
              </w:tabs>
              <w:spacing w:after="0" w:line="240" w:lineRule="auto"/>
              <w:ind w:right="300"/>
              <w:jc w:val="center"/>
              <w:rPr>
                <w:rFonts w:ascii="Times New Roman" w:hAnsi="Times New Roman" w:cs="Times New Roman"/>
                <w:b/>
                <w:sz w:val="23"/>
                <w:szCs w:val="23"/>
              </w:rPr>
            </w:pPr>
            <w:r>
              <w:rPr>
                <w:rFonts w:ascii="Times New Roman" w:hAnsi="Times New Roman" w:cs="Times New Roman"/>
                <w:b/>
                <w:sz w:val="23"/>
                <w:szCs w:val="23"/>
              </w:rPr>
              <w:t>Цели и обхват на</w:t>
            </w:r>
          </w:p>
          <w:p w:rsidR="009329C9" w:rsidRDefault="00B5212B">
            <w:pPr>
              <w:tabs>
                <w:tab w:val="left" w:pos="239"/>
              </w:tabs>
              <w:spacing w:after="0" w:line="240" w:lineRule="auto"/>
              <w:ind w:right="300"/>
              <w:jc w:val="center"/>
              <w:rPr>
                <w:rFonts w:ascii="Times New Roman" w:hAnsi="Times New Roman" w:cs="Times New Roman"/>
                <w:b/>
                <w:sz w:val="23"/>
                <w:szCs w:val="23"/>
              </w:rPr>
            </w:pPr>
            <w:r>
              <w:rPr>
                <w:rFonts w:ascii="Times New Roman" w:hAnsi="Times New Roman" w:cs="Times New Roman"/>
                <w:b/>
                <w:sz w:val="23"/>
                <w:szCs w:val="23"/>
              </w:rPr>
              <w:t>мярката</w:t>
            </w:r>
          </w:p>
        </w:tc>
        <w:tc>
          <w:tcPr>
            <w:tcW w:w="9199" w:type="dxa"/>
          </w:tcPr>
          <w:p w:rsidR="009329C9" w:rsidRDefault="00B5212B">
            <w:pPr>
              <w:spacing w:after="0" w:line="240" w:lineRule="auto"/>
              <w:ind w:left="20" w:right="20"/>
              <w:jc w:val="both"/>
              <w:rPr>
                <w:rFonts w:ascii="Times New Roman" w:hAnsi="Times New Roman" w:cs="Times New Roman"/>
                <w:bCs/>
                <w:sz w:val="23"/>
                <w:szCs w:val="23"/>
                <w:shd w:val="clear" w:color="auto" w:fill="FFFFFF"/>
              </w:rPr>
            </w:pPr>
            <w:r>
              <w:rPr>
                <w:rFonts w:ascii="Times New Roman" w:hAnsi="Times New Roman" w:cs="Times New Roman"/>
                <w:b/>
                <w:bCs/>
                <w:sz w:val="23"/>
                <w:szCs w:val="23"/>
                <w:shd w:val="clear" w:color="auto" w:fill="FFFFFF"/>
              </w:rPr>
              <w:t>Мярката е в съответствие</w:t>
            </w:r>
            <w:r>
              <w:rPr>
                <w:rFonts w:ascii="Times New Roman" w:hAnsi="Times New Roman" w:cs="Times New Roman"/>
                <w:bCs/>
                <w:sz w:val="23"/>
                <w:szCs w:val="23"/>
                <w:shd w:val="clear" w:color="auto" w:fill="FFFFFF"/>
              </w:rPr>
              <w:t xml:space="preserve"> с </w:t>
            </w:r>
            <w:r>
              <w:rPr>
                <w:rFonts w:ascii="Times New Roman" w:hAnsi="Times New Roman" w:cs="Times New Roman"/>
                <w:b/>
                <w:bCs/>
                <w:sz w:val="23"/>
                <w:szCs w:val="23"/>
                <w:shd w:val="clear" w:color="auto" w:fill="FFFFFF"/>
              </w:rPr>
              <w:t xml:space="preserve">Приоритетна ос 3 </w:t>
            </w:r>
            <w:r>
              <w:rPr>
                <w:rFonts w:ascii="Times New Roman" w:hAnsi="Times New Roman" w:cs="Times New Roman"/>
                <w:bCs/>
                <w:sz w:val="23"/>
                <w:szCs w:val="23"/>
                <w:shd w:val="clear" w:color="auto" w:fill="FFFFFF"/>
              </w:rPr>
              <w:t>„Образователна среда за активно социално включване“,</w:t>
            </w:r>
            <w:r>
              <w:rPr>
                <w:rFonts w:ascii="Times New Roman" w:hAnsi="Times New Roman" w:cs="Times New Roman"/>
                <w:b/>
                <w:bCs/>
                <w:sz w:val="23"/>
                <w:szCs w:val="23"/>
                <w:shd w:val="clear" w:color="auto" w:fill="FFFFFF"/>
              </w:rPr>
              <w:t xml:space="preserve"> Инвестиционен приоритет 9.ii „</w:t>
            </w:r>
            <w:r>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9329C9" w:rsidRDefault="00B5212B">
            <w:pPr>
              <w:spacing w:after="0" w:line="240" w:lineRule="auto"/>
              <w:ind w:left="20" w:right="20"/>
              <w:jc w:val="both"/>
              <w:rPr>
                <w:rFonts w:ascii="Times New Roman" w:hAnsi="Times New Roman" w:cs="Times New Roman"/>
                <w:bCs/>
                <w:sz w:val="23"/>
                <w:szCs w:val="23"/>
                <w:shd w:val="clear" w:color="auto" w:fill="FFFFFF"/>
              </w:rPr>
            </w:pPr>
            <w:r>
              <w:rPr>
                <w:rFonts w:ascii="Times New Roman" w:hAnsi="Times New Roman" w:cs="Times New Roman"/>
                <w:b/>
                <w:bCs/>
                <w:sz w:val="23"/>
                <w:szCs w:val="23"/>
                <w:shd w:val="clear" w:color="auto" w:fill="FFFFFF"/>
              </w:rPr>
              <w:t>Специфичната цел на ОП НОИР по ИП 9.ii e</w:t>
            </w:r>
            <w:r>
              <w:rPr>
                <w:rFonts w:ascii="Times New Roman" w:hAnsi="Times New Roman" w:cs="Times New Roman"/>
                <w:bCs/>
                <w:sz w:val="23"/>
                <w:szCs w:val="23"/>
                <w:shd w:val="clear" w:color="auto" w:fill="FFFFFF"/>
              </w:rPr>
              <w:t>: Повишаване броя на успешно интегрираните чрез образователната система деца и ученици от маргинализирани общности, включително роми.</w:t>
            </w:r>
            <w:r>
              <w:rPr>
                <w:rFonts w:ascii="Times New Roman" w:hAnsi="Times New Roman" w:cs="Times New Roman"/>
                <w:b/>
                <w:bCs/>
                <w:sz w:val="23"/>
                <w:szCs w:val="23"/>
                <w:shd w:val="clear" w:color="auto" w:fill="FFFFFF"/>
              </w:rPr>
              <w:t>Основната целна операция</w:t>
            </w:r>
            <w:r>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качествено образование.</w:t>
            </w:r>
          </w:p>
          <w:p w:rsidR="009329C9" w:rsidRDefault="00B5212B">
            <w:pPr>
              <w:tabs>
                <w:tab w:val="left" w:pos="313"/>
              </w:tabs>
              <w:spacing w:after="0" w:line="240" w:lineRule="auto"/>
              <w:ind w:left="20" w:right="20"/>
              <w:jc w:val="both"/>
              <w:rPr>
                <w:rFonts w:ascii="Times New Roman" w:hAnsi="Times New Roman" w:cs="Times New Roman"/>
                <w:bCs/>
                <w:sz w:val="23"/>
                <w:szCs w:val="23"/>
              </w:rPr>
            </w:pPr>
            <w:r>
              <w:rPr>
                <w:rFonts w:ascii="Times New Roman" w:hAnsi="Times New Roman" w:cs="Times New Roman"/>
                <w:b/>
                <w:bCs/>
                <w:sz w:val="23"/>
                <w:szCs w:val="23"/>
              </w:rPr>
              <w:t xml:space="preserve">Специфични цели на операцията са: </w:t>
            </w:r>
            <w:r>
              <w:rPr>
                <w:rFonts w:ascii="Times New Roman" w:hAnsi="Times New Roman" w:cs="Times New Roman"/>
                <w:bCs/>
                <w:sz w:val="23"/>
                <w:szCs w:val="23"/>
              </w:rPr>
              <w:t>а) повишаване на качеството на предучилищното и училищното образование, вкл. професионалното образование, в малките населени места; б) подобряване на достъпа до предучилищното и училищното образование, вкл. професионалното образование, в малките населени места; в) намаляване броя на необхванатите от образователната система, на отпадащите от училище и на преждевременно напусналите училище.</w:t>
            </w:r>
          </w:p>
          <w:p w:rsidR="009329C9" w:rsidRDefault="00B5212B">
            <w:pPr>
              <w:tabs>
                <w:tab w:val="left" w:pos="313"/>
              </w:tabs>
              <w:spacing w:after="0" w:line="240" w:lineRule="auto"/>
              <w:ind w:left="20" w:right="20"/>
              <w:jc w:val="both"/>
              <w:rPr>
                <w:rFonts w:ascii="Times New Roman" w:hAnsi="Times New Roman" w:cs="Times New Roman"/>
                <w:bCs/>
                <w:sz w:val="23"/>
                <w:szCs w:val="23"/>
              </w:rPr>
            </w:pPr>
            <w:r>
              <w:rPr>
                <w:rFonts w:ascii="Times New Roman" w:hAnsi="Times New Roman" w:cs="Times New Roman"/>
                <w:b/>
                <w:bCs/>
                <w:sz w:val="23"/>
                <w:szCs w:val="23"/>
              </w:rPr>
              <w:t>Допустими целеви групи:</w:t>
            </w:r>
            <w:r>
              <w:rPr>
                <w:rFonts w:ascii="Times New Roman" w:hAnsi="Times New Roman" w:cs="Times New Roman"/>
                <w:bCs/>
                <w:sz w:val="23"/>
                <w:szCs w:val="23"/>
              </w:rPr>
              <w:t>-Деца и ученици от маргинализирани групи, вкл. роми; - Родители/настойници от маргинализираните групи, вкл. роми. С цел постигане на интеграционен ефект от проектните дейности, са допустими разходи за деца и техните родители/настойници, които не са представители на маргинализираните групи.</w:t>
            </w:r>
          </w:p>
          <w:p w:rsidR="009329C9" w:rsidRDefault="00B5212B">
            <w:pPr>
              <w:tabs>
                <w:tab w:val="left" w:pos="313"/>
              </w:tabs>
              <w:spacing w:after="0" w:line="240" w:lineRule="auto"/>
              <w:ind w:left="20" w:right="20"/>
              <w:jc w:val="both"/>
              <w:rPr>
                <w:rFonts w:ascii="Times New Roman" w:hAnsi="Times New Roman" w:cs="Times New Roman"/>
                <w:bCs/>
                <w:sz w:val="23"/>
                <w:szCs w:val="23"/>
              </w:rPr>
            </w:pPr>
            <w:r>
              <w:rPr>
                <w:rFonts w:ascii="Times New Roman" w:hAnsi="Times New Roman" w:cs="Times New Roman"/>
                <w:b/>
                <w:bCs/>
                <w:sz w:val="23"/>
                <w:szCs w:val="23"/>
              </w:rPr>
              <w:t>Съответствие с идентифицираните проблеми на територията:</w:t>
            </w:r>
            <w:r>
              <w:rPr>
                <w:rFonts w:ascii="Times New Roman" w:hAnsi="Times New Roman" w:cs="Times New Roman"/>
                <w:bCs/>
                <w:sz w:val="23"/>
                <w:szCs w:val="23"/>
              </w:rPr>
              <w:t xml:space="preserve">В образователната система на територията на МИГ „Свиленград Ареал“ са създадени практически условия за реализиране на изискването за социално включване на </w:t>
            </w:r>
            <w:r>
              <w:rPr>
                <w:rFonts w:ascii="Times New Roman" w:hAnsi="Times New Roman" w:cs="Times New Roman"/>
                <w:b/>
                <w:bCs/>
                <w:sz w:val="23"/>
                <w:szCs w:val="23"/>
              </w:rPr>
              <w:t>децата и учениците от малцинствените етнически групи.</w:t>
            </w:r>
            <w:r>
              <w:rPr>
                <w:rFonts w:ascii="Times New Roman" w:hAnsi="Times New Roman" w:cs="Times New Roman"/>
                <w:bCs/>
                <w:sz w:val="23"/>
                <w:szCs w:val="23"/>
              </w:rPr>
              <w:t xml:space="preserve">Въпреки това, продължава тенденцията на ежегодно отпадане на младежите от училище, без завършен 8-ми клас. Преобладаващата част отново са от </w:t>
            </w:r>
            <w:r>
              <w:rPr>
                <w:rFonts w:ascii="Times New Roman" w:hAnsi="Times New Roman" w:cs="Times New Roman"/>
                <w:bCs/>
                <w:sz w:val="23"/>
                <w:szCs w:val="23"/>
              </w:rPr>
              <w:lastRenderedPageBreak/>
              <w:t>ромски произход, най-вече в основното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В 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 които ще действат комплексно заедно с мерките на ОП НОИР.</w:t>
            </w:r>
          </w:p>
          <w:p w:rsidR="009329C9" w:rsidRDefault="00B5212B">
            <w:pPr>
              <w:tabs>
                <w:tab w:val="left" w:pos="313"/>
              </w:tabs>
              <w:spacing w:after="0" w:line="240" w:lineRule="auto"/>
              <w:ind w:left="20" w:right="20"/>
              <w:jc w:val="both"/>
              <w:rPr>
                <w:rFonts w:ascii="Times New Roman" w:hAnsi="Times New Roman" w:cs="Times New Roman"/>
                <w:b/>
                <w:bCs/>
                <w:sz w:val="23"/>
                <w:szCs w:val="23"/>
              </w:rPr>
            </w:pPr>
            <w:r>
              <w:rPr>
                <w:rFonts w:ascii="Times New Roman" w:hAnsi="Times New Roman" w:cs="Times New Roman"/>
                <w:b/>
                <w:bCs/>
                <w:sz w:val="23"/>
                <w:szCs w:val="23"/>
              </w:rPr>
              <w:t>Очакваният принос</w:t>
            </w:r>
            <w:r>
              <w:rPr>
                <w:rFonts w:ascii="Times New Roman" w:hAnsi="Times New Roman" w:cs="Times New Roman"/>
                <w:bCs/>
                <w:sz w:val="23"/>
                <w:szCs w:val="23"/>
              </w:rPr>
              <w:t>от прилагане на мерките на ОП НОИР на територията на МИГ  е осигуряване на условия за ранното интегриране в образователната система на деца и ученици отромската общност,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9329C9">
        <w:trPr>
          <w:trHeight w:val="837"/>
        </w:trPr>
        <w:tc>
          <w:tcPr>
            <w:tcW w:w="1418" w:type="dxa"/>
            <w:shd w:val="clear" w:color="auto" w:fill="BFBFBF" w:themeFill="background1" w:themeFillShade="BF"/>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lastRenderedPageBreak/>
              <w:t>Допустими получатели</w:t>
            </w:r>
          </w:p>
        </w:tc>
        <w:tc>
          <w:tcPr>
            <w:tcW w:w="9199" w:type="dxa"/>
          </w:tcPr>
          <w:p w:rsidR="009329C9" w:rsidRDefault="00B5212B">
            <w:pPr>
              <w:spacing w:after="0" w:line="240" w:lineRule="auto"/>
              <w:ind w:right="20"/>
              <w:jc w:val="both"/>
              <w:rPr>
                <w:rFonts w:ascii="Times New Roman" w:hAnsi="Times New Roman" w:cs="Times New Roman"/>
                <w:sz w:val="23"/>
                <w:szCs w:val="23"/>
              </w:rPr>
            </w:pPr>
            <w:r>
              <w:rPr>
                <w:rFonts w:ascii="Times New Roman" w:hAnsi="Times New Roman" w:cs="Times New Roman"/>
                <w:b/>
                <w:bCs/>
                <w:sz w:val="23"/>
                <w:szCs w:val="23"/>
                <w:shd w:val="clear" w:color="auto" w:fill="FFFFFF"/>
              </w:rPr>
              <w:t>Допустимите получатели</w:t>
            </w:r>
            <w:r>
              <w:rPr>
                <w:rFonts w:ascii="Times New Roman" w:hAnsi="Times New Roman" w:cs="Times New Roman"/>
                <w:sz w:val="23"/>
                <w:szCs w:val="23"/>
              </w:rPr>
              <w:t xml:space="preserve"> са: Общини; Детски градини; Училища;</w:t>
            </w:r>
            <w:bookmarkStart w:id="33" w:name="bookmark15"/>
          </w:p>
          <w:p w:rsidR="009329C9" w:rsidRDefault="00B5212B">
            <w:pPr>
              <w:spacing w:after="0" w:line="240" w:lineRule="auto"/>
              <w:ind w:right="20"/>
              <w:jc w:val="both"/>
              <w:rPr>
                <w:rFonts w:ascii="Times New Roman" w:hAnsi="Times New Roman" w:cs="Times New Roman"/>
                <w:bCs/>
                <w:sz w:val="23"/>
                <w:szCs w:val="23"/>
              </w:rPr>
            </w:pPr>
            <w:r>
              <w:rPr>
                <w:rFonts w:ascii="Times New Roman" w:hAnsi="Times New Roman" w:cs="Times New Roman"/>
                <w:b/>
                <w:bCs/>
                <w:sz w:val="23"/>
                <w:szCs w:val="23"/>
              </w:rPr>
              <w:t>Допустими партньори</w:t>
            </w:r>
            <w:r>
              <w:rPr>
                <w:rFonts w:ascii="Times New Roman" w:hAnsi="Times New Roman" w:cs="Times New Roman"/>
                <w:sz w:val="23"/>
                <w:szCs w:val="23"/>
                <w:shd w:val="clear" w:color="auto" w:fill="FFFFFF"/>
              </w:rPr>
              <w:t>:</w:t>
            </w:r>
            <w:bookmarkEnd w:id="33"/>
            <w:r>
              <w:rPr>
                <w:rFonts w:ascii="Times New Roman" w:hAnsi="Times New Roman" w:cs="Times New Roman"/>
                <w:bCs/>
                <w:sz w:val="23"/>
                <w:szCs w:val="23"/>
              </w:rPr>
              <w:t>Общини; Детски градини; Училища; Юридически лица с нестопанска цел (ЮЛНЦ) в обществена полза, съгласно ЗЮЛНЦ.</w:t>
            </w:r>
          </w:p>
          <w:p w:rsidR="009329C9" w:rsidRDefault="00B5212B">
            <w:pPr>
              <w:spacing w:after="0" w:line="240" w:lineRule="auto"/>
              <w:ind w:right="20"/>
              <w:jc w:val="both"/>
              <w:rPr>
                <w:rFonts w:ascii="Times New Roman" w:hAnsi="Times New Roman" w:cs="Times New Roman"/>
                <w:sz w:val="23"/>
                <w:szCs w:val="23"/>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269"/>
        </w:trPr>
        <w:tc>
          <w:tcPr>
            <w:tcW w:w="1418" w:type="dxa"/>
            <w:shd w:val="clear" w:color="auto" w:fill="BFBFBF" w:themeFill="background1" w:themeFillShade="BF"/>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Допустими дейности</w:t>
            </w:r>
          </w:p>
        </w:tc>
        <w:tc>
          <w:tcPr>
            <w:tcW w:w="9199" w:type="dxa"/>
          </w:tcPr>
          <w:p w:rsidR="009329C9" w:rsidRDefault="00B5212B">
            <w:pPr>
              <w:tabs>
                <w:tab w:val="left" w:pos="317"/>
              </w:tabs>
              <w:spacing w:after="0" w:line="240" w:lineRule="auto"/>
              <w:ind w:right="20"/>
              <w:jc w:val="both"/>
              <w:rPr>
                <w:rFonts w:ascii="Times New Roman" w:hAnsi="Times New Roman" w:cs="Times New Roman"/>
                <w:sz w:val="23"/>
                <w:szCs w:val="23"/>
              </w:rPr>
            </w:pPr>
            <w:r>
              <w:rPr>
                <w:rFonts w:ascii="Times New Roman" w:hAnsi="Times New Roman" w:cs="Times New Roman"/>
                <w:b/>
                <w:sz w:val="23"/>
                <w:szCs w:val="23"/>
              </w:rPr>
              <w:t>1.Дейности за подобряване на достъпа и повишаване на обхвата на децата от маргинализирани групи в системата на предучилищното образование</w:t>
            </w:r>
            <w:r>
              <w:rPr>
                <w:rFonts w:ascii="Times New Roman" w:hAnsi="Times New Roman" w:cs="Times New Roman"/>
                <w:sz w:val="23"/>
                <w:szCs w:val="23"/>
              </w:rPr>
              <w:t xml:space="preserve"> (детски градини и училища, в които има подготвителни групи): -</w:t>
            </w:r>
            <w:r>
              <w:rPr>
                <w:rFonts w:ascii="Times New Roman" w:hAnsi="Times New Roman" w:cs="Times New Roman"/>
                <w:sz w:val="23"/>
                <w:szCs w:val="23"/>
                <w:u w:val="single"/>
              </w:rPr>
              <w:t>привличане и включване</w:t>
            </w:r>
            <w:r>
              <w:rPr>
                <w:rFonts w:ascii="Times New Roman" w:hAnsi="Times New Roman" w:cs="Times New Roman"/>
                <w:sz w:val="23"/>
                <w:szCs w:val="23"/>
              </w:rPr>
              <w:t xml:space="preserve"> на допълнителни педагогически специалисти и помощник-учители за работа с деца от тези групи; -</w:t>
            </w:r>
            <w:r>
              <w:rPr>
                <w:rFonts w:ascii="Times New Roman" w:hAnsi="Times New Roman" w:cs="Times New Roman"/>
                <w:sz w:val="23"/>
                <w:szCs w:val="23"/>
                <w:u w:val="single"/>
              </w:rPr>
              <w:t>допълнително обучение</w:t>
            </w:r>
            <w:r>
              <w:rPr>
                <w:rFonts w:ascii="Times New Roman" w:hAnsi="Times New Roman" w:cs="Times New Roman"/>
                <w:sz w:val="23"/>
                <w:szCs w:val="23"/>
              </w:rPr>
              <w:t xml:space="preserve"> по български език за деца, за които българският език не е майчин; -</w:t>
            </w:r>
            <w:r>
              <w:rPr>
                <w:rFonts w:ascii="Times New Roman" w:hAnsi="Times New Roman" w:cs="Times New Roman"/>
                <w:sz w:val="23"/>
                <w:szCs w:val="23"/>
                <w:u w:val="single"/>
              </w:rPr>
              <w:t>взаимодействие с родители</w:t>
            </w:r>
            <w:r>
              <w:rPr>
                <w:rFonts w:ascii="Times New Roman" w:hAnsi="Times New Roman" w:cs="Times New Roman"/>
                <w:sz w:val="23"/>
                <w:szCs w:val="23"/>
              </w:rPr>
              <w:t>; -</w:t>
            </w:r>
            <w:r>
              <w:rPr>
                <w:rFonts w:ascii="Times New Roman" w:hAnsi="Times New Roman" w:cs="Times New Roman"/>
                <w:sz w:val="23"/>
                <w:szCs w:val="23"/>
                <w:u w:val="single"/>
              </w:rPr>
              <w:t>допълнителна работа</w:t>
            </w:r>
            <w:r>
              <w:rPr>
                <w:rFonts w:ascii="Times New Roman" w:hAnsi="Times New Roman" w:cs="Times New Roman"/>
                <w:sz w:val="23"/>
                <w:szCs w:val="23"/>
              </w:rPr>
              <w:t xml:space="preserve"> на педагогическите специалисти с деца от маргинализирани групи (вкл. работа през летните месеци); -</w:t>
            </w:r>
            <w:r>
              <w:rPr>
                <w:rFonts w:ascii="Times New Roman" w:hAnsi="Times New Roman" w:cs="Times New Roman"/>
                <w:sz w:val="23"/>
                <w:szCs w:val="23"/>
                <w:u w:val="single"/>
              </w:rPr>
              <w:t>подобряване на материално-битовите условия</w:t>
            </w:r>
            <w:r>
              <w:rPr>
                <w:rFonts w:ascii="Times New Roman" w:hAnsi="Times New Roman" w:cs="Times New Roman"/>
                <w:sz w:val="23"/>
                <w:szCs w:val="23"/>
              </w:rPr>
              <w:t xml:space="preserve"> в образователните институции, вкл. съвременно ИКТ оборудване и електронни образователни продукти; - </w:t>
            </w:r>
            <w:r>
              <w:rPr>
                <w:rFonts w:ascii="Times New Roman" w:hAnsi="Times New Roman" w:cs="Times New Roman"/>
                <w:sz w:val="23"/>
                <w:szCs w:val="23"/>
                <w:u w:val="single"/>
              </w:rPr>
              <w:t>осигуряване на транспорт и хранене</w:t>
            </w:r>
            <w:r>
              <w:rPr>
                <w:rFonts w:ascii="Times New Roman" w:hAnsi="Times New Roman" w:cs="Times New Roman"/>
                <w:sz w:val="23"/>
                <w:szCs w:val="23"/>
              </w:rPr>
              <w:t>, когато това не се финансира от държавния или общинския бюджет; -</w:t>
            </w:r>
            <w:r>
              <w:rPr>
                <w:rFonts w:ascii="Times New Roman" w:hAnsi="Times New Roman" w:cs="Times New Roman"/>
                <w:sz w:val="23"/>
                <w:szCs w:val="23"/>
                <w:u w:val="single"/>
              </w:rPr>
              <w:t>други дейности</w:t>
            </w:r>
            <w:r>
              <w:rPr>
                <w:rFonts w:ascii="Times New Roman" w:hAnsi="Times New Roman" w:cs="Times New Roman"/>
                <w:sz w:val="23"/>
                <w:szCs w:val="23"/>
              </w:rPr>
              <w:t>, включени в общински програми със сходен характер.</w:t>
            </w:r>
            <w:r>
              <w:rPr>
                <w:rFonts w:ascii="Times New Roman" w:hAnsi="Times New Roman" w:cs="Times New Roman"/>
                <w:sz w:val="23"/>
                <w:szCs w:val="23"/>
              </w:rPr>
              <w:br w:type="page"/>
            </w:r>
            <w:r>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Pr>
                <w:rFonts w:ascii="Times New Roman" w:hAnsi="Times New Roman" w:cs="Times New Roman"/>
                <w:sz w:val="23"/>
                <w:szCs w:val="23"/>
              </w:rPr>
              <w:t>-</w:t>
            </w:r>
            <w:r>
              <w:rPr>
                <w:rFonts w:ascii="Times New Roman" w:hAnsi="Times New Roman" w:cs="Times New Roman"/>
                <w:sz w:val="23"/>
                <w:szCs w:val="23"/>
                <w:u w:val="single"/>
              </w:rPr>
              <w:t xml:space="preserve"> осигуряване на</w:t>
            </w:r>
            <w:r>
              <w:rPr>
                <w:rFonts w:ascii="Times New Roman" w:hAnsi="Times New Roman" w:cs="Times New Roman"/>
                <w:sz w:val="23"/>
                <w:szCs w:val="23"/>
              </w:rPr>
              <w:t xml:space="preserve"> ученическо общежитие;  - </w:t>
            </w:r>
            <w:r>
              <w:rPr>
                <w:rFonts w:ascii="Times New Roman" w:hAnsi="Times New Roman" w:cs="Times New Roman"/>
                <w:sz w:val="23"/>
                <w:szCs w:val="23"/>
                <w:u w:val="single"/>
              </w:rPr>
              <w:t>осигуряване на хранене</w:t>
            </w:r>
            <w:r>
              <w:rPr>
                <w:rFonts w:ascii="Times New Roman" w:hAnsi="Times New Roman" w:cs="Times New Roman"/>
                <w:sz w:val="23"/>
                <w:szCs w:val="23"/>
              </w:rPr>
              <w:t xml:space="preserve"> в професионалните гимназии; - </w:t>
            </w:r>
            <w:r>
              <w:rPr>
                <w:rFonts w:ascii="Times New Roman" w:hAnsi="Times New Roman" w:cs="Times New Roman"/>
                <w:sz w:val="23"/>
                <w:szCs w:val="23"/>
                <w:u w:val="single"/>
              </w:rPr>
              <w:t>осигуряване на транспорт</w:t>
            </w:r>
            <w:r>
              <w:rPr>
                <w:rFonts w:ascii="Times New Roman" w:hAnsi="Times New Roman" w:cs="Times New Roman"/>
                <w:sz w:val="23"/>
                <w:szCs w:val="23"/>
              </w:rPr>
              <w:t xml:space="preserve"> от местоживеене до професионалното училище и обратно; - </w:t>
            </w:r>
            <w:r>
              <w:rPr>
                <w:rFonts w:ascii="Times New Roman" w:hAnsi="Times New Roman" w:cs="Times New Roman"/>
                <w:sz w:val="23"/>
                <w:szCs w:val="23"/>
                <w:u w:val="single"/>
              </w:rPr>
              <w:t>закупуване на</w:t>
            </w:r>
            <w:r>
              <w:rPr>
                <w:rFonts w:ascii="Times New Roman" w:hAnsi="Times New Roman" w:cs="Times New Roman"/>
                <w:sz w:val="23"/>
                <w:szCs w:val="23"/>
              </w:rPr>
              <w:t xml:space="preserve"> учебници, учебни пособия и материали; - </w:t>
            </w:r>
            <w:r>
              <w:rPr>
                <w:rFonts w:ascii="Times New Roman" w:hAnsi="Times New Roman" w:cs="Times New Roman"/>
                <w:sz w:val="23"/>
                <w:szCs w:val="23"/>
                <w:u w:val="single"/>
              </w:rPr>
              <w:t>допълнително обучение</w:t>
            </w:r>
            <w:r>
              <w:rPr>
                <w:rFonts w:ascii="Times New Roman" w:hAnsi="Times New Roman" w:cs="Times New Roman"/>
                <w:sz w:val="23"/>
                <w:szCs w:val="23"/>
              </w:rPr>
              <w:t xml:space="preserve"> за ученици с образователни затруднения; - </w:t>
            </w:r>
            <w:r>
              <w:rPr>
                <w:rFonts w:ascii="Times New Roman" w:hAnsi="Times New Roman" w:cs="Times New Roman"/>
                <w:sz w:val="23"/>
                <w:szCs w:val="23"/>
                <w:u w:val="single"/>
              </w:rPr>
              <w:t>подобряване на материално-битовите условия</w:t>
            </w:r>
            <w:r>
              <w:rPr>
                <w:rFonts w:ascii="Times New Roman" w:hAnsi="Times New Roman" w:cs="Times New Roman"/>
                <w:sz w:val="23"/>
                <w:szCs w:val="23"/>
              </w:rPr>
              <w:t xml:space="preserve"> в професионалните гимназии и ученическите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Pr>
                <w:rFonts w:ascii="Times New Roman" w:hAnsi="Times New Roman" w:cs="Times New Roman"/>
                <w:sz w:val="23"/>
                <w:szCs w:val="23"/>
                <w:u w:val="single"/>
              </w:rPr>
              <w:t>- допълнителна работа</w:t>
            </w:r>
            <w:r>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Pr>
                <w:rFonts w:ascii="Times New Roman" w:hAnsi="Times New Roman" w:cs="Times New Roman"/>
                <w:sz w:val="23"/>
                <w:szCs w:val="23"/>
                <w:u w:val="single"/>
              </w:rPr>
              <w:t>провеждане на информационни кампании</w:t>
            </w:r>
            <w:r>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Pr>
                <w:rFonts w:ascii="Times New Roman" w:hAnsi="Times New Roman" w:cs="Times New Roman"/>
                <w:b/>
                <w:sz w:val="23"/>
                <w:szCs w:val="23"/>
              </w:rPr>
              <w:t>3. Дейности за подобряване на достъпа до училищно образование и намаляване на процента на учениците от маргинализирани групи, преждевременно напуснали системата:</w:t>
            </w:r>
            <w:r>
              <w:rPr>
                <w:rFonts w:ascii="Times New Roman" w:hAnsi="Times New Roman" w:cs="Times New Roman"/>
                <w:sz w:val="23"/>
                <w:szCs w:val="23"/>
                <w:u w:val="single"/>
              </w:rPr>
              <w:t>- допълнително обучение</w:t>
            </w:r>
            <w:r>
              <w:rPr>
                <w:rFonts w:ascii="Times New Roman" w:hAnsi="Times New Roman" w:cs="Times New Roman"/>
                <w:sz w:val="23"/>
                <w:szCs w:val="23"/>
              </w:rPr>
              <w:t xml:space="preserve"> за преодоляване на образователни трудности; -</w:t>
            </w:r>
            <w:r>
              <w:rPr>
                <w:rFonts w:ascii="Times New Roman" w:hAnsi="Times New Roman" w:cs="Times New Roman"/>
                <w:sz w:val="23"/>
                <w:szCs w:val="23"/>
                <w:u w:val="single"/>
              </w:rPr>
              <w:t>привличане и включване</w:t>
            </w:r>
            <w:r>
              <w:rPr>
                <w:rFonts w:ascii="Times New Roman" w:hAnsi="Times New Roman" w:cs="Times New Roman"/>
                <w:sz w:val="23"/>
                <w:szCs w:val="23"/>
              </w:rPr>
              <w:t xml:space="preserve"> на допълнителни педагогически специалисти и помощник-учители за работа с ученици от тези групи; -</w:t>
            </w:r>
            <w:r>
              <w:rPr>
                <w:rFonts w:ascii="Times New Roman" w:hAnsi="Times New Roman" w:cs="Times New Roman"/>
                <w:sz w:val="23"/>
                <w:szCs w:val="23"/>
                <w:u w:val="single"/>
              </w:rPr>
              <w:t>взаимодействие с родители</w:t>
            </w:r>
            <w:r>
              <w:rPr>
                <w:rFonts w:ascii="Times New Roman" w:hAnsi="Times New Roman" w:cs="Times New Roman"/>
                <w:sz w:val="23"/>
                <w:szCs w:val="23"/>
              </w:rPr>
              <w:t xml:space="preserve">; </w:t>
            </w:r>
            <w:r>
              <w:rPr>
                <w:rFonts w:ascii="Times New Roman" w:hAnsi="Times New Roman" w:cs="Times New Roman"/>
                <w:sz w:val="23"/>
                <w:szCs w:val="23"/>
                <w:u w:val="single"/>
              </w:rPr>
              <w:t>-допълнителна работа</w:t>
            </w:r>
            <w:r>
              <w:rPr>
                <w:rFonts w:ascii="Times New Roman" w:hAnsi="Times New Roman" w:cs="Times New Roman"/>
                <w:sz w:val="23"/>
                <w:szCs w:val="23"/>
              </w:rPr>
              <w:t xml:space="preserve"> на педагогическите специалисти с ученици от маргинализираните групи (вкл. за обхващането им в системата на образованието и за предотвратяване на преждевременното им напускане); -</w:t>
            </w:r>
            <w:r>
              <w:rPr>
                <w:rFonts w:ascii="Times New Roman" w:hAnsi="Times New Roman" w:cs="Times New Roman"/>
                <w:sz w:val="23"/>
                <w:szCs w:val="23"/>
                <w:u w:val="single"/>
              </w:rPr>
              <w:t>хранене в училищата</w:t>
            </w:r>
            <w:r>
              <w:rPr>
                <w:rFonts w:ascii="Times New Roman" w:hAnsi="Times New Roman" w:cs="Times New Roman"/>
                <w:sz w:val="23"/>
                <w:szCs w:val="23"/>
              </w:rPr>
              <w:t xml:space="preserve">, </w:t>
            </w:r>
            <w:r>
              <w:rPr>
                <w:rFonts w:ascii="Times New Roman" w:hAnsi="Times New Roman" w:cs="Times New Roman"/>
                <w:sz w:val="23"/>
                <w:szCs w:val="23"/>
                <w:u w:val="single"/>
              </w:rPr>
              <w:t xml:space="preserve">- закупуване на </w:t>
            </w:r>
            <w:r>
              <w:rPr>
                <w:rFonts w:ascii="Times New Roman" w:hAnsi="Times New Roman" w:cs="Times New Roman"/>
                <w:sz w:val="23"/>
                <w:szCs w:val="23"/>
              </w:rPr>
              <w:t xml:space="preserve">учебни материали и пособия; - </w:t>
            </w:r>
            <w:r>
              <w:rPr>
                <w:rFonts w:ascii="Times New Roman" w:hAnsi="Times New Roman" w:cs="Times New Roman"/>
                <w:sz w:val="23"/>
                <w:szCs w:val="23"/>
                <w:u w:val="single"/>
              </w:rPr>
              <w:t xml:space="preserve">подобряване на материално-битовите условия </w:t>
            </w:r>
            <w:r>
              <w:rPr>
                <w:rFonts w:ascii="Times New Roman" w:hAnsi="Times New Roman" w:cs="Times New Roman"/>
                <w:sz w:val="23"/>
                <w:szCs w:val="23"/>
              </w:rPr>
              <w:t xml:space="preserve">в училищата, включително закупуване на ИКТ; </w:t>
            </w:r>
            <w:r>
              <w:rPr>
                <w:rFonts w:ascii="Times New Roman" w:hAnsi="Times New Roman" w:cs="Times New Roman"/>
                <w:sz w:val="23"/>
                <w:szCs w:val="23"/>
                <w:u w:val="single"/>
              </w:rPr>
              <w:t>- други дейности</w:t>
            </w:r>
            <w:r>
              <w:rPr>
                <w:rFonts w:ascii="Times New Roman" w:hAnsi="Times New Roman" w:cs="Times New Roman"/>
                <w:sz w:val="23"/>
                <w:szCs w:val="23"/>
              </w:rPr>
              <w:t>, включени в общински програми със сходен характер.</w:t>
            </w:r>
            <w:r>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w:t>
            </w:r>
            <w:r>
              <w:rPr>
                <w:rFonts w:ascii="Times New Roman" w:hAnsi="Times New Roman" w:cs="Times New Roman"/>
                <w:sz w:val="23"/>
                <w:szCs w:val="23"/>
              </w:rPr>
              <w:lastRenderedPageBreak/>
              <w:t xml:space="preserve">чрез допълнителни образователни услуги (вкл. през летните месеци). </w:t>
            </w:r>
          </w:p>
        </w:tc>
      </w:tr>
      <w:tr w:rsidR="009329C9">
        <w:trPr>
          <w:trHeight w:val="838"/>
        </w:trPr>
        <w:tc>
          <w:tcPr>
            <w:tcW w:w="1418" w:type="dxa"/>
            <w:shd w:val="clear" w:color="auto" w:fill="BFBFBF" w:themeFill="background1" w:themeFillShade="BF"/>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lastRenderedPageBreak/>
              <w:t>Допустими разходи</w:t>
            </w:r>
          </w:p>
        </w:tc>
        <w:tc>
          <w:tcPr>
            <w:tcW w:w="9199" w:type="dxa"/>
          </w:tcPr>
          <w:p w:rsidR="009329C9" w:rsidRDefault="00B5212B">
            <w:pPr>
              <w:tabs>
                <w:tab w:val="left" w:pos="317"/>
              </w:tabs>
              <w:spacing w:after="0" w:line="240" w:lineRule="auto"/>
              <w:ind w:right="20"/>
              <w:jc w:val="both"/>
              <w:rPr>
                <w:rFonts w:ascii="Times New Roman" w:hAnsi="Times New Roman" w:cs="Times New Roman"/>
                <w:sz w:val="23"/>
                <w:szCs w:val="23"/>
              </w:rPr>
            </w:pPr>
            <w:r>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9329C9" w:rsidRDefault="00B5212B">
            <w:pPr>
              <w:tabs>
                <w:tab w:val="left" w:pos="317"/>
              </w:tabs>
              <w:spacing w:after="0" w:line="240" w:lineRule="auto"/>
              <w:ind w:right="20"/>
              <w:jc w:val="both"/>
              <w:rPr>
                <w:rFonts w:ascii="Times New Roman" w:hAnsi="Times New Roman" w:cs="Times New Roman"/>
                <w:b/>
                <w:sz w:val="23"/>
                <w:szCs w:val="23"/>
              </w:rPr>
            </w:pPr>
            <w:r>
              <w:rPr>
                <w:rFonts w:ascii="Times New Roman" w:hAnsi="Times New Roman" w:cs="Times New Roman"/>
                <w:sz w:val="23"/>
                <w:szCs w:val="23"/>
              </w:rPr>
              <w:t xml:space="preserve">Съгласно чл. 57, ал. 1 от ЗУСЕСИФ разходите се считат за допустими, </w:t>
            </w:r>
            <w:r>
              <w:rPr>
                <w:rFonts w:ascii="Times New Roman" w:hAnsi="Times New Roman" w:cs="Times New Roman"/>
                <w:b/>
                <w:sz w:val="23"/>
                <w:szCs w:val="23"/>
              </w:rPr>
              <w:t>ако са налице едновременно следните условия: 1.Разходите са за дейности,</w:t>
            </w:r>
            <w:r>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Pr>
                <w:rFonts w:ascii="Times New Roman" w:hAnsi="Times New Roman" w:cs="Times New Roman"/>
                <w:sz w:val="23"/>
                <w:szCs w:val="23"/>
              </w:rPr>
              <w:br w:type="page"/>
            </w:r>
            <w:r>
              <w:rPr>
                <w:rFonts w:ascii="Times New Roman" w:hAnsi="Times New Roman" w:cs="Times New Roman"/>
                <w:b/>
                <w:sz w:val="23"/>
                <w:szCs w:val="23"/>
              </w:rPr>
              <w:t>2.Разходите попадат във включени</w:t>
            </w:r>
            <w:r>
              <w:rPr>
                <w:rFonts w:ascii="Times New Roman" w:hAnsi="Times New Roman" w:cs="Times New Roman"/>
                <w:sz w:val="23"/>
                <w:szCs w:val="23"/>
              </w:rPr>
              <w:t xml:space="preserve"> в документите по чл. 26, ал. 1 от ЗУСЕСИФ и в одобрения проект категории разходи;</w:t>
            </w:r>
            <w:r>
              <w:rPr>
                <w:rFonts w:ascii="Times New Roman" w:hAnsi="Times New Roman" w:cs="Times New Roman"/>
                <w:b/>
                <w:sz w:val="23"/>
                <w:szCs w:val="23"/>
              </w:rPr>
              <w:t>3.Разходите са за реално</w:t>
            </w:r>
            <w:r>
              <w:rPr>
                <w:rFonts w:ascii="Times New Roman" w:hAnsi="Times New Roman" w:cs="Times New Roman"/>
                <w:sz w:val="23"/>
                <w:szCs w:val="23"/>
              </w:rPr>
              <w:t xml:space="preserve"> доставени продукти, извършени услуги;</w:t>
            </w:r>
            <w:r>
              <w:rPr>
                <w:rFonts w:ascii="Times New Roman" w:hAnsi="Times New Roman" w:cs="Times New Roman"/>
                <w:b/>
                <w:sz w:val="23"/>
                <w:szCs w:val="23"/>
              </w:rPr>
              <w:t>4.Разходите са извършени законосъобразно</w:t>
            </w:r>
            <w:r>
              <w:rPr>
                <w:rFonts w:ascii="Times New Roman" w:hAnsi="Times New Roman" w:cs="Times New Roman"/>
                <w:sz w:val="23"/>
                <w:szCs w:val="23"/>
              </w:rPr>
              <w:t xml:space="preserve"> съгласно приложимото право на ЕС и българското законодателство;</w:t>
            </w:r>
            <w:r>
              <w:rPr>
                <w:rFonts w:ascii="Times New Roman" w:hAnsi="Times New Roman" w:cs="Times New Roman"/>
                <w:b/>
                <w:sz w:val="23"/>
                <w:szCs w:val="23"/>
              </w:rPr>
              <w:t>5.Разходите са отразени в счетоводната документация</w:t>
            </w:r>
            <w:r>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Pr>
                <w:rFonts w:ascii="Times New Roman" w:hAnsi="Times New Roman" w:cs="Times New Roman"/>
                <w:b/>
                <w:sz w:val="23"/>
                <w:szCs w:val="23"/>
              </w:rPr>
              <w:t>6.За направените разходи е налична одитна следа</w:t>
            </w:r>
            <w:r>
              <w:rPr>
                <w:rFonts w:ascii="Times New Roman" w:hAnsi="Times New Roman" w:cs="Times New Roman"/>
                <w:sz w:val="23"/>
                <w:szCs w:val="23"/>
              </w:rPr>
              <w:t xml:space="preserve">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w:t>
            </w:r>
            <w:r>
              <w:rPr>
                <w:rFonts w:ascii="Times New Roman" w:hAnsi="Times New Roman" w:cs="Times New Roman"/>
                <w:sz w:val="23"/>
                <w:szCs w:val="23"/>
                <w:lang w:val="en-US"/>
              </w:rPr>
              <w:t xml:space="preserve">L </w:t>
            </w:r>
            <w:r>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Pr>
                <w:rFonts w:ascii="Times New Roman" w:hAnsi="Times New Roman" w:cs="Times New Roman"/>
                <w:b/>
                <w:sz w:val="23"/>
                <w:szCs w:val="23"/>
              </w:rPr>
              <w:t>7.Разходите са съобразени</w:t>
            </w:r>
            <w:r>
              <w:rPr>
                <w:rFonts w:ascii="Times New Roman" w:hAnsi="Times New Roman" w:cs="Times New Roman"/>
                <w:sz w:val="23"/>
                <w:szCs w:val="23"/>
              </w:rPr>
              <w:t xml:space="preserve"> с приложимите правила за предоставяне на държавни помощи, ако е приложимо.</w:t>
            </w:r>
          </w:p>
          <w:p w:rsidR="009329C9" w:rsidRDefault="00B5212B">
            <w:pPr>
              <w:tabs>
                <w:tab w:val="left" w:pos="317"/>
              </w:tabs>
              <w:spacing w:after="0" w:line="240" w:lineRule="auto"/>
              <w:ind w:right="20"/>
              <w:jc w:val="both"/>
              <w:rPr>
                <w:rFonts w:ascii="Times New Roman" w:hAnsi="Times New Roman" w:cs="Times New Roman"/>
                <w:b/>
                <w:bCs/>
                <w:sz w:val="23"/>
                <w:szCs w:val="23"/>
              </w:rPr>
            </w:pPr>
            <w:bookmarkStart w:id="34" w:name="bookmark18"/>
            <w:r>
              <w:rPr>
                <w:rFonts w:ascii="Times New Roman" w:hAnsi="Times New Roman" w:cs="Times New Roman"/>
                <w:b/>
                <w:bCs/>
                <w:sz w:val="23"/>
                <w:szCs w:val="23"/>
              </w:rPr>
              <w:t>I. Разходи за персонал/участници в изпълнение на дейностите</w:t>
            </w:r>
            <w:bookmarkEnd w:id="34"/>
            <w:r>
              <w:rPr>
                <w:rFonts w:ascii="Times New Roman" w:hAnsi="Times New Roman" w:cs="Times New Roman"/>
                <w:b/>
                <w:bCs/>
                <w:sz w:val="23"/>
                <w:szCs w:val="23"/>
              </w:rPr>
              <w:t xml:space="preserve">: </w:t>
            </w:r>
            <w:r>
              <w:rPr>
                <w:rFonts w:ascii="Times New Roman" w:hAnsi="Times New Roman" w:cs="Times New Roman"/>
                <w:sz w:val="23"/>
                <w:szCs w:val="23"/>
              </w:rPr>
              <w:t>1. Разходи за възнаграждения (вкл. допълнително материално стимулиране), както и осигурителните и здравноосигурителните вноски за сметка на осигурителя съгласно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на персонала, включен в точка 1. 2.2. Разходи за „дневни“ на персонала, включен в точка 1. 2.3. Разходи за „квартирни“ на персонала, включен в точка 1. 2.4. Пътни разходи за лицата от допустимите целеви групи. (извън случаите, в които е предоставен организиран транспорт).</w:t>
            </w:r>
          </w:p>
          <w:p w:rsidR="009329C9" w:rsidRDefault="00B5212B">
            <w:pPr>
              <w:numPr>
                <w:ilvl w:val="1"/>
                <w:numId w:val="22"/>
              </w:numPr>
              <w:tabs>
                <w:tab w:val="left" w:pos="317"/>
              </w:tabs>
              <w:spacing w:after="0" w:line="240" w:lineRule="auto"/>
              <w:ind w:right="20"/>
              <w:jc w:val="both"/>
              <w:rPr>
                <w:rFonts w:ascii="Times New Roman" w:hAnsi="Times New Roman" w:cs="Times New Roman"/>
                <w:b/>
                <w:bCs/>
                <w:sz w:val="23"/>
                <w:szCs w:val="23"/>
              </w:rPr>
            </w:pPr>
            <w:bookmarkStart w:id="35" w:name="bookmark19"/>
            <w:r>
              <w:rPr>
                <w:rFonts w:ascii="Times New Roman" w:hAnsi="Times New Roman" w:cs="Times New Roman"/>
                <w:b/>
                <w:bCs/>
                <w:sz w:val="23"/>
                <w:szCs w:val="23"/>
              </w:rPr>
              <w:t>Разходи за материали</w:t>
            </w:r>
            <w:bookmarkEnd w:id="35"/>
            <w:r>
              <w:rPr>
                <w:rFonts w:ascii="Times New Roman" w:hAnsi="Times New Roman" w:cs="Times New Roman"/>
                <w:b/>
                <w:bCs/>
                <w:sz w:val="23"/>
                <w:szCs w:val="23"/>
              </w:rPr>
              <w:t xml:space="preserve">: </w:t>
            </w:r>
            <w:r>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9329C9" w:rsidRDefault="00B5212B">
            <w:pPr>
              <w:numPr>
                <w:ilvl w:val="1"/>
                <w:numId w:val="22"/>
              </w:numPr>
              <w:tabs>
                <w:tab w:val="left" w:pos="0"/>
                <w:tab w:val="left" w:pos="33"/>
                <w:tab w:val="left" w:pos="367"/>
              </w:tabs>
              <w:spacing w:after="0" w:line="240" w:lineRule="auto"/>
              <w:ind w:left="33" w:right="20" w:firstLine="1"/>
              <w:jc w:val="both"/>
              <w:rPr>
                <w:rFonts w:ascii="Times New Roman" w:hAnsi="Times New Roman" w:cs="Times New Roman"/>
                <w:b/>
                <w:bCs/>
                <w:sz w:val="23"/>
                <w:szCs w:val="23"/>
              </w:rPr>
            </w:pPr>
            <w:bookmarkStart w:id="36" w:name="bookmark20"/>
            <w:r>
              <w:rPr>
                <w:rFonts w:ascii="Times New Roman" w:hAnsi="Times New Roman" w:cs="Times New Roman"/>
                <w:b/>
                <w:bCs/>
                <w:sz w:val="23"/>
                <w:szCs w:val="23"/>
              </w:rPr>
              <w:t>Разходи за услуги</w:t>
            </w:r>
            <w:bookmarkEnd w:id="36"/>
            <w:r>
              <w:rPr>
                <w:rFonts w:ascii="Times New Roman" w:hAnsi="Times New Roman" w:cs="Times New Roman"/>
                <w:b/>
                <w:bCs/>
                <w:sz w:val="23"/>
                <w:szCs w:val="23"/>
              </w:rPr>
              <w:t xml:space="preserve">: </w:t>
            </w:r>
            <w:r>
              <w:rPr>
                <w:rFonts w:ascii="Times New Roman" w:hAnsi="Times New Roman" w:cs="Times New Roman"/>
                <w:bCs/>
                <w:sz w:val="23"/>
                <w:szCs w:val="23"/>
              </w:rPr>
              <w:t>1.</w:t>
            </w:r>
            <w:r>
              <w:rPr>
                <w:rFonts w:ascii="Times New Roman" w:hAnsi="Times New Roman" w:cs="Times New Roman"/>
                <w:sz w:val="23"/>
                <w:szCs w:val="23"/>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9329C9" w:rsidRDefault="00B5212B">
            <w:pPr>
              <w:numPr>
                <w:ilvl w:val="1"/>
                <w:numId w:val="22"/>
              </w:numPr>
              <w:tabs>
                <w:tab w:val="left" w:pos="317"/>
              </w:tabs>
              <w:spacing w:after="0" w:line="240" w:lineRule="auto"/>
              <w:ind w:right="20"/>
              <w:jc w:val="both"/>
              <w:rPr>
                <w:rFonts w:ascii="Times New Roman" w:hAnsi="Times New Roman" w:cs="Times New Roman"/>
                <w:b/>
                <w:bCs/>
                <w:sz w:val="23"/>
                <w:szCs w:val="23"/>
              </w:rPr>
            </w:pPr>
            <w:r>
              <w:rPr>
                <w:rFonts w:ascii="Times New Roman" w:hAnsi="Times New Roman" w:cs="Times New Roman"/>
                <w:b/>
                <w:bCs/>
                <w:sz w:val="23"/>
                <w:szCs w:val="23"/>
              </w:rPr>
              <w:t>Разходи за провеждане и участие в мероприятия</w:t>
            </w:r>
            <w:r>
              <w:rPr>
                <w:rFonts w:ascii="Times New Roman" w:hAnsi="Times New Roman" w:cs="Times New Roman"/>
                <w:bCs/>
                <w:sz w:val="23"/>
                <w:szCs w:val="23"/>
              </w:rPr>
              <w:t>1.</w:t>
            </w:r>
            <w:r>
              <w:rPr>
                <w:rFonts w:ascii="Times New Roman" w:hAnsi="Times New Roman" w:cs="Times New Roman"/>
                <w:sz w:val="23"/>
                <w:szCs w:val="23"/>
              </w:rPr>
              <w:t>Разходи за организиране и про</w:t>
            </w:r>
            <w:r>
              <w:rPr>
                <w:rFonts w:ascii="Times New Roman" w:hAnsi="Times New Roman" w:cs="Times New Roman"/>
                <w:sz w:val="23"/>
                <w:szCs w:val="23"/>
              </w:rPr>
              <w:lastRenderedPageBreak/>
              <w:t>веждане на мероприятия за лицата от целевите групи.</w:t>
            </w:r>
            <w:r>
              <w:rPr>
                <w:rFonts w:ascii="Times New Roman" w:hAnsi="Times New Roman" w:cs="Times New Roman"/>
                <w:b/>
                <w:bCs/>
                <w:sz w:val="23"/>
                <w:szCs w:val="23"/>
              </w:rPr>
              <w:t xml:space="preserve">; </w:t>
            </w:r>
            <w:r>
              <w:rPr>
                <w:rFonts w:ascii="Times New Roman" w:hAnsi="Times New Roman" w:cs="Times New Roman"/>
                <w:bCs/>
                <w:sz w:val="23"/>
                <w:szCs w:val="23"/>
              </w:rPr>
              <w:t>2.</w:t>
            </w:r>
            <w:r>
              <w:rPr>
                <w:rFonts w:ascii="Times New Roman" w:hAnsi="Times New Roman" w:cs="Times New Roman"/>
                <w:sz w:val="23"/>
                <w:szCs w:val="23"/>
              </w:rPr>
              <w:t>Разходи за участие в мероприятия на лицата от целевите групи.</w:t>
            </w:r>
          </w:p>
          <w:p w:rsidR="009329C9" w:rsidRDefault="00B5212B">
            <w:pPr>
              <w:numPr>
                <w:ilvl w:val="1"/>
                <w:numId w:val="22"/>
              </w:numPr>
              <w:tabs>
                <w:tab w:val="left" w:pos="317"/>
              </w:tabs>
              <w:spacing w:after="0" w:line="240" w:lineRule="auto"/>
              <w:ind w:right="20"/>
              <w:jc w:val="both"/>
              <w:rPr>
                <w:rFonts w:ascii="Times New Roman" w:hAnsi="Times New Roman" w:cs="Times New Roman"/>
                <w:b/>
                <w:bCs/>
                <w:sz w:val="23"/>
                <w:szCs w:val="23"/>
              </w:rPr>
            </w:pPr>
            <w:r>
              <w:rPr>
                <w:rFonts w:ascii="Times New Roman" w:hAnsi="Times New Roman" w:cs="Times New Roman"/>
                <w:b/>
                <w:bCs/>
                <w:sz w:val="23"/>
                <w:szCs w:val="23"/>
              </w:rPr>
              <w:t>Непреки разходи</w:t>
            </w:r>
            <w:r>
              <w:rPr>
                <w:rFonts w:ascii="Times New Roman" w:hAnsi="Times New Roman" w:cs="Times New Roman"/>
                <w:sz w:val="23"/>
                <w:szCs w:val="23"/>
              </w:rPr>
              <w:t>1. Разходи за възнаграждения на екипа за организация и управление на проекта, вкл.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9329C9">
        <w:trPr>
          <w:trHeight w:val="838"/>
        </w:trPr>
        <w:tc>
          <w:tcPr>
            <w:tcW w:w="1418" w:type="dxa"/>
            <w:shd w:val="clear" w:color="auto" w:fill="BFBFBF" w:themeFill="background1" w:themeFillShade="BF"/>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lastRenderedPageBreak/>
              <w:t>Недопустими</w:t>
            </w:r>
          </w:p>
          <w:p w:rsidR="009329C9" w:rsidRDefault="00B5212B">
            <w:pPr>
              <w:spacing w:after="0" w:line="240" w:lineRule="auto"/>
              <w:jc w:val="center"/>
              <w:rPr>
                <w:rFonts w:ascii="Times New Roman" w:hAnsi="Times New Roman" w:cs="Times New Roman"/>
                <w:b/>
              </w:rPr>
            </w:pPr>
            <w:r>
              <w:rPr>
                <w:rFonts w:ascii="Times New Roman" w:hAnsi="Times New Roman" w:cs="Times New Roman"/>
                <w:b/>
                <w:sz w:val="23"/>
                <w:szCs w:val="23"/>
              </w:rPr>
              <w:t>разходи</w:t>
            </w:r>
          </w:p>
        </w:tc>
        <w:tc>
          <w:tcPr>
            <w:tcW w:w="9199" w:type="dxa"/>
          </w:tcPr>
          <w:p w:rsidR="009329C9" w:rsidRDefault="00B5212B">
            <w:pPr>
              <w:tabs>
                <w:tab w:val="left" w:pos="317"/>
              </w:tabs>
              <w:spacing w:after="0" w:line="240" w:lineRule="auto"/>
              <w:ind w:right="20"/>
              <w:jc w:val="both"/>
              <w:rPr>
                <w:rFonts w:ascii="Times New Roman" w:hAnsi="Times New Roman" w:cs="Times New Roman"/>
                <w:sz w:val="23"/>
                <w:szCs w:val="23"/>
              </w:rPr>
            </w:pPr>
            <w:r>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активи - нови и втора употреба;-разходите за гаранции, осигурени от банка или от друга финансова институция;- лихви по дългове, с изключение на свързаните с безвъзмездна финансова помощ, предоставени под формата на лихвени субсидии или субсидии за гаранционни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9329C9" w:rsidRDefault="00B5212B">
            <w:pPr>
              <w:tabs>
                <w:tab w:val="left" w:pos="317"/>
              </w:tabs>
              <w:spacing w:after="0" w:line="240" w:lineRule="auto"/>
              <w:ind w:right="20"/>
              <w:jc w:val="both"/>
              <w:rPr>
                <w:rFonts w:ascii="Times New Roman" w:hAnsi="Times New Roman" w:cs="Times New Roman"/>
                <w:sz w:val="23"/>
                <w:szCs w:val="23"/>
              </w:rPr>
            </w:pPr>
            <w:r>
              <w:rPr>
                <w:rFonts w:ascii="Times New Roman" w:hAnsi="Times New Roman" w:cs="Times New Roman"/>
                <w:sz w:val="23"/>
                <w:szCs w:val="23"/>
              </w:rPr>
              <w:t>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9329C9">
        <w:trPr>
          <w:trHeight w:val="838"/>
        </w:trPr>
        <w:tc>
          <w:tcPr>
            <w:tcW w:w="1418" w:type="dxa"/>
            <w:shd w:val="clear" w:color="auto" w:fill="BFBFBF" w:themeFill="background1" w:themeFillShade="BF"/>
            <w:vAlign w:val="center"/>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Бюджет на мярката</w:t>
            </w:r>
          </w:p>
        </w:tc>
        <w:tc>
          <w:tcPr>
            <w:tcW w:w="9199" w:type="dxa"/>
          </w:tcPr>
          <w:p w:rsidR="009329C9" w:rsidRDefault="00B5212B">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Минимален размер на допустимите разходи за един проект – 50 000,00 лв.</w:t>
            </w:r>
          </w:p>
          <w:p w:rsidR="009329C9" w:rsidRDefault="00B5212B">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Максимален  размер на допустимите разходи за един проект –150 000 евро(293 370,00 лв).</w:t>
            </w:r>
          </w:p>
          <w:p w:rsidR="009329C9" w:rsidRDefault="00B5212B">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Интензитет на финансовата помощ – 100%;</w:t>
            </w:r>
          </w:p>
          <w:p w:rsidR="009329C9" w:rsidRDefault="00B5212B" w:rsidP="00B5212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Общ бюджет на мярката – 340 424,29евро ( 665 812,04 лв.)</w:t>
            </w:r>
          </w:p>
        </w:tc>
      </w:tr>
      <w:tr w:rsidR="009329C9">
        <w:trPr>
          <w:trHeight w:val="569"/>
        </w:trPr>
        <w:tc>
          <w:tcPr>
            <w:tcW w:w="1418" w:type="dxa"/>
            <w:shd w:val="clear" w:color="auto" w:fill="BFBFBF" w:themeFill="background1" w:themeFillShade="BF"/>
            <w:vAlign w:val="center"/>
          </w:tcPr>
          <w:p w:rsidR="009329C9" w:rsidRDefault="00B5212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Времетраене на </w:t>
            </w:r>
          </w:p>
          <w:p w:rsidR="009329C9" w:rsidRDefault="00B5212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проектите</w:t>
            </w:r>
          </w:p>
        </w:tc>
        <w:tc>
          <w:tcPr>
            <w:tcW w:w="9199" w:type="dxa"/>
          </w:tcPr>
          <w:p w:rsidR="009329C9" w:rsidRDefault="00B5212B">
            <w:pPr>
              <w:tabs>
                <w:tab w:val="left" w:pos="199"/>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Периодът на реализиране на стратегията за местно развитие е до 30.06.2023г.</w:t>
            </w:r>
          </w:p>
          <w:p w:rsidR="009329C9" w:rsidRDefault="00B5212B">
            <w:pPr>
              <w:tabs>
                <w:tab w:val="left" w:pos="199"/>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Продължителност на един проект – не повече от три години;</w:t>
            </w:r>
          </w:p>
        </w:tc>
      </w:tr>
      <w:tr w:rsidR="009329C9">
        <w:trPr>
          <w:trHeight w:val="569"/>
        </w:trPr>
        <w:tc>
          <w:tcPr>
            <w:tcW w:w="1418" w:type="dxa"/>
            <w:shd w:val="clear" w:color="auto" w:fill="BFBFBF" w:themeFill="background1" w:themeFillShade="BF"/>
            <w:vAlign w:val="center"/>
          </w:tcPr>
          <w:p w:rsidR="009329C9" w:rsidRDefault="00B5212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Общи критерии за избор на проекти</w:t>
            </w:r>
          </w:p>
        </w:tc>
        <w:tc>
          <w:tcPr>
            <w:tcW w:w="9199" w:type="dxa"/>
          </w:tcPr>
          <w:p w:rsidR="009329C9" w:rsidRDefault="00B5212B">
            <w:pPr>
              <w:tabs>
                <w:tab w:val="left" w:pos="199"/>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Съобразно </w:t>
            </w:r>
            <w:r>
              <w:rPr>
                <w:rFonts w:ascii="Times New Roman" w:hAnsi="Times New Roman" w:cs="Times New Roman"/>
                <w:b/>
                <w:sz w:val="23"/>
                <w:szCs w:val="23"/>
              </w:rPr>
              <w:t>методологията, предоставена от УО на програмата</w:t>
            </w:r>
            <w:r>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9329C9" w:rsidRDefault="00B5212B">
            <w:pPr>
              <w:tabs>
                <w:tab w:val="left" w:pos="199"/>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МИГразписва допълнителни специфични критерии при избора на проекти, които отразяват местната идентичност на идентифицираните нужди и избрани приоритети.</w:t>
            </w:r>
          </w:p>
        </w:tc>
      </w:tr>
      <w:tr w:rsidR="009329C9">
        <w:trPr>
          <w:trHeight w:val="951"/>
        </w:trPr>
        <w:tc>
          <w:tcPr>
            <w:tcW w:w="1418" w:type="dxa"/>
            <w:shd w:val="clear" w:color="auto" w:fill="BFBFBF" w:themeFill="background1" w:themeFillShade="BF"/>
            <w:vAlign w:val="center"/>
          </w:tcPr>
          <w:p w:rsidR="009329C9" w:rsidRDefault="00B5212B">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Допълнителни критерии за избор на проекти</w:t>
            </w:r>
          </w:p>
        </w:tc>
        <w:tc>
          <w:tcPr>
            <w:tcW w:w="9199" w:type="dxa"/>
          </w:tcPr>
          <w:tbl>
            <w:tblPr>
              <w:tblStyle w:val="TableGrid5"/>
              <w:tblW w:w="0" w:type="auto"/>
              <w:tblLayout w:type="fixed"/>
              <w:tblLook w:val="04A0" w:firstRow="1" w:lastRow="0" w:firstColumn="1" w:lastColumn="0" w:noHBand="0" w:noVBand="1"/>
            </w:tblPr>
            <w:tblGrid>
              <w:gridCol w:w="7966"/>
              <w:gridCol w:w="993"/>
            </w:tblGrid>
            <w:tr w:rsidR="009329C9">
              <w:trPr>
                <w:trHeight w:val="310"/>
              </w:trPr>
              <w:tc>
                <w:tcPr>
                  <w:tcW w:w="7966" w:type="dxa"/>
                </w:tcPr>
                <w:p w:rsidR="009329C9" w:rsidRDefault="00B5212B">
                  <w:pP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ТЕХНИЧЕСКА ОЦЕНКА И КЛАСИРАНЕ</w:t>
                  </w:r>
                </w:p>
              </w:tc>
              <w:tc>
                <w:tcPr>
                  <w:tcW w:w="993" w:type="dxa"/>
                </w:tcPr>
                <w:p w:rsidR="009329C9" w:rsidRDefault="00B5212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ТОЧКИ</w:t>
                  </w:r>
                </w:p>
              </w:tc>
            </w:tr>
            <w:tr w:rsidR="009329C9">
              <w:tc>
                <w:tcPr>
                  <w:tcW w:w="7966" w:type="dxa"/>
                </w:tcPr>
                <w:p w:rsidR="009329C9" w:rsidRDefault="00B5212B">
                  <w:pPr>
                    <w:keepNext/>
                    <w:keepLines/>
                    <w:tabs>
                      <w:tab w:val="left" w:pos="167"/>
                    </w:tab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w:t>
                  </w:r>
                </w:p>
              </w:tc>
            </w:tr>
            <w:tr w:rsidR="009329C9">
              <w:tc>
                <w:tcPr>
                  <w:tcW w:w="7966" w:type="dxa"/>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r>
            <w:tr w:rsidR="009329C9">
              <w:tc>
                <w:tcPr>
                  <w:tcW w:w="7966" w:type="dxa"/>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3.При планиране на проекта и извършено проучване сред представителите на целевите групи</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w:t>
                  </w:r>
                </w:p>
              </w:tc>
            </w:tr>
            <w:tr w:rsidR="009329C9">
              <w:tc>
                <w:tcPr>
                  <w:tcW w:w="7966" w:type="dxa"/>
                </w:tcPr>
                <w:p w:rsidR="009329C9" w:rsidRDefault="00B5212B">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2 населени места – 5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3 населени места – 10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4 и повече – 20 т.</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w:t>
                  </w:r>
                </w:p>
              </w:tc>
            </w:tr>
            <w:tr w:rsidR="009329C9">
              <w:tc>
                <w:tcPr>
                  <w:tcW w:w="7966" w:type="dxa"/>
                </w:tcPr>
                <w:p w:rsidR="009329C9" w:rsidRDefault="00B5212B">
                  <w:pPr>
                    <w:autoSpaceDE w:val="0"/>
                    <w:autoSpaceDN w:val="0"/>
                    <w:adjustRightInd w:val="0"/>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5.Проекти, осигуряващи общо подобряване и модернизация на образователната  среда</w:t>
                  </w:r>
                </w:p>
              </w:tc>
              <w:tc>
                <w:tcPr>
                  <w:tcW w:w="993" w:type="dxa"/>
                </w:tcPr>
                <w:p w:rsidR="009329C9" w:rsidRDefault="00B5212B">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r>
            <w:tr w:rsidR="009329C9">
              <w:tc>
                <w:tcPr>
                  <w:tcW w:w="7966" w:type="dxa"/>
                </w:tcPr>
                <w:p w:rsidR="009329C9" w:rsidRDefault="00B5212B">
                  <w:pPr>
                    <w:spacing w:after="0" w:line="240" w:lineRule="auto"/>
                    <w:contextualSpacing/>
                    <w:rPr>
                      <w:rFonts w:ascii="Times New Roman" w:hAnsi="Times New Roman" w:cs="Times New Roman"/>
                      <w:sz w:val="23"/>
                      <w:szCs w:val="23"/>
                    </w:rPr>
                  </w:pPr>
                  <w:r>
                    <w:rPr>
                      <w:rFonts w:ascii="Times New Roman" w:hAnsi="Times New Roman" w:cs="Times New Roman"/>
                      <w:sz w:val="23"/>
                      <w:szCs w:val="23"/>
                    </w:rPr>
                    <w:t xml:space="preserve">6.Проектът е свързан с други цели и приоритети от ОП НОИР, които не са включени в конкретната мярка или с други проекти по ОПНОИР, реализирани на територията като подобряване на околната среда за уязвими групи, подобряване на семейната и жилищна среда, вкл. за децата и др. </w:t>
                  </w:r>
                </w:p>
              </w:tc>
              <w:tc>
                <w:tcPr>
                  <w:tcW w:w="993" w:type="dxa"/>
                </w:tcPr>
                <w:p w:rsidR="009329C9" w:rsidRDefault="00B5212B">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p>
              </w:tc>
            </w:tr>
            <w:tr w:rsidR="009329C9">
              <w:tc>
                <w:tcPr>
                  <w:tcW w:w="7966" w:type="dxa"/>
                </w:tcPr>
                <w:p w:rsidR="009329C9" w:rsidRDefault="00B5212B">
                  <w:pPr>
                    <w:spacing w:after="0" w:line="24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ОБЩО</w:t>
                  </w:r>
                </w:p>
              </w:tc>
              <w:tc>
                <w:tcPr>
                  <w:tcW w:w="993" w:type="dxa"/>
                </w:tcPr>
                <w:p w:rsidR="009329C9" w:rsidRDefault="00B5212B">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100</w:t>
                  </w:r>
                </w:p>
              </w:tc>
            </w:tr>
          </w:tbl>
          <w:p w:rsidR="009329C9" w:rsidRDefault="009329C9">
            <w:pPr>
              <w:tabs>
                <w:tab w:val="left" w:pos="238"/>
              </w:tabs>
              <w:spacing w:after="386" w:line="413" w:lineRule="exact"/>
              <w:ind w:left="60" w:right="20"/>
              <w:jc w:val="both"/>
              <w:rPr>
                <w:rFonts w:ascii="Times New Roman" w:hAnsi="Times New Roman" w:cs="Times New Roman"/>
                <w:sz w:val="23"/>
                <w:szCs w:val="23"/>
              </w:rPr>
            </w:pPr>
          </w:p>
        </w:tc>
      </w:tr>
    </w:tbl>
    <w:p w:rsidR="009329C9" w:rsidRDefault="00B5212B">
      <w:pPr>
        <w:pStyle w:val="2"/>
        <w:rPr>
          <w:rFonts w:ascii="Times New Roman" w:eastAsia="Times New Roman" w:hAnsi="Times New Roman" w:cs="Times New Roman"/>
          <w:b/>
          <w:color w:val="auto"/>
          <w:sz w:val="24"/>
          <w:szCs w:val="24"/>
          <w:lang w:eastAsia="en-US"/>
        </w:rPr>
      </w:pPr>
      <w:r>
        <w:rPr>
          <w:rFonts w:ascii="Times New Roman" w:hAnsi="Times New Roman" w:cs="Times New Roman"/>
          <w:b/>
          <w:i/>
          <w:iCs/>
          <w:color w:val="auto"/>
          <w:sz w:val="24"/>
          <w:szCs w:val="24"/>
        </w:rPr>
        <w:lastRenderedPageBreak/>
        <w:t>ОПРЧР (ЕСФ</w:t>
      </w:r>
      <w:r>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9329C9">
        <w:tc>
          <w:tcPr>
            <w:tcW w:w="1560" w:type="dxa"/>
            <w:shd w:val="clear" w:color="auto" w:fill="D9D9D9" w:themeFill="background1" w:themeFillShade="D9"/>
          </w:tcPr>
          <w:p w:rsidR="009329C9" w:rsidRDefault="009329C9">
            <w:pPr>
              <w:pStyle w:val="3"/>
              <w:spacing w:line="240" w:lineRule="auto"/>
              <w:outlineLvl w:val="2"/>
              <w:rPr>
                <w:rFonts w:ascii="Times New Roman" w:hAnsi="Times New Roman" w:cs="Times New Roman"/>
                <w:sz w:val="24"/>
                <w:szCs w:val="24"/>
              </w:rPr>
            </w:pPr>
          </w:p>
        </w:tc>
        <w:tc>
          <w:tcPr>
            <w:tcW w:w="8789" w:type="dxa"/>
            <w:gridSpan w:val="3"/>
            <w:shd w:val="clear" w:color="auto" w:fill="D9D9D9" w:themeFill="background1" w:themeFillShade="D9"/>
          </w:tcPr>
          <w:p w:rsidR="009329C9" w:rsidRDefault="00B5212B">
            <w:pPr>
              <w:pStyle w:val="3"/>
              <w:spacing w:line="240" w:lineRule="auto"/>
              <w:jc w:val="center"/>
              <w:outlineLvl w:val="2"/>
              <w:rPr>
                <w:rFonts w:ascii="Times New Roman" w:hAnsi="Times New Roman" w:cs="Times New Roman"/>
                <w:sz w:val="24"/>
                <w:szCs w:val="24"/>
              </w:rPr>
            </w:pPr>
            <w:r>
              <w:rPr>
                <w:rFonts w:ascii="Times New Roman" w:hAnsi="Times New Roman" w:cs="Times New Roman"/>
                <w:color w:val="auto"/>
                <w:sz w:val="24"/>
                <w:szCs w:val="24"/>
              </w:rPr>
              <w:t>Общи условия по стратегията за ВОМР от ОПРЧР</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Съответствие - </w:t>
            </w:r>
            <w:r>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 xml:space="preserve">избраните мерки трябва да отговарят на нуждите и потребностите на целевите групи; </w:t>
            </w:r>
            <w:r>
              <w:rPr>
                <w:rFonts w:ascii="Times New Roman" w:hAnsi="Times New Roman" w:cs="Times New Roman"/>
                <w:b/>
                <w:color w:val="000000"/>
                <w:sz w:val="24"/>
                <w:szCs w:val="24"/>
              </w:rPr>
              <w:t xml:space="preserve">Спазване на принципите за добро финансово управление - </w:t>
            </w:r>
            <w:r>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Координация, допълняемост и синергия - </w:t>
            </w:r>
            <w:r>
              <w:rPr>
                <w:rFonts w:ascii="Times New Roman" w:hAnsi="Times New Roman" w:cs="Times New Roman"/>
                <w:color w:val="000000"/>
                <w:sz w:val="24"/>
                <w:szCs w:val="24"/>
              </w:rPr>
              <w:t xml:space="preserve">да бъде търсена максимална координация, допълняемост и синергия с други програми и инструменти; </w:t>
            </w:r>
            <w:r>
              <w:rPr>
                <w:rFonts w:ascii="Times New Roman" w:hAnsi="Times New Roman" w:cs="Times New Roman"/>
                <w:b/>
                <w:color w:val="000000"/>
                <w:sz w:val="24"/>
                <w:szCs w:val="24"/>
              </w:rPr>
              <w:t xml:space="preserve">Устойчивост на инвестициите - </w:t>
            </w:r>
            <w:r>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;Избягване на двойно финансиране</w:t>
            </w:r>
            <w:r>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 </w:t>
            </w:r>
            <w:r>
              <w:rPr>
                <w:rFonts w:ascii="Times New Roman" w:hAnsi="Times New Roman" w:cs="Times New Roman"/>
                <w:b/>
                <w:color w:val="000000"/>
                <w:sz w:val="24"/>
                <w:szCs w:val="24"/>
              </w:rPr>
              <w:t xml:space="preserve">Съответствие с хоризонталните принципи </w:t>
            </w:r>
            <w:r>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Недопустимост на дейности</w:t>
            </w:r>
            <w:r>
              <w:rPr>
                <w:rFonts w:ascii="Times New Roman" w:hAnsi="Times New Roman" w:cs="Times New Roman"/>
                <w:color w:val="000000"/>
                <w:sz w:val="24"/>
                <w:szCs w:val="24"/>
              </w:rPr>
              <w:t>;</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t>Допустими разходи</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разходите са извършени законосъобразно съгласно приложимото право на Европейския съюз и българското законодателство;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 разходите са съобразени с приложимите правила за предоставяне на държавни помощи.</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t xml:space="preserve">Недопустими </w:t>
            </w:r>
          </w:p>
          <w:p w:rsidR="009329C9" w:rsidRDefault="00B5212B">
            <w:pPr>
              <w:spacing w:after="0" w:line="240" w:lineRule="auto"/>
              <w:jc w:val="center"/>
              <w:rPr>
                <w:rFonts w:ascii="Times New Roman" w:hAnsi="Times New Roman" w:cs="Times New Roman"/>
                <w:b/>
              </w:rPr>
            </w:pPr>
            <w:r>
              <w:rPr>
                <w:rFonts w:ascii="Times New Roman" w:hAnsi="Times New Roman" w:cs="Times New Roman"/>
                <w:b/>
              </w:rPr>
              <w:t>разходи</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глоби, финансови санкции и разходи за разрешаване на спорове;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данък върху добавената стойност, освен когато не е възстановим;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закупуване на дълготрайни материални активи - втора употреба;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9329C9" w:rsidRDefault="00B5212B">
            <w:pPr>
              <w:spacing w:after="0" w:line="240" w:lineRule="auto"/>
              <w:rPr>
                <w:rFonts w:ascii="Times New Roman" w:hAnsi="Times New Roman" w:cs="Times New Roman"/>
                <w:b/>
              </w:rPr>
            </w:pPr>
            <w:r>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9329C9">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lastRenderedPageBreak/>
              <w:t>Режим на минимална помощ</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9329C9">
        <w:trPr>
          <w:trHeight w:val="1984"/>
        </w:trPr>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t>Демаркация</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 спазват правилата на ОПРЧР за</w:t>
            </w:r>
            <w:r>
              <w:rPr>
                <w:rFonts w:ascii="Times New Roman" w:hAnsi="Times New Roman" w:cs="Times New Roman"/>
                <w:b/>
                <w:bCs/>
                <w:color w:val="000000"/>
                <w:sz w:val="24"/>
                <w:szCs w:val="24"/>
              </w:rPr>
              <w:t xml:space="preserve">Демаркация, </w:t>
            </w:r>
            <w:r>
              <w:rPr>
                <w:rFonts w:ascii="Times New Roman" w:hAnsi="Times New Roman" w:cs="Times New Roman"/>
                <w:bCs/>
                <w:color w:val="000000"/>
                <w:sz w:val="24"/>
                <w:szCs w:val="24"/>
              </w:rPr>
              <w:t xml:space="preserve">описани в т. </w:t>
            </w:r>
            <w:r>
              <w:rPr>
                <w:rFonts w:ascii="Times New Roman" w:hAnsi="Times New Roman" w:cs="Times New Roman"/>
                <w:bCs/>
                <w:color w:val="000000"/>
                <w:sz w:val="24"/>
                <w:szCs w:val="24"/>
                <w:lang w:val="en-US"/>
              </w:rPr>
              <w:t>VI</w:t>
            </w:r>
            <w:r>
              <w:rPr>
                <w:rFonts w:ascii="Times New Roman" w:hAnsi="Times New Roman" w:cs="Times New Roman"/>
                <w:bCs/>
                <w:color w:val="000000"/>
                <w:sz w:val="24"/>
                <w:szCs w:val="24"/>
              </w:rPr>
              <w:t xml:space="preserve"> от „Указания от УО на ОП РЧР за прилагането на подхода ВОМР с ресурси от ОП РЧР“(актуализирани за втори прием на стратегии за ВОМР).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Раздел 8 на ОП РЧР 2014 – 2020.</w:t>
            </w:r>
          </w:p>
        </w:tc>
      </w:tr>
      <w:tr w:rsidR="009329C9">
        <w:trPr>
          <w:trHeight w:val="1984"/>
        </w:trPr>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rPr>
            </w:pPr>
            <w:r>
              <w:rPr>
                <w:rFonts w:ascii="Times New Roman" w:hAnsi="Times New Roman" w:cs="Times New Roman"/>
                <w:b/>
              </w:rPr>
              <w:t xml:space="preserve">Общи </w:t>
            </w:r>
          </w:p>
          <w:p w:rsidR="009329C9" w:rsidRDefault="00B5212B">
            <w:pPr>
              <w:spacing w:after="0" w:line="240" w:lineRule="auto"/>
              <w:jc w:val="center"/>
              <w:rPr>
                <w:rFonts w:ascii="Times New Roman" w:hAnsi="Times New Roman" w:cs="Times New Roman"/>
                <w:b/>
              </w:rPr>
            </w:pPr>
            <w:r>
              <w:rPr>
                <w:rFonts w:ascii="Times New Roman" w:hAnsi="Times New Roman" w:cs="Times New Roman"/>
                <w:b/>
              </w:rPr>
              <w:t xml:space="preserve">изисквания към </w:t>
            </w:r>
          </w:p>
          <w:p w:rsidR="009329C9" w:rsidRDefault="00B5212B">
            <w:pPr>
              <w:spacing w:after="0" w:line="240" w:lineRule="auto"/>
              <w:jc w:val="center"/>
              <w:rPr>
                <w:rFonts w:ascii="Times New Roman" w:hAnsi="Times New Roman" w:cs="Times New Roman"/>
                <w:b/>
              </w:rPr>
            </w:pPr>
            <w:r>
              <w:rPr>
                <w:rFonts w:ascii="Times New Roman" w:hAnsi="Times New Roman" w:cs="Times New Roman"/>
                <w:b/>
              </w:rPr>
              <w:t>кандидатите</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-Да отговаря на изискванията за предоставяне на минимални помощи, в съответствие с приложимото законодателство;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Когато кандидатът е община и тя кандидатства с партньор/и или партньор по проекта е община, тя трябва да представи Решение на Общинския съвет за подаване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ЗМСМА; </w:t>
            </w:r>
          </w:p>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9329C9" w:rsidRDefault="00B5212B">
            <w:pPr>
              <w:autoSpaceDE w:val="0"/>
              <w:autoSpaceDN w:val="0"/>
              <w:adjustRightInd w:val="0"/>
              <w:spacing w:after="0" w:line="240" w:lineRule="auto"/>
              <w:rPr>
                <w:rFonts w:ascii="Times New Roman" w:hAnsi="Times New Roman" w:cs="Times New Roman"/>
                <w:i/>
                <w:color w:val="000000"/>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1263"/>
        </w:trPr>
        <w:tc>
          <w:tcPr>
            <w:tcW w:w="1560" w:type="dxa"/>
            <w:shd w:val="clear" w:color="auto" w:fill="D9D9D9" w:themeFill="background1" w:themeFillShade="D9"/>
          </w:tcPr>
          <w:p w:rsidR="009329C9" w:rsidRDefault="00B521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Общи </w:t>
            </w:r>
          </w:p>
          <w:p w:rsidR="009329C9" w:rsidRDefault="00B521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за избор на проекти по ОП РЧР</w:t>
            </w:r>
          </w:p>
        </w:tc>
        <w:tc>
          <w:tcPr>
            <w:tcW w:w="8789" w:type="dxa"/>
            <w:gridSpan w:val="3"/>
          </w:tcPr>
          <w:p w:rsidR="009329C9" w:rsidRDefault="00B5212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Обща информация:</w:t>
            </w:r>
          </w:p>
          <w:p w:rsidR="009329C9" w:rsidRDefault="00B5212B">
            <w:pPr>
              <w:autoSpaceDE w:val="0"/>
              <w:autoSpaceDN w:val="0"/>
              <w:adjustRightInd w:val="0"/>
              <w:spacing w:after="0" w:line="240" w:lineRule="auto"/>
              <w:rPr>
                <w:rFonts w:ascii="Times New Roman" w:hAnsi="Times New Roman" w:cs="Times New Roman"/>
                <w:bCs/>
                <w:color w:val="000000"/>
                <w:sz w:val="23"/>
                <w:szCs w:val="23"/>
              </w:rPr>
            </w:pPr>
            <w:r>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Pr>
                <w:rFonts w:ascii="Times New Roman" w:hAnsi="Times New Roman" w:cs="Times New Roman"/>
                <w:bCs/>
                <w:color w:val="000000"/>
                <w:sz w:val="23"/>
                <w:szCs w:val="23"/>
              </w:rPr>
              <w:t>.</w:t>
            </w:r>
          </w:p>
          <w:p w:rsidR="009329C9" w:rsidRDefault="00B5212B">
            <w:pPr>
              <w:autoSpaceDE w:val="0"/>
              <w:autoSpaceDN w:val="0"/>
              <w:adjustRightInd w:val="0"/>
              <w:spacing w:after="0" w:line="240" w:lineRule="auto"/>
              <w:rPr>
                <w:rFonts w:ascii="Times New Roman" w:hAnsi="Times New Roman" w:cs="Times New Roman"/>
                <w:bCs/>
                <w:color w:val="000000"/>
                <w:sz w:val="23"/>
                <w:szCs w:val="23"/>
              </w:rPr>
            </w:pPr>
            <w:r>
              <w:rPr>
                <w:rFonts w:ascii="Times New Roman" w:hAnsi="Times New Roman" w:cs="Times New Roman"/>
                <w:bCs/>
                <w:color w:val="000000"/>
                <w:sz w:val="23"/>
                <w:szCs w:val="23"/>
              </w:rPr>
              <w:t>Ако общият брой получени точки за всеки от разделите 1 и 2 в долната таблица е по-</w:t>
            </w:r>
            <w:r>
              <w:rPr>
                <w:rFonts w:ascii="Times New Roman" w:hAnsi="Times New Roman" w:cs="Times New Roman"/>
                <w:bCs/>
                <w:color w:val="000000"/>
                <w:sz w:val="23"/>
                <w:szCs w:val="23"/>
              </w:rPr>
              <w:lastRenderedPageBreak/>
              <w:t xml:space="preserve">малко от 20 % от максималния брой точки за съответния раздел, проектното предложение се предлага за отхвърляне. </w:t>
            </w:r>
          </w:p>
          <w:p w:rsidR="009329C9" w:rsidRDefault="00B5212B">
            <w:pPr>
              <w:autoSpaceDE w:val="0"/>
              <w:autoSpaceDN w:val="0"/>
              <w:adjustRightInd w:val="0"/>
              <w:spacing w:after="0" w:line="240" w:lineRule="auto"/>
              <w:rPr>
                <w:rFonts w:ascii="Times New Roman" w:hAnsi="Times New Roman" w:cs="Times New Roman"/>
                <w:bCs/>
                <w:color w:val="000000"/>
                <w:sz w:val="23"/>
                <w:szCs w:val="23"/>
              </w:rPr>
            </w:pPr>
            <w:r>
              <w:rPr>
                <w:rFonts w:ascii="Times New Roman" w:hAnsi="Times New Roman" w:cs="Times New Roman"/>
                <w:bCs/>
                <w:color w:val="000000"/>
                <w:sz w:val="23"/>
                <w:szCs w:val="23"/>
              </w:rPr>
              <w:t xml:space="preserve">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отхвърляне. </w:t>
            </w:r>
          </w:p>
          <w:p w:rsidR="009329C9" w:rsidRDefault="00B5212B">
            <w:pPr>
              <w:autoSpaceDE w:val="0"/>
              <w:autoSpaceDN w:val="0"/>
              <w:adjustRightInd w:val="0"/>
              <w:spacing w:after="0" w:line="240" w:lineRule="auto"/>
              <w:rPr>
                <w:rFonts w:ascii="Times New Roman" w:hAnsi="Times New Roman" w:cs="Times New Roman"/>
                <w:bCs/>
                <w:sz w:val="23"/>
                <w:szCs w:val="23"/>
              </w:rPr>
            </w:pPr>
            <w:r>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9329C9" w:rsidRDefault="00B5212B">
            <w:pPr>
              <w:autoSpaceDE w:val="0"/>
              <w:autoSpaceDN w:val="0"/>
              <w:adjustRightInd w:val="0"/>
              <w:spacing w:after="0" w:line="240" w:lineRule="auto"/>
              <w:rPr>
                <w:rFonts w:ascii="Times New Roman" w:hAnsi="Times New Roman" w:cs="Times New Roman"/>
                <w:b/>
                <w:bCs/>
                <w:color w:val="FF0000"/>
                <w:sz w:val="23"/>
                <w:szCs w:val="23"/>
              </w:rPr>
            </w:pPr>
            <w:r>
              <w:rPr>
                <w:rFonts w:ascii="Times New Roman" w:hAnsi="Times New Roman" w:cs="Times New Roman"/>
                <w:b/>
                <w:bCs/>
                <w:color w:val="000000"/>
                <w:sz w:val="23"/>
                <w:szCs w:val="23"/>
              </w:rPr>
              <w:t>Критерии:</w:t>
            </w: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Раздел </w:t>
            </w:r>
          </w:p>
        </w:tc>
        <w:tc>
          <w:tcPr>
            <w:tcW w:w="1275"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Максимален брой </w:t>
            </w:r>
          </w:p>
          <w:p w:rsidR="009329C9" w:rsidRDefault="00B5212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точки</w:t>
            </w:r>
          </w:p>
        </w:tc>
      </w:tr>
      <w:tr w:rsidR="009329C9">
        <w:trPr>
          <w:trHeight w:val="354"/>
        </w:trPr>
        <w:tc>
          <w:tcPr>
            <w:tcW w:w="7514" w:type="dxa"/>
            <w:gridSpan w:val="2"/>
            <w:shd w:val="clear" w:color="auto" w:fill="A6A6A6" w:themeFill="background1" w:themeFillShade="A6"/>
          </w:tcPr>
          <w:tbl>
            <w:tblPr>
              <w:tblW w:w="0" w:type="auto"/>
              <w:tblLayout w:type="fixed"/>
              <w:tblLook w:val="04A0" w:firstRow="1" w:lastRow="0" w:firstColumn="1" w:lastColumn="0" w:noHBand="0" w:noVBand="1"/>
            </w:tblPr>
            <w:tblGrid>
              <w:gridCol w:w="3153"/>
            </w:tblGrid>
            <w:tr w:rsidR="009329C9">
              <w:trPr>
                <w:trHeight w:val="107"/>
              </w:trPr>
              <w:tc>
                <w:tcPr>
                  <w:tcW w:w="3153" w:type="dxa"/>
                </w:tcPr>
                <w:p w:rsidR="009329C9" w:rsidRDefault="00B5212B">
                  <w:pPr>
                    <w:autoSpaceDE w:val="0"/>
                    <w:autoSpaceDN w:val="0"/>
                    <w:adjustRightInd w:val="0"/>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1. Оперативен капацитет</w:t>
                  </w:r>
                </w:p>
              </w:tc>
            </w:tr>
          </w:tbl>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1.2. Опит на законния представител на кандидата (управител, прокурист и др.)/собственика на капитала на организацията </w:t>
            </w:r>
          </w:p>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p>
        </w:tc>
      </w:tr>
      <w:tr w:rsidR="009329C9">
        <w:trPr>
          <w:trHeight w:val="933"/>
        </w:trPr>
        <w:tc>
          <w:tcPr>
            <w:tcW w:w="7514" w:type="dxa"/>
            <w:gridSpan w:val="2"/>
            <w:shd w:val="clear" w:color="auto" w:fill="D9D9D9" w:themeFill="background1" w:themeFillShade="D9"/>
          </w:tcPr>
          <w:p w:rsidR="009329C9" w:rsidRDefault="00B5212B">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2.1 Описание и обосновка на целите на проекта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30</w:t>
            </w: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r>
      <w:tr w:rsidR="009329C9">
        <w:trPr>
          <w:trHeight w:val="354"/>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ОБЩО:</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70</w:t>
            </w:r>
          </w:p>
        </w:tc>
      </w:tr>
      <w:tr w:rsidR="009329C9">
        <w:trPr>
          <w:trHeight w:val="354"/>
        </w:trPr>
        <w:tc>
          <w:tcPr>
            <w:tcW w:w="7514" w:type="dxa"/>
            <w:gridSpan w:val="2"/>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9329C9" w:rsidRDefault="009329C9">
            <w:pPr>
              <w:autoSpaceDE w:val="0"/>
              <w:autoSpaceDN w:val="0"/>
              <w:adjustRightInd w:val="0"/>
              <w:spacing w:after="0" w:line="240" w:lineRule="auto"/>
              <w:rPr>
                <w:rFonts w:ascii="Times New Roman" w:hAnsi="Times New Roman" w:cs="Times New Roman"/>
                <w:bCs/>
                <w:color w:val="000000"/>
                <w:sz w:val="24"/>
                <w:szCs w:val="24"/>
              </w:rPr>
            </w:pPr>
          </w:p>
        </w:tc>
        <w:tc>
          <w:tcPr>
            <w:tcW w:w="1560" w:type="dxa"/>
            <w:shd w:val="clear" w:color="auto" w:fill="A6A6A6" w:themeFill="background1" w:themeFillShade="A6"/>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30</w:t>
            </w:r>
          </w:p>
        </w:tc>
      </w:tr>
      <w:tr w:rsidR="009329C9">
        <w:trPr>
          <w:trHeight w:val="278"/>
        </w:trPr>
        <w:tc>
          <w:tcPr>
            <w:tcW w:w="7514" w:type="dxa"/>
            <w:gridSpan w:val="2"/>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Общо:</w:t>
            </w:r>
          </w:p>
        </w:tc>
        <w:tc>
          <w:tcPr>
            <w:tcW w:w="1275" w:type="dxa"/>
            <w:shd w:val="clear" w:color="auto" w:fill="D9D9D9" w:themeFill="background1" w:themeFillShade="D9"/>
          </w:tcPr>
          <w:p w:rsidR="009329C9" w:rsidRDefault="009329C9">
            <w:pPr>
              <w:autoSpaceDE w:val="0"/>
              <w:autoSpaceDN w:val="0"/>
              <w:adjustRightInd w:val="0"/>
              <w:spacing w:after="0" w:line="240" w:lineRule="auto"/>
              <w:rPr>
                <w:rFonts w:ascii="Times New Roman" w:hAnsi="Times New Roman" w:cs="Times New Roman"/>
                <w:b/>
                <w:bCs/>
                <w:color w:val="000000"/>
                <w:sz w:val="24"/>
                <w:szCs w:val="24"/>
              </w:rPr>
            </w:pPr>
          </w:p>
        </w:tc>
        <w:tc>
          <w:tcPr>
            <w:tcW w:w="1560" w:type="dxa"/>
            <w:shd w:val="clear" w:color="auto" w:fill="D9D9D9" w:themeFill="background1" w:themeFillShade="D9"/>
          </w:tcPr>
          <w:p w:rsidR="009329C9" w:rsidRDefault="00B5212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r>
    </w:tbl>
    <w:p w:rsidR="009329C9" w:rsidRDefault="009329C9"/>
    <w:p w:rsidR="009329C9" w:rsidRDefault="009329C9"/>
    <w:p w:rsidR="009329C9" w:rsidRDefault="009329C9"/>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9329C9">
        <w:trPr>
          <w:trHeight w:val="169"/>
        </w:trPr>
        <w:tc>
          <w:tcPr>
            <w:tcW w:w="10349" w:type="dxa"/>
            <w:gridSpan w:val="2"/>
            <w:shd w:val="clear" w:color="auto" w:fill="D9D9D9" w:themeFill="background1" w:themeFillShade="D9"/>
          </w:tcPr>
          <w:p w:rsidR="009329C9" w:rsidRDefault="00B5212B">
            <w:pPr>
              <w:pStyle w:val="3"/>
              <w:spacing w:before="0"/>
              <w:jc w:val="center"/>
              <w:rPr>
                <w:rFonts w:ascii="Times New Roman" w:eastAsia="Times New Roman" w:hAnsi="Times New Roman" w:cs="Times New Roman"/>
                <w:sz w:val="28"/>
                <w:szCs w:val="28"/>
              </w:rPr>
            </w:pPr>
            <w:r>
              <w:rPr>
                <w:rFonts w:ascii="Times New Roman" w:eastAsia="Calibri" w:hAnsi="Times New Roman" w:cs="Times New Roman"/>
                <w:color w:val="auto"/>
                <w:sz w:val="28"/>
                <w:szCs w:val="28"/>
                <w:lang w:eastAsia="en-US"/>
              </w:rPr>
              <w:lastRenderedPageBreak/>
              <w:t xml:space="preserve">МЯРКА 1.1 </w:t>
            </w:r>
            <w:r>
              <w:rPr>
                <w:rFonts w:ascii="Times New Roman" w:eastAsia="Times New Roman" w:hAnsi="Times New Roman" w:cs="Times New Roman"/>
                <w:color w:val="auto"/>
                <w:sz w:val="28"/>
                <w:szCs w:val="28"/>
              </w:rPr>
              <w:t>Достъп до заетост</w:t>
            </w:r>
          </w:p>
        </w:tc>
      </w:tr>
      <w:tr w:rsidR="009329C9">
        <w:trPr>
          <w:trHeight w:val="16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Цел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8647"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Целта на мярката е да съдейства за включване или реинтегриране в пазара на труда на безработни и неактивни лица и създаване на нови работни места. Мярката насърчава развитието на устойчива и качествена заетост на цялата територия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върху интеграцията на различни  уязвими групи на пазара на труда, 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на цялата територия.Мяркатае насочена и към придобиването на знания и създаването на подходящи умения на целевите групи според спецификите на регионалния трудов пазар и потребностите на работодателите от работна сила с определени характеристики. Инвестициите са насочени към постигане на дългосрочни ефекти и реално включване в заетост, осигуряване на по-голяма конкурентоспособност и успешна интеграция на пазара на труда.</w:t>
            </w:r>
          </w:p>
          <w:p w:rsidR="009329C9" w:rsidRDefault="00B5212B">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В съответствие с </w:t>
            </w:r>
            <w:r>
              <w:rPr>
                <w:rFonts w:ascii="Times New Roman" w:eastAsia="Times New Roman" w:hAnsi="Times New Roman" w:cs="Times New Roman"/>
                <w:b/>
                <w:sz w:val="24"/>
                <w:szCs w:val="24"/>
              </w:rPr>
              <w:t>Тематична цел 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4"/>
                <w:szCs w:val="24"/>
              </w:rPr>
              <w:t>Тематична цел 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9329C9">
        <w:trPr>
          <w:trHeight w:val="16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b/>
                <w:sz w:val="24"/>
                <w:szCs w:val="24"/>
                <w:lang w:eastAsia="en-US"/>
              </w:rPr>
              <w:t>Обхват на мярката</w:t>
            </w:r>
          </w:p>
        </w:tc>
        <w:tc>
          <w:tcPr>
            <w:tcW w:w="8647"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Дейностите по тази мярка се реализират в рамките на </w:t>
            </w:r>
            <w:r>
              <w:rPr>
                <w:rFonts w:ascii="Times New Roman" w:eastAsia="Times New Roman" w:hAnsi="Times New Roman" w:cs="Times New Roman"/>
                <w:b/>
                <w:sz w:val="24"/>
                <w:szCs w:val="24"/>
              </w:rPr>
              <w:t>Приоритетна ос 1</w:t>
            </w:r>
            <w:r>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Pr>
                <w:rFonts w:ascii="Times New Roman" w:eastAsia="Times New Roman" w:hAnsi="Times New Roman" w:cs="Times New Roman"/>
                <w:sz w:val="24"/>
                <w:szCs w:val="24"/>
              </w:rPr>
              <w:t>на ОП РЧР 2014 - 2020г. и обхващат следните инвестиционни приоритети и специфични цели:</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Инвестиционен приоритет 1.</w:t>
            </w:r>
            <w:r>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1:</w:t>
            </w:r>
            <w:r>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2:</w:t>
            </w:r>
            <w:r>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9329C9" w:rsidRDefault="00B521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Целеви групи: </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неравностойно положение на пазара на труда. Възрастова група – от 30 и 54 г. вкл.;</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Същите като в специфична цел 1 по-горе, но с ниско образование (под средно)</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Същите групи като в специфична цел 1 по-горе, но на възраст над 54 г</w:t>
            </w:r>
          </w:p>
          <w:p w:rsidR="009329C9" w:rsidRDefault="00B5212B">
            <w:pPr>
              <w:spacing w:after="0"/>
              <w:rPr>
                <w:rFonts w:ascii="Times New Roman" w:eastAsia="Calibri" w:hAnsi="Times New Roman" w:cs="Times New Roman"/>
                <w:bCs/>
                <w:sz w:val="24"/>
                <w:szCs w:val="24"/>
                <w:lang w:eastAsia="en-US"/>
              </w:rPr>
            </w:pPr>
            <w:r>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Въпреки че безработицата в </w:t>
            </w:r>
            <w:r>
              <w:rPr>
                <w:rFonts w:ascii="Times New Roman" w:eastAsia="Calibri" w:hAnsi="Times New Roman" w:cs="Times New Roman"/>
                <w:sz w:val="24"/>
                <w:szCs w:val="24"/>
                <w:lang w:eastAsia="en-US"/>
              </w:rPr>
              <w:lastRenderedPageBreak/>
              <w:t xml:space="preserve">община Свиленград като цяло намалява - </w:t>
            </w:r>
            <w:r>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Pr>
                <w:rFonts w:ascii="Times New Roman" w:eastAsia="Calibri" w:hAnsi="Times New Roman" w:cs="Times New Roman"/>
                <w:bCs/>
                <w:sz w:val="24"/>
                <w:szCs w:val="24"/>
                <w:lang w:eastAsia="en-US"/>
              </w:rPr>
              <w:t xml:space="preserve">Разпределението на безработните лица се отличава с нарастване на дела им с увеличаване на възрастта. С най-голям дял са възрастовите групи над 55 г., до 54 г. и до 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загубата на трудови навици, демотивация и десоциализация. Освен тях, като най-уязвими на пазара на труда са и лицата с ниско образование, ниска квалификация или без квалификация, като  </w:t>
            </w:r>
            <w:r>
              <w:rPr>
                <w:rFonts w:ascii="Times New Roman" w:eastAsia="Calibri" w:hAnsi="Times New Roman" w:cs="Times New Roman"/>
                <w:sz w:val="24"/>
                <w:szCs w:val="24"/>
                <w:lang w:eastAsia="en-US"/>
              </w:rPr>
              <w:t>най-голям е относителният дял на тези без квалификация – 33% и с основно и по-ниско образование – 25%, като техният брой и относителен дял се увеличават. По данни на ДБТ-Свиленград, преобладаващ е броят на безработните без образование от ромски произход, липсва и заинтересованост сред работодателите за наемане на регистрирани от ромски произход.</w:t>
            </w:r>
            <w:r>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9329C9">
        <w:trPr>
          <w:trHeight w:val="115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общини;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неправителствени организации;</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читалища регистрирани по Закона за читалищата</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420"/>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9329C9" w:rsidRDefault="00B5212B">
            <w:pPr>
              <w:numPr>
                <w:ilvl w:val="0"/>
                <w:numId w:val="24"/>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Pr>
                <w:rFonts w:ascii="Times New Roman" w:eastAsia="Calibri" w:hAnsi="Times New Roman" w:cs="Times New Roman"/>
                <w:sz w:val="23"/>
                <w:szCs w:val="23"/>
                <w:lang w:eastAsia="en-US"/>
              </w:rPr>
              <w:t xml:space="preserve">Предоставяне на посреднически услуги на пазара на труда, активиране на неактивни лица, организиране и участие в трудови борси и др. подкрепящи услуги за заетост </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sz w:val="24"/>
                <w:szCs w:val="24"/>
                <w:lang w:eastAsia="en-US"/>
              </w:rPr>
              <w:t xml:space="preserve">Осигуряване на заетост на </w:t>
            </w:r>
            <w:r>
              <w:rPr>
                <w:rFonts w:ascii="Times New Roman" w:eastAsia="Calibri" w:hAnsi="Times New Roman" w:cs="Times New Roman"/>
                <w:bCs/>
                <w:sz w:val="24"/>
                <w:szCs w:val="24"/>
                <w:lang w:eastAsia="en-US"/>
              </w:rPr>
              <w:t>безработни и/или неактивни лица за период до 12 месеца</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Pr>
                <w:rFonts w:ascii="Times New Roman" w:eastAsia="Calibri" w:hAnsi="Times New Roman" w:cs="Times New Roman"/>
                <w:bCs/>
                <w:sz w:val="24"/>
                <w:szCs w:val="24"/>
                <w:lang w:eastAsia="en-US"/>
              </w:rPr>
              <w:t>, вкл. и на такива от отдалечени и изолирани малки населени места</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работни места, в т.ч. инвестиции за подобряване качеството на работните места и оборудване и адаптиране на нови работни места</w:t>
            </w:r>
          </w:p>
          <w:p w:rsidR="009329C9" w:rsidRDefault="00B5212B">
            <w:pPr>
              <w:numPr>
                <w:ilvl w:val="0"/>
                <w:numId w:val="24"/>
              </w:numPr>
              <w:autoSpaceDE w:val="0"/>
              <w:autoSpaceDN w:val="0"/>
              <w:adjustRightInd w:val="0"/>
              <w:spacing w:after="0"/>
              <w:ind w:left="318"/>
              <w:contextualSpacing/>
              <w:rPr>
                <w:rFonts w:ascii="Times New Roman" w:eastAsia="Calibri" w:hAnsi="Times New Roman" w:cs="Times New Roman"/>
                <w:sz w:val="23"/>
                <w:szCs w:val="23"/>
                <w:lang w:eastAsia="en-US"/>
              </w:rPr>
            </w:pPr>
            <w:r>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дискриминационни нагласи при наемането на представители на уязвими групи лица, вкл. и дейности по информиране и публичност</w:t>
            </w:r>
          </w:p>
        </w:tc>
      </w:tr>
      <w:tr w:rsidR="009329C9">
        <w:trPr>
          <w:trHeight w:val="169"/>
        </w:trPr>
        <w:tc>
          <w:tcPr>
            <w:tcW w:w="1702"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разходи</w:t>
            </w:r>
          </w:p>
        </w:tc>
        <w:tc>
          <w:tcPr>
            <w:tcW w:w="8647" w:type="dxa"/>
            <w:shd w:val="clear" w:color="auto" w:fill="auto"/>
          </w:tcPr>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w:t>
            </w:r>
            <w:r>
              <w:rPr>
                <w:rFonts w:ascii="Times New Roman" w:eastAsia="Calibri" w:hAnsi="Times New Roman" w:cs="Times New Roman"/>
                <w:color w:val="000000"/>
                <w:sz w:val="24"/>
                <w:szCs w:val="24"/>
                <w:lang w:eastAsia="en-US"/>
              </w:rPr>
              <w:lastRenderedPageBreak/>
              <w:t>ложимото национално законодателство за финансовата рамка 2014 – 2020 г.</w:t>
            </w:r>
          </w:p>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Включително:</w:t>
            </w:r>
          </w:p>
          <w:p w:rsidR="009329C9" w:rsidRDefault="00B5212B">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1.Разходи за наемане на безработни или неактивни лица за 12 месеца на нови работни места или съществуващи работни места</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2.Разходи за възнаграждения и осигурителни вноски при заетост за период до12 месеца</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3.Разходи за обучения за професионална квалификация или ключови компетентности</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4.Разходи за организация и управление до 10 на сто от общите допустими разходи по проекта</w:t>
            </w:r>
          </w:p>
          <w:p w:rsidR="009329C9" w:rsidRDefault="00B5212B">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5.Разходи за дейности, свързани с публичност и информираност</w:t>
            </w:r>
          </w:p>
        </w:tc>
      </w:tr>
      <w:tr w:rsidR="009329C9">
        <w:trPr>
          <w:trHeight w:val="169"/>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Недопустими разходи</w:t>
            </w:r>
          </w:p>
        </w:tc>
        <w:tc>
          <w:tcPr>
            <w:tcW w:w="8647" w:type="dxa"/>
            <w:shd w:val="clear" w:color="auto" w:fill="auto"/>
          </w:tcPr>
          <w:p w:rsidR="009329C9" w:rsidRDefault="00B5212B">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Недопустими са всички разходи, изброени в общите условия по ОПРЧР в стратегията за ВОМР в таблицата по-горе.</w:t>
            </w:r>
          </w:p>
        </w:tc>
      </w:tr>
      <w:tr w:rsidR="009329C9">
        <w:trPr>
          <w:trHeight w:val="1313"/>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9329C9" w:rsidRDefault="00B5212B">
            <w:pPr>
              <w:spacing w:after="0"/>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евроили 39 116 лв</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2</w:t>
            </w:r>
            <w:r>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eastAsia="en-US"/>
              </w:rPr>
              <w:t> 000 евро или 234 696 лв.</w:t>
            </w:r>
          </w:p>
        </w:tc>
      </w:tr>
      <w:tr w:rsidR="009329C9">
        <w:trPr>
          <w:trHeight w:val="1085"/>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3"/>
                <w:szCs w:val="23"/>
                <w:lang w:eastAsia="en-US"/>
              </w:rPr>
            </w:pPr>
            <w:r>
              <w:rPr>
                <w:rFonts w:ascii="Times New Roman" w:eastAsia="Calibri" w:hAnsi="Times New Roman" w:cs="Times New Roman"/>
                <w:b/>
                <w:sz w:val="23"/>
                <w:szCs w:val="23"/>
                <w:lang w:eastAsia="en-US"/>
              </w:rPr>
              <w:t xml:space="preserve">Интензитет и размер на финансовата помощ в % </w:t>
            </w:r>
          </w:p>
        </w:tc>
        <w:tc>
          <w:tcPr>
            <w:tcW w:w="8647"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9329C9" w:rsidRDefault="009329C9">
            <w:pPr>
              <w:spacing w:after="0"/>
              <w:jc w:val="both"/>
              <w:rPr>
                <w:rFonts w:ascii="Times New Roman" w:eastAsia="Calibri" w:hAnsi="Times New Roman" w:cs="Times New Roman"/>
                <w:sz w:val="24"/>
                <w:szCs w:val="24"/>
                <w:lang w:eastAsia="en-US"/>
              </w:rPr>
            </w:pPr>
          </w:p>
          <w:p w:rsidR="009329C9" w:rsidRDefault="00B5212B" w:rsidP="000C0519">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 бюджет  на мярката –</w:t>
            </w:r>
            <w:r w:rsidR="000C0519">
              <w:rPr>
                <w:rFonts w:ascii="Times New Roman" w:eastAsia="Calibri" w:hAnsi="Times New Roman" w:cs="Times New Roman"/>
                <w:sz w:val="24"/>
                <w:szCs w:val="24"/>
                <w:lang w:eastAsia="en-US"/>
              </w:rPr>
              <w:t xml:space="preserve"> 524 196,31</w:t>
            </w:r>
            <w:r>
              <w:rPr>
                <w:rFonts w:ascii="Times New Roman" w:eastAsia="Calibri" w:hAnsi="Times New Roman" w:cs="Times New Roman"/>
                <w:sz w:val="24"/>
                <w:szCs w:val="24"/>
                <w:lang w:eastAsia="en-US"/>
              </w:rPr>
              <w:t xml:space="preserve"> лв.</w:t>
            </w:r>
          </w:p>
        </w:tc>
      </w:tr>
      <w:tr w:rsidR="009329C9">
        <w:trPr>
          <w:trHeight w:val="1085"/>
        </w:trPr>
        <w:tc>
          <w:tcPr>
            <w:tcW w:w="1702"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критерии за избор на проекти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484"/>
              <w:gridCol w:w="1146"/>
            </w:tblGrid>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9329C9" w:rsidRDefault="00B5212B">
                  <w:pPr>
                    <w:keepNext/>
                    <w:keepLines/>
                    <w:numPr>
                      <w:ilvl w:val="0"/>
                      <w:numId w:val="23"/>
                    </w:numPr>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2 населени места – 2 т.</w:t>
                  </w:r>
                </w:p>
                <w:p w:rsidR="009329C9" w:rsidRDefault="00B5212B">
                  <w:pPr>
                    <w:keepNext/>
                    <w:keepLines/>
                    <w:numPr>
                      <w:ilvl w:val="0"/>
                      <w:numId w:val="23"/>
                    </w:numPr>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3 населени места – 4 т.</w:t>
                  </w:r>
                </w:p>
                <w:p w:rsidR="009329C9" w:rsidRDefault="00B5212B">
                  <w:pPr>
                    <w:keepNext/>
                    <w:keepLines/>
                    <w:numPr>
                      <w:ilvl w:val="0"/>
                      <w:numId w:val="23"/>
                    </w:numPr>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и повече – 6 т.</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като подобряване на околната среда за уязвими групи, подобряване на семейната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9329C9" w:rsidRDefault="009329C9">
            <w:pPr>
              <w:spacing w:after="0"/>
              <w:jc w:val="both"/>
              <w:rPr>
                <w:rFonts w:ascii="Times New Roman" w:eastAsia="Calibri" w:hAnsi="Times New Roman" w:cs="Times New Roman"/>
                <w:sz w:val="24"/>
                <w:szCs w:val="24"/>
                <w:lang w:eastAsia="en-US"/>
              </w:rPr>
            </w:pPr>
          </w:p>
        </w:tc>
      </w:tr>
    </w:tbl>
    <w:p w:rsidR="009329C9" w:rsidRDefault="009329C9"/>
    <w:p w:rsidR="009329C9" w:rsidRDefault="00B5212B">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9329C9">
        <w:trPr>
          <w:trHeight w:val="169"/>
        </w:trPr>
        <w:tc>
          <w:tcPr>
            <w:tcW w:w="10349"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sz w:val="28"/>
                <w:szCs w:val="28"/>
                <w:lang w:eastAsia="en-US"/>
              </w:rPr>
            </w:pPr>
            <w:r>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9329C9">
        <w:trPr>
          <w:trHeight w:val="416"/>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Цел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8789" w:type="dxa"/>
            <w:shd w:val="clear" w:color="auto" w:fill="auto"/>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Целта на мярката е подпомагане на младите хора до 29-годишна възраст вкл., които не участват в заетост, образование или обучение за намиране на работа, адаптация и повишаване на конкурентоспособността им за трайно включване в пазара на труда. Ще се финансират дейности, насочени към включването на тази група в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мобилност и др.). Мярката 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цялата територия на МИГ.</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Процедурата съответства на </w:t>
            </w:r>
            <w:r>
              <w:rPr>
                <w:rFonts w:ascii="Times New Roman" w:eastAsia="Calibri" w:hAnsi="Times New Roman" w:cs="Times New Roman"/>
                <w:b/>
                <w:sz w:val="24"/>
                <w:szCs w:val="24"/>
                <w:lang w:eastAsia="en-US"/>
              </w:rPr>
              <w:t xml:space="preserve">Тематична цел  </w:t>
            </w:r>
            <w:r>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Pr>
                <w:rFonts w:ascii="Times New Roman" w:eastAsia="Calibri" w:hAnsi="Times New Roman" w:cs="Times New Roman"/>
                <w:sz w:val="24"/>
                <w:szCs w:val="24"/>
                <w:lang w:eastAsia="en-US"/>
              </w:rPr>
              <w:t xml:space="preserve"> и </w:t>
            </w:r>
            <w:r>
              <w:rPr>
                <w:rFonts w:ascii="Times New Roman" w:eastAsia="Calibri" w:hAnsi="Times New Roman" w:cs="Times New Roman"/>
                <w:b/>
                <w:sz w:val="24"/>
                <w:szCs w:val="24"/>
                <w:lang w:eastAsia="en-US"/>
              </w:rPr>
              <w:t>Тематична цел 10</w:t>
            </w:r>
            <w:r>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9329C9">
        <w:trPr>
          <w:trHeight w:val="7204"/>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b/>
                <w:sz w:val="24"/>
                <w:szCs w:val="24"/>
                <w:lang w:eastAsia="en-US"/>
              </w:rPr>
              <w:t>Обхват на мярката</w:t>
            </w:r>
          </w:p>
        </w:tc>
        <w:tc>
          <w:tcPr>
            <w:tcW w:w="8789"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Дейностите по тази мярка съответстват на </w:t>
            </w:r>
            <w:r>
              <w:rPr>
                <w:rFonts w:ascii="Times New Roman" w:eastAsia="Times New Roman" w:hAnsi="Times New Roman" w:cs="Times New Roman"/>
                <w:b/>
                <w:sz w:val="24"/>
                <w:szCs w:val="24"/>
              </w:rPr>
              <w:t>Приоритетна ос 1</w:t>
            </w:r>
            <w:r>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Pr>
                <w:rFonts w:ascii="Times New Roman" w:eastAsia="Times New Roman" w:hAnsi="Times New Roman" w:cs="Times New Roman"/>
                <w:sz w:val="24"/>
                <w:szCs w:val="24"/>
              </w:rPr>
              <w:t>(СЦ):</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Инвестиционен приоритет 3</w:t>
            </w:r>
            <w:r>
              <w:rPr>
                <w:rFonts w:ascii="Times New Roman" w:eastAsia="Times New Roman" w:hAnsi="Times New Roman" w:cs="Times New Roman"/>
                <w:sz w:val="24"/>
                <w:szCs w:val="24"/>
              </w:rPr>
              <w:t xml:space="preserve"> „Устойчиво интегриране на пазара на труда на младите хора,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маргинализирани общности, включително чрез прилагане на гаранция за младежта“ (с финансиране от ЕСФ)</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Специфична цел 3</w:t>
            </w:r>
            <w:r>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Целеви групи:</w:t>
            </w:r>
            <w:r>
              <w:rPr>
                <w:rFonts w:ascii="Times New Roman" w:eastAsia="Times New Roman" w:hAnsi="Times New Roman" w:cs="Times New Roman"/>
                <w:sz w:val="24"/>
                <w:szCs w:val="24"/>
              </w:rPr>
              <w:t xml:space="preserve"> Търсещи работа безработни младежи от 15 до 29 г. вкл. със завършено средно или висше образование</w:t>
            </w:r>
          </w:p>
          <w:p w:rsidR="009329C9" w:rsidRDefault="00B5212B">
            <w:pPr>
              <w:spacing w:after="0"/>
              <w:rPr>
                <w:rFonts w:ascii="Times New Roman" w:eastAsia="Calibri" w:hAnsi="Times New Roman" w:cs="Times New Roman"/>
                <w:lang w:eastAsia="en-US"/>
              </w:rPr>
            </w:pPr>
            <w:r>
              <w:rPr>
                <w:rFonts w:ascii="Times New Roman" w:eastAsia="Calibri" w:hAnsi="Times New Roman" w:cs="Times New Roman"/>
                <w:b/>
                <w:bCs/>
                <w:sz w:val="24"/>
                <w:szCs w:val="24"/>
                <w:lang w:eastAsia="en-US"/>
              </w:rPr>
              <w:t>Съответствие със спецификите на територията:</w:t>
            </w:r>
            <w:r>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продължава да е изключително ограничено, което кара голяма част от образованите младежи да се насочат към други по-големи градове в страната. Трайното включване на тази възрастова група в пазара на труда е от съществено значение за подобряване на демографската и социално-икономическата картина на територията на МИГ и ще играе важна роля за бъдещото й развитие.</w:t>
            </w:r>
          </w:p>
        </w:tc>
      </w:tr>
      <w:tr w:rsidR="009329C9">
        <w:trPr>
          <w:trHeight w:val="1252"/>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общини; </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неправителствени организации;</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читалища регистрирани по Закона за Читалищата</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със спецификите на регионалния </w:t>
            </w:r>
            <w:r>
              <w:rPr>
                <w:rFonts w:ascii="Times New Roman" w:eastAsia="Calibri" w:hAnsi="Times New Roman" w:cs="Times New Roman"/>
                <w:sz w:val="24"/>
                <w:szCs w:val="24"/>
                <w:lang w:eastAsia="en-US"/>
              </w:rPr>
              <w:lastRenderedPageBreak/>
              <w:t>трудов пазар и потребностите им като работодатели от работна сила с определе-ни характеристики.</w:t>
            </w:r>
          </w:p>
          <w:p w:rsidR="009329C9" w:rsidRDefault="00B5212B">
            <w:pPr>
              <w:spacing w:after="0"/>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980"/>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дейности</w:t>
            </w:r>
          </w:p>
        </w:tc>
        <w:tc>
          <w:tcPr>
            <w:tcW w:w="8789" w:type="dxa"/>
            <w:shd w:val="clear" w:color="auto" w:fill="auto"/>
          </w:tcPr>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Дейности за активиране на икономически неактивни младежи извън образование или обучение на възраст до 29 г. вкл., които са със завършено средно или висше образование за включването им в пазара на труда, вкл. информационни кампании и събития</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Осигуряване на заетост за безработни младежи извън образование или обучение на възраст до 29 г. вкл., които са със завършено средно или висше образование за срок до 12 месеца</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Предоставяне на стимули за насърчаване на географската мобилност на младежите с цел работа</w:t>
            </w:r>
            <w:r>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9329C9" w:rsidRDefault="00B5212B">
            <w:pPr>
              <w:numPr>
                <w:ilvl w:val="0"/>
                <w:numId w:val="25"/>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Предоставяне на стимули на работодатели за наемането на безработни младежи и откриване на нови работни места, в т.ч. инвестиции за подобряване качеството на работните места и оборудване и адаптиране на нови работни места</w:t>
            </w:r>
          </w:p>
        </w:tc>
      </w:tr>
      <w:tr w:rsidR="009329C9">
        <w:trPr>
          <w:trHeight w:val="169"/>
        </w:trPr>
        <w:tc>
          <w:tcPr>
            <w:tcW w:w="1560" w:type="dxa"/>
            <w:shd w:val="clear" w:color="auto" w:fill="D9D9D9" w:themeFill="background1" w:themeFillShade="D9"/>
          </w:tcPr>
          <w:p w:rsidR="009329C9" w:rsidRDefault="00B5212B">
            <w:pPr>
              <w:jc w:val="center"/>
              <w:rPr>
                <w:rFonts w:ascii="Times New Roman" w:eastAsia="Calibri" w:hAnsi="Times New Roman" w:cs="Times New Roman"/>
                <w:b/>
                <w:lang w:eastAsia="en-US"/>
              </w:rPr>
            </w:pPr>
            <w:r>
              <w:rPr>
                <w:rFonts w:ascii="Times New Roman" w:eastAsia="Calibri" w:hAnsi="Times New Roman" w:cs="Times New Roman"/>
                <w:b/>
                <w:lang w:eastAsia="en-US"/>
              </w:rPr>
              <w:t>Допустими разходи</w:t>
            </w:r>
          </w:p>
        </w:tc>
        <w:tc>
          <w:tcPr>
            <w:tcW w:w="8789" w:type="dxa"/>
            <w:shd w:val="clear" w:color="auto" w:fill="auto"/>
          </w:tcPr>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p w:rsidR="009329C9" w:rsidRDefault="00B5212B">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Включително:</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наемане на безработни или неактивни лица за 12 месеца на нови работни места или съществуващи работни места</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възнаграждения и осигурителни вноски при заетост за период до 12 месеца</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обучения за професионална квалификация или ключови компетентности</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организация и управление до 10 на сто от общите допустими разходи по проекта</w:t>
            </w:r>
          </w:p>
          <w:p w:rsidR="009329C9" w:rsidRDefault="00B5212B">
            <w:pPr>
              <w:pStyle w:val="af4"/>
              <w:numPr>
                <w:ilvl w:val="0"/>
                <w:numId w:val="26"/>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Разходи за дейности, свързани с публичност и информираност</w:t>
            </w:r>
          </w:p>
        </w:tc>
      </w:tr>
      <w:tr w:rsidR="009329C9">
        <w:trPr>
          <w:trHeight w:val="169"/>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Недопустими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lang w:eastAsia="en-US"/>
              </w:rPr>
              <w:t>разходи</w:t>
            </w:r>
          </w:p>
        </w:tc>
        <w:tc>
          <w:tcPr>
            <w:tcW w:w="8789" w:type="dxa"/>
            <w:shd w:val="clear" w:color="auto" w:fill="auto"/>
          </w:tcPr>
          <w:p w:rsidR="009329C9" w:rsidRDefault="00B5212B">
            <w:pPr>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Недопустими са всички разходи, изброени в общите условия по ОПРЧР за стратегията за ВОМР в таблицата по-горе.</w:t>
            </w:r>
          </w:p>
        </w:tc>
      </w:tr>
      <w:tr w:rsidR="009329C9">
        <w:trPr>
          <w:trHeight w:val="169"/>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9329C9" w:rsidRDefault="00B5212B">
            <w:pPr>
              <w:spacing w:after="0"/>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евроили 19 558 лв.</w:t>
            </w:r>
          </w:p>
          <w:p w:rsidR="009329C9" w:rsidRDefault="00B5212B">
            <w:pPr>
              <w:spacing w:after="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евро.Или 68 453 лв.</w:t>
            </w:r>
          </w:p>
        </w:tc>
      </w:tr>
      <w:tr w:rsidR="009329C9">
        <w:trPr>
          <w:trHeight w:val="1085"/>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9329C9" w:rsidRDefault="00B5212B">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9329C9" w:rsidRDefault="009329C9">
            <w:pPr>
              <w:spacing w:after="0"/>
              <w:jc w:val="both"/>
              <w:rPr>
                <w:rFonts w:ascii="Times New Roman" w:eastAsia="Calibri" w:hAnsi="Times New Roman" w:cs="Times New Roman"/>
                <w:sz w:val="24"/>
                <w:szCs w:val="24"/>
                <w:lang w:eastAsia="en-US"/>
              </w:rPr>
            </w:pPr>
          </w:p>
          <w:p w:rsidR="009329C9" w:rsidRDefault="00B5212B" w:rsidP="000A54C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 бюджет  на мярката –1</w:t>
            </w:r>
            <w:r w:rsidR="000A54C1">
              <w:rPr>
                <w:rFonts w:ascii="Times New Roman" w:eastAsia="Calibri" w:hAnsi="Times New Roman" w:cs="Times New Roman"/>
                <w:sz w:val="24"/>
                <w:szCs w:val="24"/>
                <w:lang w:eastAsia="en-US"/>
              </w:rPr>
              <w:t>53 734,34</w:t>
            </w:r>
            <w:r>
              <w:rPr>
                <w:rFonts w:ascii="Times New Roman" w:eastAsia="Calibri" w:hAnsi="Times New Roman" w:cs="Times New Roman"/>
                <w:sz w:val="24"/>
                <w:szCs w:val="24"/>
                <w:lang w:eastAsia="en-US"/>
              </w:rPr>
              <w:t xml:space="preserve"> лв.</w:t>
            </w:r>
          </w:p>
        </w:tc>
      </w:tr>
      <w:tr w:rsidR="009329C9">
        <w:trPr>
          <w:trHeight w:val="1085"/>
        </w:trPr>
        <w:tc>
          <w:tcPr>
            <w:tcW w:w="1560"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484"/>
              <w:gridCol w:w="1146"/>
            </w:tblGrid>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9329C9" w:rsidRDefault="00B5212B">
                  <w:pPr>
                    <w:keepNext/>
                    <w:keepLines/>
                    <w:numPr>
                      <w:ilvl w:val="0"/>
                      <w:numId w:val="23"/>
                    </w:numPr>
                    <w:spacing w:after="0"/>
                    <w:ind w:left="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2 населени места – 2 т.</w:t>
                  </w:r>
                </w:p>
                <w:p w:rsidR="009329C9" w:rsidRDefault="00B5212B">
                  <w:pPr>
                    <w:keepNext/>
                    <w:keepLines/>
                    <w:numPr>
                      <w:ilvl w:val="0"/>
                      <w:numId w:val="23"/>
                    </w:numPr>
                    <w:spacing w:after="0"/>
                    <w:ind w:left="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3 населени места – 4 т.</w:t>
                  </w:r>
                </w:p>
                <w:p w:rsidR="009329C9" w:rsidRDefault="00B5212B">
                  <w:pPr>
                    <w:keepNext/>
                    <w:keepLines/>
                    <w:numPr>
                      <w:ilvl w:val="0"/>
                      <w:numId w:val="23"/>
                    </w:numPr>
                    <w:spacing w:after="0"/>
                    <w:ind w:left="0"/>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и повече – 6 т.</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329C9">
              <w:tc>
                <w:tcPr>
                  <w:tcW w:w="7484" w:type="dxa"/>
                  <w:tcBorders>
                    <w:top w:val="outset" w:sz="6" w:space="0" w:color="auto"/>
                    <w:left w:val="outset" w:sz="6" w:space="0" w:color="auto"/>
                    <w:bottom w:val="outset" w:sz="6" w:space="0" w:color="auto"/>
                    <w:right w:val="outset" w:sz="6" w:space="0" w:color="auto"/>
                  </w:tcBorders>
                </w:tcPr>
                <w:p w:rsidR="009329C9" w:rsidRDefault="00B5212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9329C9" w:rsidRDefault="009329C9">
            <w:pPr>
              <w:spacing w:after="0"/>
              <w:jc w:val="both"/>
              <w:rPr>
                <w:rFonts w:ascii="Times New Roman" w:eastAsia="Calibri" w:hAnsi="Times New Roman" w:cs="Times New Roman"/>
                <w:sz w:val="24"/>
                <w:szCs w:val="24"/>
                <w:lang w:eastAsia="en-US"/>
              </w:rPr>
            </w:pPr>
          </w:p>
        </w:tc>
      </w:tr>
    </w:tbl>
    <w:p w:rsidR="009329C9" w:rsidRDefault="009329C9">
      <w:pPr>
        <w:spacing w:after="0"/>
        <w:rPr>
          <w:rFonts w:ascii="Times New Roman" w:eastAsia="Calibri" w:hAnsi="Times New Roman" w:cs="Times New Roman"/>
          <w:sz w:val="24"/>
          <w:szCs w:val="24"/>
          <w:lang w:eastAsia="en-US"/>
        </w:rPr>
      </w:pPr>
    </w:p>
    <w:p w:rsidR="009329C9" w:rsidRDefault="009329C9">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9329C9">
        <w:trPr>
          <w:trHeight w:val="169"/>
        </w:trPr>
        <w:tc>
          <w:tcPr>
            <w:tcW w:w="10491" w:type="dxa"/>
            <w:gridSpan w:val="2"/>
            <w:shd w:val="clear" w:color="auto" w:fill="D9D9D9" w:themeFill="background1" w:themeFillShade="D9"/>
          </w:tcPr>
          <w:p w:rsidR="009329C9" w:rsidRDefault="00B5212B">
            <w:pPr>
              <w:pStyle w:val="3"/>
              <w:spacing w:before="0"/>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9329C9" w:rsidRDefault="00B5212B">
            <w:pPr>
              <w:pStyle w:val="3"/>
              <w:spacing w:before="0"/>
              <w:jc w:val="center"/>
              <w:rPr>
                <w:rFonts w:ascii="Times New Roman" w:eastAsia="Calibri" w:hAnsi="Times New Roman" w:cs="Times New Roman"/>
                <w:b w:val="0"/>
                <w:sz w:val="24"/>
                <w:szCs w:val="24"/>
                <w:lang w:eastAsia="en-US"/>
              </w:rPr>
            </w:pPr>
            <w:r>
              <w:rPr>
                <w:rFonts w:ascii="Times New Roman" w:eastAsia="Calibri" w:hAnsi="Times New Roman" w:cs="Times New Roman"/>
                <w:color w:val="auto"/>
                <w:sz w:val="24"/>
                <w:szCs w:val="24"/>
                <w:lang w:eastAsia="en-US"/>
              </w:rPr>
              <w:t>ромите</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Цел на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мярката</w:t>
            </w:r>
          </w:p>
        </w:tc>
        <w:tc>
          <w:tcPr>
            <w:tcW w:w="9072" w:type="dxa"/>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Подобряване на условията на живот на територията на МИГ, насърчаване на социалното включване и устойчива интеграция на социално изключени роми, хора живеещи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реализацията на основните икономически, социални и културни права. По мярката ще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мярка ще подпомогне нуждаещите се от социална подкрепа и ще предостави нови възможности за подобряване на доходите и стандарта на живот на местните общности.В съответствие с </w:t>
            </w:r>
            <w:r>
              <w:rPr>
                <w:rFonts w:ascii="Times New Roman" w:eastAsia="Times New Roman" w:hAnsi="Times New Roman" w:cs="Times New Roman"/>
                <w:b/>
                <w:sz w:val="24"/>
                <w:szCs w:val="24"/>
              </w:rPr>
              <w:t>Тематична цел № 9</w:t>
            </w:r>
            <w:r>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b/>
                <w:sz w:val="24"/>
                <w:szCs w:val="24"/>
                <w:lang w:eastAsia="en-US"/>
              </w:rPr>
              <w:t>Обхват на мярката</w:t>
            </w:r>
          </w:p>
        </w:tc>
        <w:tc>
          <w:tcPr>
            <w:tcW w:w="9072" w:type="dxa"/>
            <w:shd w:val="clear" w:color="auto" w:fill="auto"/>
          </w:tcPr>
          <w:p w:rsidR="009329C9" w:rsidRDefault="00B5212B">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Дейностите съответстват на: </w:t>
            </w:r>
            <w:r>
              <w:rPr>
                <w:rFonts w:ascii="Times New Roman" w:eastAsia="Times New Roman" w:hAnsi="Times New Roman" w:cs="Times New Roman"/>
                <w:b/>
                <w:sz w:val="24"/>
                <w:szCs w:val="24"/>
              </w:rPr>
              <w:t xml:space="preserve">ПРИОРИТЕТНА ОС 2 </w:t>
            </w:r>
            <w:r>
              <w:rPr>
                <w:rFonts w:ascii="Times New Roman" w:eastAsia="Times New Roman" w:hAnsi="Times New Roman" w:cs="Times New Roman"/>
                <w:sz w:val="24"/>
                <w:szCs w:val="24"/>
                <w:u w:val="single"/>
              </w:rPr>
              <w:t xml:space="preserve">Намаляване на бедността и насърчаване на социалното включване“,  </w:t>
            </w:r>
            <w:r>
              <w:rPr>
                <w:rFonts w:ascii="Times New Roman" w:eastAsia="Times New Roman" w:hAnsi="Times New Roman" w:cs="Times New Roman"/>
                <w:b/>
                <w:sz w:val="24"/>
                <w:szCs w:val="24"/>
              </w:rPr>
              <w:t>Инвестиционен приоритет 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Специфична цел: </w:t>
            </w:r>
            <w:r>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Целеви групи:</w:t>
            </w:r>
            <w:r>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концентрация на проблеми, създаващи риск от бедност, социално изключване и маргинализация </w:t>
            </w:r>
            <w:r>
              <w:rPr>
                <w:rFonts w:ascii="Times New Roman" w:eastAsia="Times New Roman" w:hAnsi="Times New Roman" w:cs="Times New Roman"/>
                <w:sz w:val="24"/>
                <w:szCs w:val="24"/>
              </w:rPr>
              <w:lastRenderedPageBreak/>
              <w:t>(висока безработица, ниски доходи, ограничен достъп до публични услуги, териториална сегрегация, пространствена изолация и др.).</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9329C9" w:rsidRDefault="00B5212B">
            <w:pPr>
              <w:spacing w:after="0"/>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Pr>
                <w:rFonts w:ascii="Times New Roman" w:eastAsia="Times New Roman" w:hAnsi="Times New Roman" w:cs="Times New Roman"/>
                <w:sz w:val="24"/>
                <w:szCs w:val="24"/>
              </w:rPr>
              <w:t xml:space="preserve">Значителна част от родените през последните години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 българи е с относителен дял 14.92%. </w:t>
            </w:r>
            <w:r>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безработни от ромски произход, голяма част от тях получават и социални помощи по чл. 9 от ППЗСП. Акумулирането на икономически, образователни и етнокултурни рискови фактори застрашава и децата в тези семейства, които рискуват да повторят модела на социална изолация на своите родителите.</w:t>
            </w:r>
          </w:p>
        </w:tc>
      </w:tr>
      <w:tr w:rsidR="009329C9">
        <w:trPr>
          <w:trHeight w:val="562"/>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9329C9" w:rsidRDefault="00B5212B">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организации; Читалища регистрирани по Закона за Читалищата</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читалищата регистрирани по Закона за Читалищата,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население на територията на МИГ. </w:t>
            </w: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rPr>
          <w:trHeight w:val="567"/>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Основите дейности</w:t>
            </w:r>
            <w:r>
              <w:rPr>
                <w:rFonts w:ascii="Times New Roman" w:eastAsia="Calibri" w:hAnsi="Times New Roman" w:cs="Times New Roman"/>
                <w:sz w:val="24"/>
                <w:szCs w:val="24"/>
                <w:lang w:eastAsia="en-US"/>
              </w:rPr>
              <w:t xml:space="preserve"> по тази мярка ще бъдат по </w:t>
            </w:r>
            <w:r>
              <w:rPr>
                <w:rFonts w:ascii="Times New Roman" w:eastAsia="Calibri" w:hAnsi="Times New Roman" w:cs="Times New Roman"/>
                <w:b/>
                <w:sz w:val="24"/>
                <w:szCs w:val="24"/>
                <w:lang w:eastAsia="en-US"/>
              </w:rPr>
              <w:t xml:space="preserve">Направление „Подобряване достъпа до заетост” </w:t>
            </w:r>
            <w:r>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 психологическо подпомагане; мотивационно обучение; предоставяне на обучение; включване в стажуване, чиракуване, заетост в т.ч. в сферата на социалната икономика; насърчаване на самостоятелната заетост и др.;</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Задължителни </w:t>
            </w:r>
            <w:r>
              <w:rPr>
                <w:rFonts w:ascii="Times New Roman" w:eastAsia="Calibri" w:hAnsi="Times New Roman" w:cs="Times New Roman"/>
                <w:sz w:val="24"/>
                <w:szCs w:val="24"/>
                <w:lang w:eastAsia="en-US"/>
              </w:rPr>
              <w:t>са дейностите</w:t>
            </w:r>
            <w:r>
              <w:rPr>
                <w:rFonts w:ascii="Times New Roman" w:eastAsia="Calibri" w:hAnsi="Times New Roman" w:cs="Times New Roman"/>
                <w:b/>
                <w:sz w:val="24"/>
                <w:szCs w:val="24"/>
                <w:lang w:eastAsia="en-US"/>
              </w:rPr>
              <w:t xml:space="preserve"> по </w:t>
            </w:r>
            <w:r>
              <w:rPr>
                <w:rFonts w:ascii="Times New Roman" w:eastAsia="Calibri" w:hAnsi="Times New Roman" w:cs="Times New Roman"/>
                <w:b/>
                <w:bCs/>
                <w:iCs/>
                <w:sz w:val="24"/>
                <w:szCs w:val="24"/>
                <w:lang w:eastAsia="en-US"/>
              </w:rPr>
              <w:t xml:space="preserve">Направление „Подобряване достъпа до социални и здравни услуги” </w:t>
            </w:r>
            <w:r>
              <w:rPr>
                <w:rFonts w:ascii="Times New Roman" w:eastAsia="Calibri" w:hAnsi="Times New Roman" w:cs="Times New Roman"/>
                <w:sz w:val="24"/>
                <w:szCs w:val="24"/>
                <w:lang w:eastAsia="en-US"/>
              </w:rPr>
              <w:t xml:space="preserve">– подобряване достъпа до и предоставяне на качествени социални и здравни услуги, в т.ч. интегриранимеждусекторни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насърчаване сем. планиране и отговорното родителство; повишаване здравната култура и др.; </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Допълнителните дейности</w:t>
            </w:r>
            <w:r>
              <w:rPr>
                <w:rFonts w:ascii="Times New Roman" w:eastAsia="Calibri" w:hAnsi="Times New Roman" w:cs="Times New Roman"/>
                <w:sz w:val="24"/>
                <w:szCs w:val="24"/>
                <w:lang w:eastAsia="en-US"/>
              </w:rPr>
              <w:t xml:space="preserve"> са допустими по другите направления на мярката:</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bCs/>
                <w:iCs/>
                <w:sz w:val="24"/>
                <w:szCs w:val="24"/>
                <w:lang w:eastAsia="en-US"/>
              </w:rPr>
              <w:t>Направление „Подобряване достъпа до образование”</w:t>
            </w:r>
            <w:r>
              <w:rPr>
                <w:rFonts w:ascii="Times New Roman" w:eastAsia="Calibri" w:hAnsi="Times New Roman" w:cs="Times New Roman"/>
                <w:b/>
                <w:bCs/>
                <w:sz w:val="24"/>
                <w:szCs w:val="24"/>
                <w:lang w:eastAsia="en-US"/>
              </w:rPr>
              <w:t xml:space="preserve">– </w:t>
            </w:r>
            <w:r>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w:t>
            </w:r>
            <w:r>
              <w:rPr>
                <w:rFonts w:ascii="Times New Roman" w:eastAsia="Calibri" w:hAnsi="Times New Roman" w:cs="Times New Roman"/>
                <w:sz w:val="24"/>
                <w:szCs w:val="24"/>
                <w:lang w:eastAsia="en-US"/>
              </w:rPr>
              <w:lastRenderedPageBreak/>
              <w:t xml:space="preserve">ряване достъпа до образователни услуги за ранно детско развитие; ограмотяване на възрастни; </w:t>
            </w:r>
          </w:p>
          <w:p w:rsidR="009329C9" w:rsidRDefault="00B5212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bCs/>
                <w:iCs/>
                <w:sz w:val="24"/>
                <w:szCs w:val="24"/>
                <w:lang w:eastAsia="en-US"/>
              </w:rPr>
              <w:t xml:space="preserve">Направление „Развитие на местните общности и преодоляване на негативните стереотипи” </w:t>
            </w:r>
            <w:r>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маргинализирани общности и за общностно развитие; общностни дейности за промяна на практики, имащи негативно влияние върху социалното включване;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сферата на традиционните дейности и талантите (занаяти и изкуства).</w:t>
            </w:r>
          </w:p>
        </w:tc>
      </w:tr>
      <w:tr w:rsidR="009329C9">
        <w:trPr>
          <w:trHeight w:val="169"/>
        </w:trPr>
        <w:tc>
          <w:tcPr>
            <w:tcW w:w="1419" w:type="dxa"/>
            <w:shd w:val="clear" w:color="auto" w:fill="D9D9D9" w:themeFill="background1" w:themeFillShade="D9"/>
          </w:tcPr>
          <w:p w:rsidR="009329C9" w:rsidRDefault="00B5212B">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9329C9" w:rsidRDefault="00B5212B">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Недопустими </w:t>
            </w:r>
          </w:p>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разходи</w:t>
            </w:r>
          </w:p>
        </w:tc>
        <w:tc>
          <w:tcPr>
            <w:tcW w:w="9072" w:type="dxa"/>
            <w:shd w:val="clear" w:color="auto" w:fill="auto"/>
          </w:tcPr>
          <w:p w:rsidR="009329C9" w:rsidRDefault="00B5212B">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Pr>
                <w:rFonts w:ascii="Times New Roman" w:eastAsia="Calibri" w:hAnsi="Times New Roman" w:cs="Times New Roman"/>
                <w:color w:val="000000"/>
                <w:sz w:val="23"/>
                <w:szCs w:val="23"/>
                <w:lang w:eastAsia="en-US"/>
              </w:rPr>
              <w:t>Недопустими са всички разходи, изброени в общите условия по ОП РЧР за стратегията за ВОМР, изброени в таблицата по-горе</w:t>
            </w:r>
          </w:p>
        </w:tc>
      </w:tr>
      <w:tr w:rsidR="009329C9">
        <w:trPr>
          <w:trHeight w:val="169"/>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Финансови параметри на проектите</w:t>
            </w:r>
          </w:p>
        </w:tc>
        <w:tc>
          <w:tcPr>
            <w:tcW w:w="9072" w:type="dxa"/>
            <w:shd w:val="clear" w:color="auto" w:fill="auto"/>
          </w:tcPr>
          <w:p w:rsidR="009329C9" w:rsidRDefault="00B5212B">
            <w:pPr>
              <w:spacing w:after="0" w:line="24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евроили 39 116 лв</w:t>
            </w:r>
          </w:p>
          <w:p w:rsidR="009329C9" w:rsidRDefault="00B5212B">
            <w:pPr>
              <w:spacing w:after="0"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2</w:t>
            </w:r>
            <w:r>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eastAsia="en-US"/>
              </w:rPr>
              <w:t> 000 евро.Или 234 696 лв</w:t>
            </w:r>
          </w:p>
        </w:tc>
      </w:tr>
      <w:tr w:rsidR="009329C9">
        <w:trPr>
          <w:trHeight w:val="902"/>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Интензитет и размер на БФП</w:t>
            </w:r>
          </w:p>
        </w:tc>
        <w:tc>
          <w:tcPr>
            <w:tcW w:w="9072" w:type="dxa"/>
            <w:shd w:val="clear" w:color="auto" w:fill="auto"/>
          </w:tcPr>
          <w:p w:rsidR="009329C9" w:rsidRDefault="00B5212B">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9329C9" w:rsidRDefault="00B5212B" w:rsidP="000A54C1">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 бюджет на мярката -</w:t>
            </w:r>
            <w:r w:rsidR="000A54C1">
              <w:rPr>
                <w:rFonts w:ascii="Times New Roman" w:eastAsia="Calibri" w:hAnsi="Times New Roman" w:cs="Times New Roman"/>
                <w:sz w:val="24"/>
                <w:szCs w:val="24"/>
                <w:lang w:eastAsia="en-US"/>
              </w:rPr>
              <w:t>409 491,29</w:t>
            </w:r>
            <w:r>
              <w:rPr>
                <w:rFonts w:ascii="Times New Roman" w:eastAsia="Calibri" w:hAnsi="Times New Roman" w:cs="Times New Roman"/>
                <w:sz w:val="24"/>
                <w:szCs w:val="24"/>
                <w:lang w:eastAsia="en-US"/>
              </w:rPr>
              <w:t xml:space="preserve"> лв.</w:t>
            </w:r>
          </w:p>
        </w:tc>
      </w:tr>
      <w:tr w:rsidR="009329C9">
        <w:trPr>
          <w:trHeight w:val="562"/>
        </w:trPr>
        <w:tc>
          <w:tcPr>
            <w:tcW w:w="1419" w:type="dxa"/>
            <w:shd w:val="clear" w:color="auto" w:fill="D9D9D9" w:themeFill="background1" w:themeFillShade="D9"/>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680"/>
              <w:gridCol w:w="1134"/>
            </w:tblGrid>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областни документи за интеграция на ромите, както и на други социални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2 населени места – 2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3 населени места – 4 т.</w:t>
                  </w:r>
                </w:p>
                <w:p w:rsidR="009329C9" w:rsidRDefault="00B5212B">
                  <w:pPr>
                    <w:keepNext/>
                    <w:keepLines/>
                    <w:numPr>
                      <w:ilvl w:val="0"/>
                      <w:numId w:val="23"/>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и повече – 6 т.</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329C9">
              <w:tc>
                <w:tcPr>
                  <w:tcW w:w="7680"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30</w:t>
                  </w:r>
                </w:p>
              </w:tc>
            </w:tr>
          </w:tbl>
          <w:p w:rsidR="009329C9" w:rsidRDefault="009329C9">
            <w:pPr>
              <w:spacing w:after="0"/>
              <w:jc w:val="both"/>
              <w:rPr>
                <w:rFonts w:ascii="Times New Roman" w:eastAsia="Calibri" w:hAnsi="Times New Roman" w:cs="Times New Roman"/>
                <w:sz w:val="24"/>
                <w:szCs w:val="24"/>
                <w:lang w:eastAsia="en-US"/>
              </w:rPr>
            </w:pPr>
          </w:p>
        </w:tc>
      </w:tr>
    </w:tbl>
    <w:p w:rsidR="009329C9" w:rsidRDefault="009329C9">
      <w:pPr>
        <w:pStyle w:val="2"/>
        <w:rPr>
          <w:rFonts w:ascii="Times New Roman" w:hAnsi="Times New Roman" w:cs="Times New Roman"/>
          <w:b/>
          <w:i/>
          <w:iCs/>
          <w:color w:val="auto"/>
          <w:sz w:val="24"/>
          <w:szCs w:val="24"/>
        </w:rPr>
      </w:pPr>
    </w:p>
    <w:p w:rsidR="009329C9" w:rsidRDefault="00B5212B">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9329C9" w:rsidRDefault="00B5212B">
      <w:pPr>
        <w:pStyle w:val="2"/>
        <w:rPr>
          <w:rFonts w:ascii="Times New Roman" w:eastAsia="Calibri" w:hAnsi="Times New Roman" w:cs="Times New Roman"/>
          <w:b/>
          <w:color w:val="auto"/>
          <w:sz w:val="24"/>
          <w:szCs w:val="24"/>
          <w:lang w:eastAsia="en-US"/>
        </w:rPr>
      </w:pPr>
      <w:r>
        <w:rPr>
          <w:rFonts w:ascii="Times New Roman" w:hAnsi="Times New Roman" w:cs="Times New Roman"/>
          <w:b/>
          <w:i/>
          <w:iCs/>
          <w:color w:val="auto"/>
          <w:sz w:val="24"/>
          <w:szCs w:val="24"/>
        </w:rPr>
        <w:lastRenderedPageBreak/>
        <w:t>ОПИК</w:t>
      </w:r>
    </w:p>
    <w:tbl>
      <w:tblPr>
        <w:tblStyle w:val="af3"/>
        <w:tblW w:w="10491" w:type="dxa"/>
        <w:tblInd w:w="-318" w:type="dxa"/>
        <w:tblLayout w:type="fixed"/>
        <w:tblLook w:val="04A0" w:firstRow="1" w:lastRow="0" w:firstColumn="1" w:lastColumn="0" w:noHBand="0" w:noVBand="1"/>
      </w:tblPr>
      <w:tblGrid>
        <w:gridCol w:w="1560"/>
        <w:gridCol w:w="8931"/>
      </w:tblGrid>
      <w:tr w:rsidR="009329C9">
        <w:trPr>
          <w:trHeight w:val="383"/>
        </w:trPr>
        <w:tc>
          <w:tcPr>
            <w:tcW w:w="1560" w:type="dxa"/>
            <w:shd w:val="clear" w:color="auto" w:fill="D9D9D9" w:themeFill="background1" w:themeFillShade="D9"/>
          </w:tcPr>
          <w:p w:rsidR="009329C9" w:rsidRDefault="009329C9">
            <w:pPr>
              <w:pStyle w:val="3"/>
              <w:spacing w:line="240" w:lineRule="auto"/>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9329C9" w:rsidRDefault="00B5212B">
            <w:pPr>
              <w:pStyle w:val="3"/>
              <w:spacing w:before="0" w:line="240" w:lineRule="auto"/>
              <w:jc w:val="center"/>
              <w:rPr>
                <w:rFonts w:ascii="Times New Roman" w:hAnsi="Times New Roman" w:cs="Times New Roman"/>
                <w:bCs w:val="0"/>
                <w:sz w:val="24"/>
                <w:szCs w:val="24"/>
              </w:rPr>
            </w:pPr>
            <w:r>
              <w:rPr>
                <w:rFonts w:ascii="Times New Roman" w:hAnsi="Times New Roman" w:cs="Times New Roman"/>
                <w:bCs w:val="0"/>
                <w:color w:val="auto"/>
                <w:sz w:val="24"/>
                <w:szCs w:val="24"/>
              </w:rPr>
              <w:t>Общи условия по стратегията за ВОМР от ОПИК</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Водещи принципи за избора на операции:</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Координация и синергия</w:t>
            </w:r>
            <w:r>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 инструменти на Съюза</w:t>
            </w:r>
            <w:r>
              <w:rPr>
                <w:rFonts w:ascii="Times New Roman" w:hAnsi="Times New Roman" w:cs="Times New Roman"/>
                <w:b/>
                <w:bCs/>
                <w:sz w:val="24"/>
                <w:szCs w:val="24"/>
              </w:rPr>
              <w:t>Финансиране, основано на нуждите</w:t>
            </w:r>
            <w:r>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Pr>
                <w:rFonts w:ascii="Times New Roman" w:hAnsi="Times New Roman" w:cs="Times New Roman"/>
                <w:b/>
                <w:bCs/>
                <w:sz w:val="24"/>
                <w:szCs w:val="24"/>
              </w:rPr>
              <w:t>Принцип на устойчиво развитие</w:t>
            </w:r>
            <w:r>
              <w:rPr>
                <w:rFonts w:ascii="Times New Roman" w:hAnsi="Times New Roman" w:cs="Times New Roman"/>
                <w:bCs/>
                <w:sz w:val="24"/>
                <w:szCs w:val="24"/>
              </w:rPr>
              <w:t xml:space="preserve"> – при финансирането ще се търси устойчивост на постигнатите резултати;</w:t>
            </w:r>
            <w:r>
              <w:rPr>
                <w:rFonts w:ascii="Times New Roman" w:hAnsi="Times New Roman" w:cs="Times New Roman"/>
                <w:b/>
                <w:bCs/>
                <w:sz w:val="24"/>
                <w:szCs w:val="24"/>
              </w:rPr>
              <w:t>Ефективност и ефикасност на инвестициите</w:t>
            </w:r>
            <w:r>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Pr>
                <w:rFonts w:ascii="Times New Roman" w:hAnsi="Times New Roman" w:cs="Times New Roman"/>
                <w:b/>
                <w:bCs/>
                <w:sz w:val="24"/>
                <w:szCs w:val="24"/>
              </w:rPr>
              <w:t>Релевантност</w:t>
            </w:r>
            <w:r>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Pr>
                <w:rFonts w:ascii="Times New Roman" w:hAnsi="Times New Roman" w:cs="Times New Roman"/>
                <w:b/>
                <w:bCs/>
                <w:iCs/>
                <w:sz w:val="24"/>
                <w:szCs w:val="24"/>
              </w:rPr>
              <w:t>Принцип на равните възможности</w:t>
            </w:r>
            <w:r>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Демаркация</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9329C9" w:rsidRDefault="00B5212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Общи </w:t>
            </w:r>
          </w:p>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изисквания към </w:t>
            </w:r>
          </w:p>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кандидатите</w:t>
            </w:r>
          </w:p>
        </w:tc>
        <w:tc>
          <w:tcPr>
            <w:tcW w:w="8931" w:type="dxa"/>
            <w:shd w:val="clear" w:color="auto" w:fill="auto"/>
          </w:tcPr>
          <w:p w:rsidR="009329C9" w:rsidRDefault="00B5212B">
            <w:pPr>
              <w:pStyle w:val="Default"/>
            </w:pPr>
            <w:r>
              <w:t xml:space="preserve">1.Да имат постоянен </w:t>
            </w:r>
            <w:r>
              <w:rPr>
                <w:b/>
              </w:rPr>
              <w:t xml:space="preserve">адрес, седалище </w:t>
            </w:r>
            <w:r>
              <w:t xml:space="preserve">и адрес на управление на територията на МИГ и осъществяват дейностите по проекта на територията на МИГ </w:t>
            </w:r>
          </w:p>
          <w:p w:rsidR="009329C9" w:rsidRDefault="00B5212B">
            <w:pPr>
              <w:pStyle w:val="Default"/>
            </w:pPr>
            <w:r>
              <w:t xml:space="preserve">2. Да са </w:t>
            </w:r>
            <w:r>
              <w:rPr>
                <w:b/>
              </w:rPr>
              <w:t xml:space="preserve">търговци </w:t>
            </w:r>
            <w:r>
              <w:t xml:space="preserve">по смисъла на Търговския закон или Закона за кооперациите. </w:t>
            </w:r>
          </w:p>
          <w:p w:rsidR="009329C9" w:rsidRDefault="00B5212B">
            <w:pPr>
              <w:pStyle w:val="Default"/>
            </w:pPr>
            <w:r>
              <w:t xml:space="preserve">3. Да отговарят на </w:t>
            </w:r>
            <w:r>
              <w:rPr>
                <w:b/>
              </w:rPr>
              <w:t>изискванията за малко или средно предприятие</w:t>
            </w:r>
            <w:r>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9329C9" w:rsidRDefault="00B5212B">
            <w:pPr>
              <w:pStyle w:val="Default"/>
            </w:pPr>
            <w:r>
              <w:t xml:space="preserve">Със средства от ОПИК </w:t>
            </w:r>
            <w:r>
              <w:rPr>
                <w:b/>
              </w:rPr>
              <w:t>не се допуска</w:t>
            </w:r>
            <w:r>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9329C9" w:rsidRDefault="00B5212B">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Pr>
                <w:rFonts w:ascii="Times New Roman" w:hAnsi="Times New Roman" w:cs="Times New Roman"/>
                <w:b/>
                <w:sz w:val="24"/>
                <w:szCs w:val="24"/>
              </w:rPr>
              <w:t>забранителните режими</w:t>
            </w:r>
            <w:r>
              <w:rPr>
                <w:rFonts w:ascii="Times New Roman" w:hAnsi="Times New Roman" w:cs="Times New Roman"/>
                <w:sz w:val="24"/>
                <w:szCs w:val="24"/>
              </w:rPr>
              <w:t xml:space="preserve"> на Регламент (ЕС) № 1407/2013 на Комисията от 18 декември 2013 г.</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Допустими разходи</w:t>
            </w:r>
          </w:p>
        </w:tc>
        <w:tc>
          <w:tcPr>
            <w:tcW w:w="8931" w:type="dxa"/>
            <w:shd w:val="clear" w:color="auto" w:fill="auto"/>
          </w:tcPr>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Съгласно чл. 57, ал. 1 от ЗУСЕСИФ</w:t>
            </w:r>
            <w:r>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Pr>
                <w:rFonts w:ascii="Times New Roman" w:eastAsia="Calibri" w:hAnsi="Times New Roman" w:cs="Times New Roman"/>
                <w:b/>
                <w:sz w:val="24"/>
                <w:szCs w:val="24"/>
              </w:rPr>
              <w:t>1.Разходите са за дейности</w:t>
            </w:r>
            <w:r>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Pr>
                <w:rFonts w:ascii="Times New Roman" w:eastAsia="Calibri" w:hAnsi="Times New Roman" w:cs="Times New Roman"/>
                <w:b/>
                <w:sz w:val="24"/>
                <w:szCs w:val="24"/>
              </w:rPr>
              <w:t>2.Разходите попадат</w:t>
            </w:r>
            <w:r>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Pr>
                <w:rFonts w:ascii="Times New Roman" w:eastAsia="Calibri" w:hAnsi="Times New Roman" w:cs="Times New Roman"/>
                <w:b/>
                <w:sz w:val="24"/>
                <w:szCs w:val="24"/>
              </w:rPr>
              <w:t>3.Разходите са за реално</w:t>
            </w:r>
            <w:r>
              <w:rPr>
                <w:rFonts w:ascii="Times New Roman" w:eastAsia="Calibri" w:hAnsi="Times New Roman" w:cs="Times New Roman"/>
                <w:sz w:val="24"/>
                <w:szCs w:val="24"/>
              </w:rPr>
              <w:t xml:space="preserve"> доставени продукти, извършени услуги и строи</w:t>
            </w:r>
            <w:r>
              <w:rPr>
                <w:rFonts w:ascii="Times New Roman" w:eastAsia="Calibri" w:hAnsi="Times New Roman" w:cs="Times New Roman"/>
                <w:sz w:val="24"/>
                <w:szCs w:val="24"/>
              </w:rPr>
              <w:lastRenderedPageBreak/>
              <w:t xml:space="preserve">телни дейности; </w:t>
            </w:r>
            <w:r>
              <w:rPr>
                <w:rFonts w:ascii="Times New Roman" w:eastAsia="Calibri" w:hAnsi="Times New Roman" w:cs="Times New Roman"/>
                <w:b/>
                <w:sz w:val="24"/>
                <w:szCs w:val="24"/>
              </w:rPr>
              <w:t>4.Разходите са извършени</w:t>
            </w:r>
            <w:r>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Pr>
                <w:rFonts w:ascii="Times New Roman" w:eastAsia="Calibri" w:hAnsi="Times New Roman" w:cs="Times New Roman"/>
                <w:b/>
                <w:sz w:val="24"/>
                <w:szCs w:val="24"/>
              </w:rPr>
              <w:t>5.Разходите са отразени</w:t>
            </w:r>
            <w:r>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Pr>
                <w:rFonts w:ascii="Times New Roman" w:eastAsia="Calibri" w:hAnsi="Times New Roman" w:cs="Times New Roman"/>
                <w:b/>
                <w:sz w:val="24"/>
                <w:szCs w:val="24"/>
              </w:rPr>
              <w:t>6.За направените разходи е налична</w:t>
            </w:r>
            <w:r>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7.Разходите са съобразени</w:t>
            </w:r>
            <w:r>
              <w:rPr>
                <w:rFonts w:ascii="Times New Roman" w:eastAsia="Calibri" w:hAnsi="Times New Roman" w:cs="Times New Roman"/>
                <w:sz w:val="24"/>
                <w:szCs w:val="24"/>
              </w:rPr>
              <w:t xml:space="preserve"> с приложимите правила за предоставяне на държавни помощи.</w:t>
            </w:r>
          </w:p>
          <w:p w:rsidR="009329C9" w:rsidRDefault="00B5212B">
            <w:pPr>
              <w:autoSpaceDE w:val="0"/>
              <w:autoSpaceDN w:val="0"/>
              <w:adjustRightInd w:val="0"/>
              <w:spacing w:after="0" w:line="240" w:lineRule="auto"/>
              <w:rPr>
                <w:rFonts w:ascii="Times New Roman" w:hAnsi="Times New Roman" w:cs="Times New Roman"/>
                <w:b/>
                <w:bCs/>
                <w:sz w:val="24"/>
                <w:szCs w:val="24"/>
              </w:rPr>
            </w:pPr>
            <w:r>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lastRenderedPageBreak/>
              <w:t>Недопустими разходи</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9329C9">
        <w:tc>
          <w:tcPr>
            <w:tcW w:w="1560" w:type="dxa"/>
            <w:shd w:val="clear" w:color="auto" w:fill="D9D9D9" w:themeFill="background1" w:themeFillShade="D9"/>
          </w:tcPr>
          <w:p w:rsidR="009329C9" w:rsidRDefault="00B5212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Режим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9329C9">
        <w:tc>
          <w:tcPr>
            <w:tcW w:w="10491" w:type="dxa"/>
            <w:gridSpan w:val="2"/>
            <w:shd w:val="clear" w:color="auto" w:fill="D9D9D9" w:themeFill="background1" w:themeFillShade="D9"/>
          </w:tcPr>
          <w:p w:rsidR="009329C9" w:rsidRDefault="00B5212B">
            <w:pPr>
              <w:pStyle w:val="3"/>
              <w:spacing w:before="0" w:line="240" w:lineRule="auto"/>
              <w:jc w:val="center"/>
              <w:rPr>
                <w:rFonts w:ascii="Times New Roman" w:hAnsi="Times New Roman" w:cs="Times New Roman"/>
              </w:rPr>
            </w:pPr>
            <w:r>
              <w:rPr>
                <w:rFonts w:ascii="Times New Roman" w:hAnsi="Times New Roman" w:cs="Times New Roman"/>
                <w:bCs w:val="0"/>
                <w:color w:val="auto"/>
                <w:sz w:val="24"/>
                <w:szCs w:val="24"/>
              </w:rPr>
              <w:t>2.2</w:t>
            </w:r>
            <w:r>
              <w:rPr>
                <w:rFonts w:ascii="Times New Roman" w:hAnsi="Times New Roman" w:cs="Times New Roman"/>
                <w:color w:val="auto"/>
                <w:sz w:val="24"/>
                <w:szCs w:val="24"/>
              </w:rPr>
              <w:t xml:space="preserve"> Капацитет за растеж на МСП</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Цели и обхват на </w:t>
            </w:r>
          </w:p>
          <w:p w:rsidR="009329C9" w:rsidRDefault="00B5212B">
            <w:pPr>
              <w:spacing w:after="0" w:line="240" w:lineRule="auto"/>
              <w:ind w:right="284"/>
              <w:jc w:val="center"/>
              <w:rPr>
                <w:rFonts w:ascii="Times New Roman" w:eastAsia="Calibri" w:hAnsi="Times New Roman" w:cs="Times New Roman"/>
                <w:b/>
                <w:sz w:val="24"/>
                <w:szCs w:val="24"/>
              </w:rPr>
            </w:pPr>
            <w:r>
              <w:rPr>
                <w:rFonts w:ascii="Times New Roman" w:eastAsia="Calibri" w:hAnsi="Times New Roman" w:cs="Times New Roman"/>
                <w:b/>
                <w:sz w:val="24"/>
                <w:szCs w:val="24"/>
              </w:rPr>
              <w:t>мярката:</w:t>
            </w:r>
          </w:p>
          <w:p w:rsidR="009329C9" w:rsidRDefault="009329C9">
            <w:pPr>
              <w:spacing w:after="0" w:line="240" w:lineRule="auto"/>
              <w:ind w:right="284"/>
              <w:jc w:val="center"/>
              <w:rPr>
                <w:rFonts w:ascii="Times New Roman" w:eastAsia="Calibri" w:hAnsi="Times New Roman" w:cs="Times New Roman"/>
                <w:b/>
                <w:sz w:val="24"/>
                <w:szCs w:val="24"/>
              </w:rPr>
            </w:pPr>
          </w:p>
        </w:tc>
        <w:tc>
          <w:tcPr>
            <w:tcW w:w="8931" w:type="dxa"/>
          </w:tcPr>
          <w:p w:rsidR="009329C9" w:rsidRDefault="00B5212B">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b/>
                <w:sz w:val="24"/>
                <w:szCs w:val="24"/>
              </w:rPr>
              <w:t>Мярката съответства на</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ПРИОРИТЕТНА ОС 2</w:t>
            </w:r>
            <w:r>
              <w:rPr>
                <w:rFonts w:ascii="Times New Roman" w:eastAsia="Calibri" w:hAnsi="Times New Roman" w:cs="Times New Roman"/>
                <w:sz w:val="24"/>
                <w:szCs w:val="24"/>
              </w:rPr>
              <w:t xml:space="preserve"> от ОПИК </w:t>
            </w:r>
            <w:r>
              <w:rPr>
                <w:rFonts w:ascii="Times New Roman" w:eastAsia="Calibri" w:hAnsi="Times New Roman" w:cs="Times New Roman"/>
                <w:sz w:val="24"/>
                <w:szCs w:val="24"/>
                <w:u w:val="single"/>
              </w:rPr>
              <w:t>„ПРЕДПРИЕМАЧЕСТВО И КАПАЦИТЕТ ЗА РАСТЕЖ НАМСП“;</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Инвестиционен приоритет2.2</w:t>
            </w:r>
            <w:r>
              <w:rPr>
                <w:rFonts w:ascii="Times New Roman" w:eastAsia="Calibri" w:hAnsi="Times New Roman" w:cs="Times New Roman"/>
                <w:sz w:val="24"/>
                <w:szCs w:val="24"/>
              </w:rPr>
              <w:t>„</w:t>
            </w:r>
            <w:r>
              <w:rPr>
                <w:rFonts w:ascii="Times New Roman" w:eastAsia="Calibri" w:hAnsi="Times New Roman" w:cs="Times New Roman"/>
                <w:sz w:val="24"/>
                <w:szCs w:val="24"/>
                <w:u w:val="single"/>
              </w:rPr>
              <w:t>Капацитет за растеж на МСП”,</w:t>
            </w:r>
          </w:p>
          <w:p w:rsidR="009329C9" w:rsidRDefault="00B5212B">
            <w:pPr>
              <w:spacing w:after="0" w:line="240" w:lineRule="auto"/>
              <w:ind w:right="284"/>
              <w:jc w:val="both"/>
              <w:rPr>
                <w:rFonts w:ascii="Times New Roman" w:eastAsia="Calibri" w:hAnsi="Times New Roman" w:cs="Times New Roman"/>
                <w:sz w:val="24"/>
                <w:szCs w:val="24"/>
                <w:u w:val="single"/>
              </w:rPr>
            </w:pPr>
            <w:r>
              <w:rPr>
                <w:rFonts w:ascii="Times New Roman" w:eastAsia="Calibri" w:hAnsi="Times New Roman" w:cs="Times New Roman"/>
                <w:b/>
                <w:sz w:val="24"/>
                <w:szCs w:val="24"/>
              </w:rPr>
              <w:t>Тематична цел 3</w:t>
            </w:r>
            <w:r>
              <w:rPr>
                <w:rFonts w:ascii="Times New Roman" w:eastAsia="Calibri" w:hAnsi="Times New Roman" w:cs="Times New Roman"/>
                <w:sz w:val="24"/>
                <w:szCs w:val="24"/>
              </w:rPr>
              <w:t xml:space="preserve">: </w:t>
            </w:r>
            <w:r>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 на мярката: </w:t>
            </w:r>
            <w:r>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Целеви групи: </w:t>
            </w:r>
            <w:r>
              <w:rPr>
                <w:rFonts w:ascii="Times New Roman" w:eastAsia="Calibri" w:hAnsi="Times New Roman" w:cs="Times New Roman"/>
                <w:sz w:val="24"/>
                <w:szCs w:val="24"/>
              </w:rPr>
              <w:t xml:space="preserve">1.За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Pr>
                <w:rFonts w:ascii="Times New Roman" w:eastAsia="Calibri" w:hAnsi="Times New Roman" w:cs="Times New Roman"/>
                <w:b/>
                <w:sz w:val="24"/>
                <w:szCs w:val="24"/>
              </w:rPr>
              <w:t>целева група</w:t>
            </w:r>
            <w:r>
              <w:rPr>
                <w:rFonts w:ascii="Times New Roman" w:eastAsia="Calibri" w:hAnsi="Times New Roman" w:cs="Times New Roman"/>
                <w:sz w:val="24"/>
                <w:szCs w:val="24"/>
              </w:rPr>
              <w:t xml:space="preserve"> са МСП според НСНМСП. </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За подкрепа за специализирани услуги за МСП за развитие и укрепване на управленския капацитет, </w:t>
            </w:r>
            <w:r>
              <w:rPr>
                <w:rFonts w:ascii="Times New Roman" w:eastAsia="Calibri" w:hAnsi="Times New Roman" w:cs="Times New Roman"/>
                <w:b/>
                <w:sz w:val="24"/>
                <w:szCs w:val="24"/>
              </w:rPr>
              <w:t>целева група</w:t>
            </w:r>
            <w:r>
              <w:rPr>
                <w:rFonts w:ascii="Times New Roman" w:eastAsia="Calibri" w:hAnsi="Times New Roman" w:cs="Times New Roman"/>
                <w:sz w:val="24"/>
                <w:szCs w:val="24"/>
              </w:rPr>
              <w:t xml:space="preserve"> са са МСП според НСНМСП. </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За подкрепа за растеж на предприятия чрез подобряване на качеството и насърчаване използването на ИКТ и услуги </w:t>
            </w:r>
            <w:r>
              <w:rPr>
                <w:rFonts w:ascii="Times New Roman" w:eastAsia="Calibri" w:hAnsi="Times New Roman" w:cs="Times New Roman"/>
                <w:b/>
                <w:sz w:val="24"/>
                <w:szCs w:val="24"/>
              </w:rPr>
              <w:t>целева група</w:t>
            </w:r>
            <w:r>
              <w:rPr>
                <w:rFonts w:ascii="Times New Roman" w:eastAsia="Calibri" w:hAnsi="Times New Roman" w:cs="Times New Roman"/>
                <w:sz w:val="24"/>
                <w:szCs w:val="24"/>
              </w:rPr>
              <w:t xml:space="preserve"> са МСП според НСНМСП.</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Обхват на мярката:</w:t>
            </w:r>
            <w:r>
              <w:rPr>
                <w:rFonts w:ascii="Times New Roman" w:eastAsia="Calibri" w:hAnsi="Times New Roman" w:cs="Times New Roman"/>
                <w:sz w:val="24"/>
                <w:szCs w:val="24"/>
              </w:rPr>
              <w:t>територията на МИГ „Свиленград Ареал“</w:t>
            </w:r>
          </w:p>
          <w:p w:rsidR="009329C9" w:rsidRDefault="00B5212B">
            <w:pPr>
              <w:spacing w:after="0" w:line="240" w:lineRule="auto"/>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4"/>
                <w:szCs w:val="24"/>
              </w:rPr>
              <w:t>Съответствие със спецификата на територията:</w:t>
            </w:r>
            <w:r>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Pr>
                <w:rFonts w:ascii="Times New Roman" w:eastAsia="Calibri" w:hAnsi="Times New Roman" w:cs="Times New Roman"/>
                <w:sz w:val="24"/>
                <w:szCs w:val="24"/>
              </w:rPr>
              <w:lastRenderedPageBreak/>
              <w:t>1%</w:t>
            </w:r>
            <w:r>
              <w:rPr>
                <w:rFonts w:ascii="Times New Roman" w:eastAsia="Calibri" w:hAnsi="Times New Roman" w:cs="Times New Roman"/>
                <w:sz w:val="23"/>
                <w:szCs w:val="23"/>
              </w:rPr>
              <w:t xml:space="preserve"> е относителният дял на средните предприятия, липсват предприятия от категорията „големи“.Микропредприятията са основен двигател на икономиката на територията на МИГ. </w:t>
            </w:r>
          </w:p>
          <w:p w:rsidR="009329C9" w:rsidRDefault="00B5212B">
            <w:pPr>
              <w:spacing w:after="0" w:line="240" w:lineRule="auto"/>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 xml:space="preserve">Идентифицирани проблеми на МСП: </w:t>
            </w:r>
            <w:r>
              <w:rPr>
                <w:rFonts w:ascii="Times New Roman" w:eastAsia="Calibri" w:hAnsi="Times New Roman" w:cs="Times New Roman"/>
                <w:sz w:val="23"/>
                <w:szCs w:val="23"/>
              </w:rPr>
              <w:t>ниската норма на печалба, ниската производителност на труда, съответно ниска добавена стойност и местните МСП очевидно се нуждаят от модернизация и подобряване на конкурентоспособността. Необходимостта от насърчаване развитието на МСП на територията на община Свиленград е жизненоважна. МСП са и единственият източник за създаване на нови работни места на територията.</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lastRenderedPageBreak/>
              <w:t>Допустими дейности</w:t>
            </w:r>
          </w:p>
        </w:tc>
        <w:tc>
          <w:tcPr>
            <w:tcW w:w="8931" w:type="dxa"/>
          </w:tcPr>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Общи производствени инвестиции за подобряване на производствения капацитет за растеж чрез ефективното и ефикасно използване на факторите на производство и чрез изграждането на възможности за възприемане и адаптиране на европейски и международни знания и технологии; </w:t>
            </w:r>
            <w:r>
              <w:rPr>
                <w:rFonts w:ascii="Times New Roman" w:eastAsia="Calibri" w:hAnsi="Times New Roman" w:cs="Times New Roman"/>
                <w:b/>
                <w:sz w:val="24"/>
                <w:szCs w:val="24"/>
              </w:rPr>
              <w:t>Очакваният принос</w:t>
            </w:r>
            <w:r>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Подкрепа за специализирани услуги за МСП за развитие и укрепване на управленски капацитет; </w:t>
            </w:r>
            <w:r>
              <w:rPr>
                <w:rFonts w:ascii="Times New Roman" w:eastAsia="Calibri" w:hAnsi="Times New Roman" w:cs="Times New Roman"/>
                <w:b/>
                <w:sz w:val="24"/>
                <w:szCs w:val="24"/>
              </w:rPr>
              <w:t>Очакваният принос</w:t>
            </w:r>
            <w:r>
              <w:rPr>
                <w:rFonts w:ascii="Times New Roman" w:eastAsia="Calibri" w:hAnsi="Times New Roman" w:cs="Times New Roman"/>
                <w:sz w:val="24"/>
                <w:szCs w:val="24"/>
              </w:rPr>
              <w:t xml:space="preserve"> е свързан с подобряване на капацитета на българските МСП за работа в интензивно конкурентни пазари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Pr>
                <w:rFonts w:ascii="Times New Roman" w:eastAsia="Calibri" w:hAnsi="Times New Roman" w:cs="Times New Roman"/>
                <w:b/>
                <w:sz w:val="24"/>
                <w:szCs w:val="24"/>
              </w:rPr>
              <w:t>Очакваният принос</w:t>
            </w:r>
            <w:r>
              <w:rPr>
                <w:rFonts w:ascii="Times New Roman" w:eastAsia="Calibri" w:hAnsi="Times New Roman" w:cs="Times New Roman"/>
                <w:sz w:val="24"/>
                <w:szCs w:val="24"/>
              </w:rPr>
              <w:t xml:space="preserve"> е свързан с подобряване на капацитета на МСП за правене на конкурентен и устойчив бизнес, както и за осигуряване на по-бърз и по-лесен достъп до чужди пазари и оптимизиране на процесите за управление на бизнеса.</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 </w:t>
            </w:r>
            <w:r>
              <w:rPr>
                <w:rFonts w:ascii="Times New Roman" w:eastAsia="Calibri" w:hAnsi="Times New Roman" w:cs="Times New Roman"/>
                <w:b/>
                <w:sz w:val="24"/>
                <w:szCs w:val="24"/>
              </w:rPr>
              <w:t>повишаване</w:t>
            </w:r>
            <w:r>
              <w:rPr>
                <w:rFonts w:ascii="Times New Roman" w:eastAsia="Calibri" w:hAnsi="Times New Roman" w:cs="Times New Roman"/>
                <w:sz w:val="24"/>
                <w:szCs w:val="24"/>
              </w:rPr>
              <w:t xml:space="preserve"> на производителността; -</w:t>
            </w:r>
            <w:r>
              <w:rPr>
                <w:rFonts w:ascii="Times New Roman" w:eastAsia="Calibri" w:hAnsi="Times New Roman" w:cs="Times New Roman"/>
                <w:b/>
                <w:sz w:val="24"/>
                <w:szCs w:val="24"/>
              </w:rPr>
              <w:t xml:space="preserve">подобряване </w:t>
            </w:r>
            <w:r>
              <w:rPr>
                <w:rFonts w:ascii="Times New Roman" w:eastAsia="Calibri" w:hAnsi="Times New Roman" w:cs="Times New Roman"/>
                <w:sz w:val="24"/>
                <w:szCs w:val="24"/>
              </w:rPr>
              <w:t xml:space="preserve">на производствените процеси; - </w:t>
            </w:r>
            <w:r>
              <w:rPr>
                <w:rFonts w:ascii="Times New Roman" w:eastAsia="Calibri" w:hAnsi="Times New Roman" w:cs="Times New Roman"/>
                <w:b/>
                <w:sz w:val="24"/>
                <w:szCs w:val="24"/>
              </w:rPr>
              <w:t>разширяване</w:t>
            </w:r>
            <w:r>
              <w:rPr>
                <w:rFonts w:ascii="Times New Roman" w:eastAsia="Calibri" w:hAnsi="Times New Roman" w:cs="Times New Roman"/>
                <w:sz w:val="24"/>
                <w:szCs w:val="24"/>
              </w:rPr>
              <w:t xml:space="preserve"> на производството чрез добавяне на нови характеристики или подобряване на съществуващите продукти и услуги; - </w:t>
            </w:r>
            <w:r>
              <w:rPr>
                <w:rFonts w:ascii="Times New Roman" w:eastAsia="Calibri" w:hAnsi="Times New Roman" w:cs="Times New Roman"/>
                <w:b/>
                <w:sz w:val="24"/>
                <w:szCs w:val="24"/>
              </w:rPr>
              <w:t xml:space="preserve">разнообразяване </w:t>
            </w:r>
            <w:r>
              <w:rPr>
                <w:rFonts w:ascii="Times New Roman" w:eastAsia="Calibri" w:hAnsi="Times New Roman" w:cs="Times New Roman"/>
                <w:sz w:val="24"/>
                <w:szCs w:val="24"/>
              </w:rPr>
              <w:t xml:space="preserve">на асортимента от продукти и услуги на предприятията; - </w:t>
            </w:r>
            <w:r>
              <w:rPr>
                <w:rFonts w:ascii="Times New Roman" w:eastAsia="Calibri" w:hAnsi="Times New Roman" w:cs="Times New Roman"/>
                <w:b/>
                <w:sz w:val="24"/>
                <w:szCs w:val="24"/>
              </w:rPr>
              <w:t xml:space="preserve">внедряване </w:t>
            </w:r>
            <w:r>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 </w:t>
            </w:r>
            <w:r>
              <w:rPr>
                <w:rFonts w:ascii="Times New Roman" w:eastAsia="Calibri" w:hAnsi="Times New Roman" w:cs="Times New Roman"/>
                <w:b/>
                <w:sz w:val="24"/>
                <w:szCs w:val="24"/>
              </w:rPr>
              <w:t xml:space="preserve">разработване, внедряване и сертифициране </w:t>
            </w:r>
            <w:r>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Pr>
                <w:rFonts w:ascii="Times New Roman" w:eastAsia="Calibri" w:hAnsi="Times New Roman" w:cs="Times New Roman"/>
                <w:b/>
                <w:sz w:val="24"/>
                <w:szCs w:val="24"/>
              </w:rPr>
              <w:t>- разработване</w:t>
            </w:r>
            <w:r>
              <w:rPr>
                <w:rFonts w:ascii="Times New Roman" w:eastAsia="Calibri" w:hAnsi="Times New Roman" w:cs="Times New Roman"/>
                <w:sz w:val="24"/>
                <w:szCs w:val="24"/>
              </w:rPr>
              <w:t>, трансфер, внедряване и сертифициране на добри производствени практики; -</w:t>
            </w:r>
            <w:r>
              <w:rPr>
                <w:rFonts w:ascii="Times New Roman" w:eastAsia="Calibri" w:hAnsi="Times New Roman" w:cs="Times New Roman"/>
                <w:b/>
                <w:sz w:val="24"/>
                <w:szCs w:val="24"/>
              </w:rPr>
              <w:t>разработване на стратегии</w:t>
            </w:r>
            <w:r>
              <w:rPr>
                <w:rFonts w:ascii="Times New Roman" w:eastAsia="Calibri" w:hAnsi="Times New Roman" w:cs="Times New Roman"/>
                <w:sz w:val="24"/>
                <w:szCs w:val="24"/>
              </w:rPr>
              <w:t xml:space="preserve"> за пазарна реализация; - </w:t>
            </w:r>
            <w:r>
              <w:rPr>
                <w:rFonts w:ascii="Times New Roman" w:eastAsia="Calibri" w:hAnsi="Times New Roman" w:cs="Times New Roman"/>
                <w:b/>
                <w:sz w:val="24"/>
                <w:szCs w:val="24"/>
              </w:rPr>
              <w:t>разработване и въвеждане</w:t>
            </w:r>
            <w:r>
              <w:rPr>
                <w:rFonts w:ascii="Times New Roman" w:eastAsia="Calibri" w:hAnsi="Times New Roman" w:cs="Times New Roman"/>
                <w:sz w:val="24"/>
                <w:szCs w:val="24"/>
              </w:rPr>
              <w:t xml:space="preserve"> на базирани на ИКТ системи и приложения, за управление на бизнеса, вкл. такива за интеграция на различни звена и локации на дадено дружество, системи за автоматизирано проектиране, инженерни дейности и производство и др.. </w:t>
            </w:r>
          </w:p>
          <w:p w:rsidR="009329C9" w:rsidRDefault="00B5212B">
            <w:pPr>
              <w:spacing w:after="0" w:line="240" w:lineRule="auto"/>
              <w:ind w:right="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Дейностите са допустими само ако представляват </w:t>
            </w:r>
            <w:r>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t xml:space="preserve">Допустими </w:t>
            </w:r>
          </w:p>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t>разходи</w:t>
            </w:r>
          </w:p>
        </w:tc>
        <w:tc>
          <w:tcPr>
            <w:tcW w:w="8931" w:type="dxa"/>
          </w:tcPr>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придобиване</w:t>
            </w:r>
            <w:r>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придобиване</w:t>
            </w:r>
            <w:r>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услуги</w:t>
            </w:r>
            <w:r>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9329C9" w:rsidRDefault="00B5212B">
            <w:pPr>
              <w:spacing w:after="0" w:line="240" w:lineRule="auto"/>
              <w:ind w:righ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услуги</w:t>
            </w:r>
            <w:r>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9329C9" w:rsidRDefault="00B5212B">
            <w:pPr>
              <w:spacing w:after="0" w:line="240" w:lineRule="auto"/>
              <w:ind w:right="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Разходи за ползване </w:t>
            </w:r>
            <w:r>
              <w:rPr>
                <w:rFonts w:ascii="Times New Roman" w:eastAsia="Times New Roman" w:hAnsi="Times New Roman" w:cs="Times New Roman"/>
                <w:color w:val="000000"/>
                <w:sz w:val="24"/>
                <w:szCs w:val="24"/>
              </w:rPr>
              <w:t xml:space="preserve">на специализирани консултантски услуги за реинженеринг </w:t>
            </w:r>
            <w:r>
              <w:rPr>
                <w:rFonts w:ascii="Times New Roman" w:eastAsia="Times New Roman" w:hAnsi="Times New Roman" w:cs="Times New Roman"/>
                <w:color w:val="000000"/>
                <w:sz w:val="24"/>
                <w:szCs w:val="24"/>
              </w:rPr>
              <w:lastRenderedPageBreak/>
              <w:t xml:space="preserve">на процесите в предприятията; </w:t>
            </w:r>
          </w:p>
          <w:p w:rsidR="009329C9" w:rsidRDefault="00B5212B">
            <w:pPr>
              <w:spacing w:after="0" w:line="240" w:lineRule="auto"/>
              <w:ind w:right="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Разходи за придобиване</w:t>
            </w:r>
            <w:r>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9329C9" w:rsidRDefault="00B5212B">
            <w:pPr>
              <w:spacing w:after="0" w:line="240" w:lineRule="auto"/>
              <w:ind w:right="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Разходи за услуги </w:t>
            </w:r>
            <w:r>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9329C9">
        <w:tc>
          <w:tcPr>
            <w:tcW w:w="1560" w:type="dxa"/>
            <w:shd w:val="clear" w:color="auto" w:fill="D9D9D9" w:themeFill="background1" w:themeFillShade="D9"/>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lastRenderedPageBreak/>
              <w:t>Допустими кандидати</w:t>
            </w:r>
          </w:p>
        </w:tc>
        <w:tc>
          <w:tcPr>
            <w:tcW w:w="8931" w:type="dxa"/>
          </w:tcPr>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Високотехнологични и средно високотехнологични промишлени производства:</w:t>
            </w:r>
            <w:r>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Pr>
                <w:rFonts w:ascii="Times New Roman" w:eastAsia="Calibri" w:hAnsi="Times New Roman" w:cs="Times New Roman"/>
                <w:b/>
                <w:sz w:val="24"/>
                <w:szCs w:val="24"/>
              </w:rPr>
              <w:t>Интензивни на знание услуги</w:t>
            </w:r>
            <w:r>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9329C9">
        <w:tc>
          <w:tcPr>
            <w:tcW w:w="1560" w:type="dxa"/>
            <w:shd w:val="clear" w:color="auto" w:fill="BFBFBF" w:themeFill="background1" w:themeFillShade="BF"/>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t>Финансови параметри и интензитет на проектите:</w:t>
            </w:r>
          </w:p>
        </w:tc>
        <w:tc>
          <w:tcPr>
            <w:tcW w:w="8931" w:type="dxa"/>
            <w:shd w:val="clear" w:color="auto" w:fill="auto"/>
          </w:tcPr>
          <w:p w:rsidR="009329C9" w:rsidRDefault="00B521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Минимална стойност</w:t>
            </w:r>
            <w:r>
              <w:rPr>
                <w:rFonts w:ascii="Times New Roman" w:hAnsi="Times New Roman" w:cs="Times New Roman"/>
                <w:sz w:val="24"/>
                <w:szCs w:val="24"/>
              </w:rPr>
              <w:t xml:space="preserve"> на проект  – 50 000 евроили 97 790 лв.</w:t>
            </w:r>
          </w:p>
          <w:p w:rsidR="009329C9" w:rsidRDefault="00B521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Максимална стойност</w:t>
            </w:r>
            <w:r>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9329C9" w:rsidRDefault="00B5212B">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Интензитет на финансовата помощ: </w:t>
            </w:r>
            <w:r>
              <w:rPr>
                <w:rFonts w:ascii="Times New Roman" w:eastAsia="Calibri" w:hAnsi="Times New Roman" w:cs="Times New Roman"/>
                <w:sz w:val="24"/>
                <w:szCs w:val="24"/>
              </w:rPr>
              <w:t>до 90 % от общата стойност на допустимите разходи</w:t>
            </w:r>
          </w:p>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b/>
                <w:sz w:val="24"/>
                <w:szCs w:val="24"/>
              </w:rPr>
              <w:t>Общ бюджет на мярката</w:t>
            </w:r>
            <w:r>
              <w:rPr>
                <w:rFonts w:ascii="Times New Roman" w:eastAsia="Calibri" w:hAnsi="Times New Roman" w:cs="Times New Roman"/>
                <w:sz w:val="24"/>
                <w:szCs w:val="24"/>
              </w:rPr>
              <w:t xml:space="preserve"> – 1 955 800 лв.</w:t>
            </w:r>
          </w:p>
        </w:tc>
      </w:tr>
      <w:tr w:rsidR="009329C9">
        <w:tc>
          <w:tcPr>
            <w:tcW w:w="1560" w:type="dxa"/>
            <w:shd w:val="clear" w:color="auto" w:fill="BFBFBF" w:themeFill="background1" w:themeFillShade="BF"/>
          </w:tcPr>
          <w:p w:rsidR="009329C9" w:rsidRDefault="00B5212B">
            <w:pPr>
              <w:spacing w:after="0" w:line="240" w:lineRule="auto"/>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9329C9" w:rsidRDefault="00B5212B">
            <w:pPr>
              <w:spacing w:after="0" w:line="24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9329C9" w:rsidRDefault="00B5212B">
            <w:pPr>
              <w:spacing w:after="0" w:line="240" w:lineRule="auto"/>
              <w:ind w:right="284"/>
              <w:jc w:val="both"/>
              <w:rPr>
                <w:rFonts w:ascii="Times New Roman" w:eastAsia="Calibri" w:hAnsi="Times New Roman" w:cs="Times New Roman"/>
                <w:b/>
                <w:sz w:val="24"/>
                <w:szCs w:val="24"/>
              </w:rPr>
            </w:pPr>
            <w:r>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9329C9">
        <w:tc>
          <w:tcPr>
            <w:tcW w:w="1560" w:type="dxa"/>
            <w:shd w:val="clear" w:color="auto" w:fill="BFBFBF" w:themeFill="background1" w:themeFillShade="BF"/>
          </w:tcPr>
          <w:p w:rsidR="009329C9" w:rsidRDefault="00B5212B">
            <w:pPr>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Общи</w:t>
            </w:r>
          </w:p>
          <w:p w:rsidR="009329C9" w:rsidRDefault="00B5212B">
            <w:pPr>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критерии</w:t>
            </w:r>
          </w:p>
          <w:p w:rsidR="009329C9" w:rsidRDefault="00B5212B">
            <w:pPr>
              <w:spacing w:after="0" w:line="240" w:lineRule="auto"/>
              <w:ind w:right="284"/>
              <w:jc w:val="center"/>
              <w:rPr>
                <w:rFonts w:ascii="Times New Roman" w:eastAsia="Times New Roman" w:hAnsi="Times New Roman" w:cs="Times New Roman"/>
                <w:b/>
              </w:rPr>
            </w:pPr>
            <w:r>
              <w:rPr>
                <w:rFonts w:ascii="Times New Roman" w:eastAsia="Times New Roman" w:hAnsi="Times New Roman" w:cs="Times New Roman"/>
                <w:b/>
              </w:rPr>
              <w:t>за избор на</w:t>
            </w:r>
          </w:p>
          <w:p w:rsidR="009329C9" w:rsidRDefault="00B5212B">
            <w:pPr>
              <w:spacing w:after="0" w:line="240" w:lineRule="auto"/>
              <w:ind w:right="284"/>
              <w:jc w:val="center"/>
              <w:rPr>
                <w:rFonts w:ascii="Times New Roman" w:eastAsia="Calibri" w:hAnsi="Times New Roman" w:cs="Times New Roman"/>
                <w:b/>
              </w:rPr>
            </w:pPr>
            <w:r>
              <w:rPr>
                <w:rFonts w:ascii="Times New Roman" w:eastAsia="Times New Roman" w:hAnsi="Times New Roman" w:cs="Times New Roman"/>
                <w:b/>
              </w:rPr>
              <w:t>проекти</w:t>
            </w:r>
          </w:p>
        </w:tc>
        <w:tc>
          <w:tcPr>
            <w:tcW w:w="8931" w:type="dxa"/>
            <w:shd w:val="clear" w:color="auto" w:fill="auto"/>
          </w:tcPr>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9329C9" w:rsidRDefault="00B5212B">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9329C9">
        <w:trPr>
          <w:trHeight w:val="1141"/>
        </w:trPr>
        <w:tc>
          <w:tcPr>
            <w:tcW w:w="1560" w:type="dxa"/>
            <w:shd w:val="clear" w:color="auto" w:fill="BFBFBF" w:themeFill="background1" w:themeFillShade="BF"/>
          </w:tcPr>
          <w:p w:rsidR="009329C9" w:rsidRDefault="00B5212B">
            <w:pPr>
              <w:spacing w:after="0" w:line="240" w:lineRule="auto"/>
              <w:ind w:right="284"/>
              <w:contextualSpacing/>
              <w:jc w:val="center"/>
              <w:rPr>
                <w:rFonts w:ascii="Times New Roman" w:eastAsia="Calibri" w:hAnsi="Times New Roman" w:cs="Times New Roman"/>
                <w:b/>
                <w:bCs/>
              </w:rPr>
            </w:pPr>
            <w:r>
              <w:rPr>
                <w:rFonts w:ascii="Times New Roman" w:eastAsia="Calibri" w:hAnsi="Times New Roman" w:cs="Times New Roman"/>
                <w:b/>
                <w:bCs/>
              </w:rPr>
              <w:t>Специфични за територията допълнителни критерии</w:t>
            </w:r>
          </w:p>
        </w:tc>
        <w:tc>
          <w:tcPr>
            <w:tcW w:w="8931" w:type="dxa"/>
            <w:shd w:val="clear" w:color="auto" w:fill="auto"/>
          </w:tcPr>
          <w:p w:rsidR="009329C9" w:rsidRDefault="009329C9">
            <w:pPr>
              <w:spacing w:after="0" w:line="240" w:lineRule="auto"/>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4A0" w:firstRow="1" w:lastRow="0" w:firstColumn="1" w:lastColumn="0" w:noHBand="0" w:noVBand="1"/>
            </w:tblPr>
            <w:tblGrid>
              <w:gridCol w:w="7114"/>
              <w:gridCol w:w="1275"/>
            </w:tblGrid>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ТЕХНИЧЕСКА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9329C9" w:rsidRDefault="00B5212B">
                  <w:pPr>
                    <w:spacing w:before="225" w:after="22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ТОЧКИ</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Times New Roman" w:hAnsi="Times New Roman" w:cs="Times New Roman"/>
                      <w:color w:val="000000"/>
                      <w:sz w:val="23"/>
                      <w:szCs w:val="23"/>
                    </w:rPr>
                  </w:pPr>
                  <w:r>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autoSpaceDE w:val="0"/>
                    <w:autoSpaceDN w:val="0"/>
                    <w:adjustRightInd w:val="0"/>
                    <w:spacing w:after="0" w:line="240" w:lineRule="auto"/>
                    <w:contextualSpacing/>
                    <w:rPr>
                      <w:rFonts w:ascii="Times New Roman" w:eastAsia="Calibri" w:hAnsi="Times New Roman" w:cs="Times New Roman"/>
                      <w:sz w:val="23"/>
                      <w:szCs w:val="23"/>
                    </w:rPr>
                  </w:pPr>
                  <w:r>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contextualSpacing/>
                    <w:rPr>
                      <w:rFonts w:ascii="Times New Roman" w:eastAsia="Calibri" w:hAnsi="Times New Roman" w:cs="Times New Roman"/>
                      <w:sz w:val="23"/>
                      <w:szCs w:val="23"/>
                    </w:rPr>
                  </w:pPr>
                  <w:r>
                    <w:rPr>
                      <w:rFonts w:ascii="Times New Roman" w:eastAsia="Calibri" w:hAnsi="Times New Roman" w:cs="Times New Roman"/>
                      <w:sz w:val="23"/>
                      <w:szCs w:val="23"/>
                    </w:rPr>
                    <w:t xml:space="preserve">Проектът е свързан с други цели и приоритети от ОПИК, които не са включени в конкретната мярка или с други проекти по ОПИК,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329C9">
              <w:tc>
                <w:tcPr>
                  <w:tcW w:w="7114" w:type="dxa"/>
                  <w:tcBorders>
                    <w:top w:val="outset" w:sz="6" w:space="0" w:color="auto"/>
                    <w:left w:val="outset" w:sz="6" w:space="0" w:color="auto"/>
                    <w:bottom w:val="outset" w:sz="6" w:space="0" w:color="auto"/>
                    <w:right w:val="outset" w:sz="6" w:space="0" w:color="auto"/>
                  </w:tcBorders>
                </w:tcPr>
                <w:p w:rsidR="009329C9" w:rsidRDefault="00B5212B">
                  <w:pPr>
                    <w:spacing w:after="0" w:line="240" w:lineRule="auto"/>
                    <w:rPr>
                      <w:rFonts w:ascii="Times New Roman" w:eastAsia="Times New Roman" w:hAnsi="Times New Roman" w:cs="Times New Roman"/>
                      <w:b/>
                      <w:sz w:val="23"/>
                      <w:szCs w:val="23"/>
                    </w:rPr>
                  </w:pPr>
                  <w:r>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9329C9" w:rsidRDefault="00B5212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bl>
          <w:p w:rsidR="009329C9" w:rsidRDefault="009329C9">
            <w:pPr>
              <w:spacing w:after="0" w:line="240" w:lineRule="auto"/>
              <w:ind w:right="284"/>
              <w:contextualSpacing/>
              <w:jc w:val="both"/>
              <w:rPr>
                <w:rFonts w:ascii="Times New Roman" w:eastAsia="Calibri" w:hAnsi="Times New Roman" w:cs="Times New Roman"/>
                <w:bCs/>
                <w:sz w:val="24"/>
                <w:szCs w:val="24"/>
              </w:rPr>
            </w:pPr>
          </w:p>
        </w:tc>
      </w:tr>
    </w:tbl>
    <w:p w:rsidR="009329C9" w:rsidRDefault="009329C9">
      <w:pPr>
        <w:rPr>
          <w:rFonts w:ascii="Times New Roman" w:hAnsi="Times New Roman" w:cs="Times New Roman"/>
        </w:rPr>
      </w:pPr>
    </w:p>
    <w:p w:rsidR="009329C9" w:rsidRDefault="009329C9">
      <w:pPr>
        <w:spacing w:after="120"/>
        <w:ind w:right="-1"/>
        <w:jc w:val="both"/>
        <w:rPr>
          <w:rFonts w:ascii="Times New Roman" w:hAnsi="Times New Roman" w:cs="Times New Roman"/>
          <w:sz w:val="24"/>
          <w:szCs w:val="24"/>
        </w:rPr>
      </w:pPr>
    </w:p>
    <w:p w:rsidR="009329C9" w:rsidRDefault="00B5212B">
      <w:pPr>
        <w:rPr>
          <w:rFonts w:ascii="Times New Roman" w:eastAsiaTheme="majorEastAsia" w:hAnsi="Times New Roman" w:cs="Times New Roman"/>
          <w:b/>
          <w:bCs/>
          <w:sz w:val="24"/>
          <w:szCs w:val="24"/>
        </w:rPr>
      </w:pPr>
      <w:bookmarkStart w:id="37" w:name="_Toc449349435"/>
      <w:bookmarkStart w:id="38" w:name="_Toc448139204"/>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6. Финансов план:</w:t>
      </w:r>
      <w:bookmarkEnd w:id="37"/>
      <w:bookmarkEnd w:id="38"/>
    </w:p>
    <w:p w:rsidR="009329C9" w:rsidRDefault="00B5212B">
      <w:pPr>
        <w:pStyle w:val="2"/>
        <w:spacing w:before="0" w:after="120"/>
        <w:ind w:right="-1"/>
        <w:jc w:val="both"/>
        <w:rPr>
          <w:rFonts w:ascii="Times New Roman" w:hAnsi="Times New Roman" w:cs="Times New Roman"/>
          <w:b/>
          <w:color w:val="auto"/>
          <w:sz w:val="24"/>
          <w:szCs w:val="24"/>
        </w:rPr>
      </w:pPr>
      <w:bookmarkStart w:id="39" w:name="_Toc449349436"/>
      <w:bookmarkStart w:id="40" w:name="_Toc448139205"/>
      <w:r>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9329C9">
        <w:trPr>
          <w:trHeight w:val="475"/>
        </w:trPr>
        <w:tc>
          <w:tcPr>
            <w:tcW w:w="489" w:type="pct"/>
            <w:vMerge w:val="restar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1" w:name="_Toc448392292"/>
            <w:bookmarkStart w:id="42" w:name="_Toc449349437"/>
            <w:r>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Общо за периода на стратегията</w:t>
            </w:r>
          </w:p>
        </w:tc>
      </w:tr>
      <w:tr w:rsidR="009329C9">
        <w:trPr>
          <w:trHeight w:val="145"/>
        </w:trPr>
        <w:tc>
          <w:tcPr>
            <w:tcW w:w="489" w:type="pct"/>
            <w:vMerge/>
            <w:vAlign w:val="center"/>
          </w:tcPr>
          <w:p w:rsidR="009329C9" w:rsidRDefault="009329C9">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tcPr>
          <w:p w:rsidR="009329C9" w:rsidRDefault="009329C9">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A54C1">
              <w:rPr>
                <w:rFonts w:ascii="Times New Roman" w:eastAsia="Calibri" w:hAnsi="Times New Roman" w:cs="Times New Roman"/>
                <w:b/>
                <w:sz w:val="24"/>
                <w:szCs w:val="24"/>
                <w:lang w:eastAsia="en-US"/>
              </w:rPr>
              <w:t> </w:t>
            </w:r>
            <w:r>
              <w:rPr>
                <w:rFonts w:ascii="Times New Roman" w:eastAsia="Calibri" w:hAnsi="Times New Roman" w:cs="Times New Roman"/>
                <w:b/>
                <w:sz w:val="24"/>
                <w:szCs w:val="24"/>
                <w:lang w:eastAsia="en-US"/>
              </w:rPr>
              <w:t>732</w:t>
            </w:r>
            <w:r w:rsidR="000A54C1">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lang w:eastAsia="en-US"/>
              </w:rPr>
              <w:t>699,85</w:t>
            </w:r>
          </w:p>
          <w:p w:rsidR="009329C9" w:rsidRDefault="009329C9">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tcPr>
          <w:p w:rsidR="009329C9" w:rsidRDefault="000A54C1" w:rsidP="000A54C1">
            <w:pPr>
              <w:tabs>
                <w:tab w:val="left" w:pos="142"/>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w:t>
            </w:r>
            <w:r w:rsidR="00B5212B">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53</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tcPr>
          <w:p w:rsidR="009329C9" w:rsidRDefault="00B5212B" w:rsidP="00973F60">
            <w:pPr>
              <w:jc w:val="center"/>
              <w:rPr>
                <w:rFonts w:ascii="Times New Roman" w:hAnsi="Times New Roman" w:cs="Times New Roman"/>
                <w:b/>
                <w:sz w:val="24"/>
                <w:szCs w:val="24"/>
              </w:rPr>
            </w:pPr>
            <w:r>
              <w:rPr>
                <w:rFonts w:ascii="Times New Roman" w:hAnsi="Times New Roman" w:cs="Times New Roman"/>
                <w:b/>
                <w:sz w:val="24"/>
                <w:szCs w:val="24"/>
              </w:rPr>
              <w:t>7</w:t>
            </w:r>
            <w:r w:rsidR="00973F60">
              <w:rPr>
                <w:rFonts w:ascii="Times New Roman" w:hAnsi="Times New Roman" w:cs="Times New Roman"/>
                <w:b/>
                <w:sz w:val="24"/>
                <w:szCs w:val="24"/>
              </w:rPr>
              <w:t>26 166,55</w:t>
            </w:r>
          </w:p>
        </w:tc>
        <w:tc>
          <w:tcPr>
            <w:tcW w:w="409" w:type="pct"/>
            <w:shd w:val="clear" w:color="auto" w:fill="auto"/>
            <w:tcMar>
              <w:top w:w="57" w:type="dxa"/>
              <w:left w:w="57" w:type="dxa"/>
              <w:bottom w:w="57" w:type="dxa"/>
              <w:right w:w="57" w:type="dxa"/>
            </w:tcMar>
          </w:tcPr>
          <w:p w:rsidR="009329C9" w:rsidRDefault="00973F60" w:rsidP="00973F60">
            <w:pPr>
              <w:jc w:val="center"/>
              <w:rPr>
                <w:rFonts w:ascii="Times New Roman" w:hAnsi="Times New Roman" w:cs="Times New Roman"/>
                <w:b/>
                <w:sz w:val="24"/>
                <w:szCs w:val="24"/>
              </w:rPr>
            </w:pPr>
            <w:r>
              <w:rPr>
                <w:rFonts w:ascii="Times New Roman" w:hAnsi="Times New Roman" w:cs="Times New Roman"/>
                <w:b/>
                <w:sz w:val="24"/>
                <w:szCs w:val="24"/>
              </w:rPr>
              <w:t>5</w:t>
            </w:r>
            <w:r w:rsidR="00B5212B">
              <w:rPr>
                <w:rFonts w:ascii="Times New Roman" w:hAnsi="Times New Roman" w:cs="Times New Roman"/>
                <w:b/>
                <w:sz w:val="24"/>
                <w:szCs w:val="24"/>
              </w:rPr>
              <w:t>,</w:t>
            </w:r>
            <w:r>
              <w:rPr>
                <w:rFonts w:ascii="Times New Roman" w:hAnsi="Times New Roman" w:cs="Times New Roman"/>
                <w:b/>
                <w:sz w:val="24"/>
                <w:szCs w:val="24"/>
              </w:rPr>
              <w:t>94</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tcPr>
          <w:p w:rsidR="009329C9" w:rsidRDefault="00973F60" w:rsidP="00973F60">
            <w:pPr>
              <w:jc w:val="center"/>
              <w:rPr>
                <w:rFonts w:ascii="Times New Roman" w:hAnsi="Times New Roman" w:cs="Times New Roman"/>
                <w:sz w:val="24"/>
                <w:szCs w:val="24"/>
              </w:rPr>
            </w:pPr>
            <w:r>
              <w:rPr>
                <w:rFonts w:ascii="Times New Roman" w:hAnsi="Times New Roman" w:cs="Times New Roman"/>
                <w:sz w:val="24"/>
                <w:szCs w:val="24"/>
              </w:rPr>
              <w:t>628 641,55</w:t>
            </w:r>
          </w:p>
        </w:tc>
        <w:tc>
          <w:tcPr>
            <w:tcW w:w="409" w:type="pct"/>
            <w:shd w:val="clear" w:color="auto" w:fill="auto"/>
            <w:tcMar>
              <w:top w:w="57" w:type="dxa"/>
              <w:left w:w="57" w:type="dxa"/>
              <w:bottom w:w="57" w:type="dxa"/>
              <w:right w:w="57" w:type="dxa"/>
            </w:tcMar>
          </w:tcPr>
          <w:p w:rsidR="009329C9" w:rsidRDefault="000A54C1" w:rsidP="000A54C1">
            <w:pPr>
              <w:jc w:val="center"/>
              <w:rPr>
                <w:rFonts w:ascii="Times New Roman" w:hAnsi="Times New Roman" w:cs="Times New Roman"/>
                <w:sz w:val="24"/>
                <w:szCs w:val="24"/>
              </w:rPr>
            </w:pPr>
            <w:r>
              <w:rPr>
                <w:rFonts w:ascii="Times New Roman" w:hAnsi="Times New Roman" w:cs="Times New Roman"/>
                <w:sz w:val="24"/>
                <w:szCs w:val="24"/>
              </w:rPr>
              <w:t>5</w:t>
            </w:r>
            <w:r w:rsidR="00973F60">
              <w:rPr>
                <w:rFonts w:ascii="Times New Roman" w:hAnsi="Times New Roman" w:cs="Times New Roman"/>
                <w:sz w:val="24"/>
                <w:szCs w:val="24"/>
              </w:rPr>
              <w:t>,14</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tcPr>
          <w:p w:rsidR="009329C9" w:rsidRDefault="00973F60" w:rsidP="00973F60">
            <w:pPr>
              <w:jc w:val="center"/>
              <w:rPr>
                <w:rFonts w:ascii="Times New Roman" w:hAnsi="Times New Roman" w:cs="Times New Roman"/>
                <w:sz w:val="24"/>
                <w:szCs w:val="24"/>
              </w:rPr>
            </w:pPr>
            <w:r>
              <w:rPr>
                <w:rFonts w:ascii="Times New Roman" w:hAnsi="Times New Roman" w:cs="Times New Roman"/>
                <w:sz w:val="24"/>
                <w:szCs w:val="24"/>
              </w:rPr>
              <w:t>97 525</w:t>
            </w:r>
            <w:r w:rsidR="00B5212B">
              <w:rPr>
                <w:rFonts w:ascii="Times New Roman" w:hAnsi="Times New Roman" w:cs="Times New Roman"/>
                <w:sz w:val="24"/>
                <w:szCs w:val="24"/>
              </w:rPr>
              <w:t>,</w:t>
            </w:r>
            <w:r>
              <w:rPr>
                <w:rFonts w:ascii="Times New Roman" w:hAnsi="Times New Roman" w:cs="Times New Roman"/>
                <w:sz w:val="24"/>
                <w:szCs w:val="24"/>
              </w:rPr>
              <w:t>0</w:t>
            </w:r>
            <w:r w:rsidR="00B5212B">
              <w:rPr>
                <w:rFonts w:ascii="Times New Roman" w:hAnsi="Times New Roman" w:cs="Times New Roman"/>
                <w:sz w:val="24"/>
                <w:szCs w:val="24"/>
              </w:rPr>
              <w:t>0</w:t>
            </w:r>
          </w:p>
        </w:tc>
        <w:tc>
          <w:tcPr>
            <w:tcW w:w="409" w:type="pct"/>
            <w:shd w:val="clear" w:color="auto" w:fill="auto"/>
            <w:tcMar>
              <w:top w:w="57" w:type="dxa"/>
              <w:left w:w="57" w:type="dxa"/>
              <w:bottom w:w="57" w:type="dxa"/>
              <w:right w:w="57" w:type="dxa"/>
            </w:tcMar>
          </w:tcPr>
          <w:p w:rsidR="009329C9" w:rsidRDefault="00973F60" w:rsidP="00973F60">
            <w:pPr>
              <w:jc w:val="center"/>
              <w:rPr>
                <w:rFonts w:ascii="Times New Roman" w:hAnsi="Times New Roman" w:cs="Times New Roman"/>
                <w:sz w:val="24"/>
                <w:szCs w:val="24"/>
              </w:rPr>
            </w:pPr>
            <w:r>
              <w:rPr>
                <w:rFonts w:ascii="Times New Roman" w:hAnsi="Times New Roman" w:cs="Times New Roman"/>
                <w:sz w:val="24"/>
                <w:szCs w:val="24"/>
              </w:rPr>
              <w:t>0,80</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color w:val="000000"/>
                <w:sz w:val="24"/>
                <w:szCs w:val="24"/>
              </w:rPr>
            </w:pPr>
            <w:r>
              <w:rPr>
                <w:rFonts w:ascii="Times New Roman" w:eastAsia="Calibri" w:hAnsi="Times New Roman" w:cs="Times New Roman"/>
                <w:b/>
                <w:sz w:val="24"/>
                <w:szCs w:val="24"/>
                <w:lang w:eastAsia="en-US"/>
              </w:rPr>
              <w:t>МЯРКА 6 „</w:t>
            </w:r>
            <w:r>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b/>
                <w:sz w:val="24"/>
                <w:szCs w:val="24"/>
              </w:rPr>
            </w:pPr>
            <w:r>
              <w:rPr>
                <w:rFonts w:ascii="Times New Roman" w:hAnsi="Times New Roman" w:cs="Times New Roman"/>
                <w:b/>
                <w:sz w:val="24"/>
                <w:szCs w:val="24"/>
              </w:rPr>
              <w:t>1 462 625,44</w:t>
            </w:r>
          </w:p>
        </w:tc>
        <w:tc>
          <w:tcPr>
            <w:tcW w:w="409" w:type="pct"/>
            <w:shd w:val="clear" w:color="auto" w:fill="auto"/>
            <w:tcMar>
              <w:top w:w="57" w:type="dxa"/>
              <w:left w:w="57" w:type="dxa"/>
              <w:bottom w:w="57" w:type="dxa"/>
              <w:right w:w="57" w:type="dxa"/>
            </w:tcMar>
          </w:tcPr>
          <w:p w:rsidR="009329C9" w:rsidRDefault="00B5212B" w:rsidP="000A54C1">
            <w:pPr>
              <w:jc w:val="center"/>
              <w:rPr>
                <w:rFonts w:ascii="Times New Roman" w:hAnsi="Times New Roman" w:cs="Times New Roman"/>
                <w:b/>
                <w:sz w:val="24"/>
                <w:szCs w:val="24"/>
              </w:rPr>
            </w:pPr>
            <w:r>
              <w:rPr>
                <w:rFonts w:ascii="Times New Roman" w:hAnsi="Times New Roman" w:cs="Times New Roman"/>
                <w:b/>
                <w:sz w:val="24"/>
                <w:szCs w:val="24"/>
              </w:rPr>
              <w:t>11,</w:t>
            </w:r>
            <w:r w:rsidR="000A54C1">
              <w:rPr>
                <w:rFonts w:ascii="Times New Roman" w:hAnsi="Times New Roman" w:cs="Times New Roman"/>
                <w:b/>
                <w:sz w:val="24"/>
                <w:szCs w:val="24"/>
              </w:rPr>
              <w:t>96</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tcPr>
          <w:p w:rsidR="009329C9" w:rsidRDefault="00B5212B">
            <w:pPr>
              <w:jc w:val="center"/>
              <w:rPr>
                <w:rFonts w:ascii="Times New Roman" w:hAnsi="Times New Roman" w:cs="Times New Roman"/>
                <w:sz w:val="24"/>
                <w:szCs w:val="24"/>
              </w:rPr>
            </w:pPr>
            <w:r>
              <w:rPr>
                <w:rFonts w:ascii="Times New Roman" w:hAnsi="Times New Roman" w:cs="Times New Roman"/>
                <w:sz w:val="24"/>
                <w:szCs w:val="24"/>
              </w:rPr>
              <w:t>1 462 625,44</w:t>
            </w:r>
          </w:p>
        </w:tc>
        <w:tc>
          <w:tcPr>
            <w:tcW w:w="409" w:type="pct"/>
            <w:shd w:val="clear" w:color="auto" w:fill="auto"/>
            <w:tcMar>
              <w:top w:w="57" w:type="dxa"/>
              <w:left w:w="57" w:type="dxa"/>
              <w:bottom w:w="57" w:type="dxa"/>
              <w:right w:w="57" w:type="dxa"/>
            </w:tcMar>
          </w:tcPr>
          <w:p w:rsidR="009329C9" w:rsidRDefault="00B5212B" w:rsidP="000A54C1">
            <w:pPr>
              <w:jc w:val="center"/>
              <w:rPr>
                <w:rFonts w:ascii="Times New Roman" w:hAnsi="Times New Roman" w:cs="Times New Roman"/>
                <w:sz w:val="24"/>
                <w:szCs w:val="24"/>
              </w:rPr>
            </w:pPr>
            <w:r>
              <w:rPr>
                <w:rFonts w:ascii="Times New Roman" w:hAnsi="Times New Roman" w:cs="Times New Roman"/>
                <w:sz w:val="24"/>
                <w:szCs w:val="24"/>
              </w:rPr>
              <w:t>11,</w:t>
            </w:r>
            <w:r w:rsidR="000A54C1">
              <w:rPr>
                <w:rFonts w:ascii="Times New Roman" w:hAnsi="Times New Roman" w:cs="Times New Roman"/>
                <w:sz w:val="24"/>
                <w:szCs w:val="24"/>
              </w:rPr>
              <w:t>96</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color w:val="000000"/>
                <w:sz w:val="24"/>
                <w:szCs w:val="24"/>
              </w:rPr>
            </w:pPr>
            <w:r>
              <w:rPr>
                <w:rFonts w:ascii="Times New Roman" w:eastAsia="Calibri" w:hAnsi="Times New Roman" w:cs="Times New Roman"/>
                <w:b/>
                <w:sz w:val="24"/>
                <w:szCs w:val="24"/>
                <w:lang w:eastAsia="en-US"/>
              </w:rPr>
              <w:t>МЯРКА 7 „</w:t>
            </w:r>
            <w:r>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9329C9" w:rsidRDefault="00B5212B" w:rsidP="00973F60">
            <w:pPr>
              <w:spacing w:after="0"/>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eastAsia="en-US"/>
              </w:rPr>
              <w:t>1</w:t>
            </w:r>
            <w:r w:rsidR="00973F60">
              <w:rPr>
                <w:rFonts w:ascii="Times New Roman" w:eastAsia="Calibri" w:hAnsi="Times New Roman" w:cs="Times New Roman"/>
                <w:b/>
                <w:sz w:val="24"/>
                <w:szCs w:val="24"/>
                <w:lang w:eastAsia="en-US"/>
              </w:rPr>
              <w:t> 543 907</w:t>
            </w:r>
            <w:r>
              <w:rPr>
                <w:rFonts w:ascii="Times New Roman" w:eastAsia="Calibri" w:hAnsi="Times New Roman" w:cs="Times New Roman"/>
                <w:b/>
                <w:sz w:val="24"/>
                <w:szCs w:val="24"/>
                <w:lang w:eastAsia="en-US"/>
              </w:rPr>
              <w:t>,</w:t>
            </w:r>
            <w:r w:rsidR="00973F60">
              <w:rPr>
                <w:rFonts w:ascii="Times New Roman" w:eastAsia="Calibri" w:hAnsi="Times New Roman" w:cs="Times New Roman"/>
                <w:b/>
                <w:sz w:val="24"/>
                <w:szCs w:val="24"/>
                <w:lang w:eastAsia="en-US"/>
              </w:rPr>
              <w:t>86</w:t>
            </w:r>
          </w:p>
        </w:tc>
        <w:tc>
          <w:tcPr>
            <w:tcW w:w="409" w:type="pct"/>
            <w:shd w:val="clear" w:color="auto" w:fill="auto"/>
            <w:tcMar>
              <w:top w:w="57" w:type="dxa"/>
              <w:left w:w="57" w:type="dxa"/>
              <w:bottom w:w="57" w:type="dxa"/>
              <w:right w:w="57" w:type="dxa"/>
            </w:tcMar>
            <w:vAlign w:val="center"/>
          </w:tcPr>
          <w:p w:rsidR="009329C9" w:rsidRDefault="00B5212B" w:rsidP="00973F60">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0A54C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sidR="00973F60">
              <w:rPr>
                <w:rFonts w:ascii="Times New Roman" w:eastAsia="Times New Roman" w:hAnsi="Times New Roman" w:cs="Times New Roman"/>
                <w:b/>
                <w:color w:val="000000"/>
                <w:sz w:val="24"/>
                <w:szCs w:val="24"/>
              </w:rPr>
              <w:t>63</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Инвестиции в създаването, подобряването или разширяването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9329C9" w:rsidRDefault="00973F60" w:rsidP="00973F60">
            <w:pPr>
              <w:spacing w:after="0"/>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1 023 898,44</w:t>
            </w:r>
          </w:p>
        </w:tc>
        <w:tc>
          <w:tcPr>
            <w:tcW w:w="409" w:type="pct"/>
            <w:shd w:val="clear" w:color="auto" w:fill="auto"/>
            <w:tcMar>
              <w:top w:w="57" w:type="dxa"/>
              <w:left w:w="57" w:type="dxa"/>
              <w:bottom w:w="57" w:type="dxa"/>
              <w:right w:w="57" w:type="dxa"/>
            </w:tcMar>
            <w:vAlign w:val="center"/>
          </w:tcPr>
          <w:p w:rsidR="009329C9" w:rsidRDefault="000A54C1" w:rsidP="00973F60">
            <w:pPr>
              <w:tabs>
                <w:tab w:val="left" w:pos="142"/>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B5212B">
              <w:rPr>
                <w:rFonts w:ascii="Times New Roman" w:eastAsia="Times New Roman" w:hAnsi="Times New Roman" w:cs="Times New Roman"/>
                <w:color w:val="000000"/>
                <w:sz w:val="24"/>
                <w:szCs w:val="24"/>
              </w:rPr>
              <w:t>,</w:t>
            </w:r>
            <w:r w:rsidR="00973F60">
              <w:rPr>
                <w:rFonts w:ascii="Times New Roman" w:eastAsia="Times New Roman" w:hAnsi="Times New Roman" w:cs="Times New Roman"/>
                <w:color w:val="000000"/>
                <w:sz w:val="24"/>
                <w:szCs w:val="24"/>
              </w:rPr>
              <w:t>37</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9329C9" w:rsidRDefault="00B5212B">
            <w:pPr>
              <w:tabs>
                <w:tab w:val="left" w:pos="130"/>
              </w:tabs>
              <w:spacing w:after="0"/>
              <w:ind w:right="18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423 700,00</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ind w:firstLine="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A54C1">
              <w:rPr>
                <w:rFonts w:ascii="Times New Roman" w:eastAsia="Times New Roman" w:hAnsi="Times New Roman" w:cs="Times New Roman"/>
                <w:color w:val="000000"/>
                <w:sz w:val="24"/>
                <w:szCs w:val="24"/>
              </w:rPr>
              <w:t>47</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9329C9">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9329C9" w:rsidRDefault="00B5212B">
            <w:pPr>
              <w:tabs>
                <w:tab w:val="left" w:pos="130"/>
              </w:tabs>
              <w:spacing w:after="0"/>
              <w:ind w:left="130" w:right="1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Мерки, които не са част от ПРСР 2014 – 2020 г., но са включени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tcPr>
          <w:p w:rsidR="009329C9" w:rsidRDefault="009329C9">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tcPr>
          <w:p w:rsidR="009329C9" w:rsidRDefault="009329C9">
            <w:pPr>
              <w:tabs>
                <w:tab w:val="left" w:pos="142"/>
              </w:tabs>
              <w:spacing w:after="0"/>
              <w:ind w:firstLine="85"/>
              <w:jc w:val="center"/>
              <w:rPr>
                <w:rFonts w:ascii="Times New Roman" w:eastAsia="Times New Roman" w:hAnsi="Times New Roman" w:cs="Times New Roman"/>
                <w:color w:val="000000"/>
                <w:sz w:val="24"/>
                <w:szCs w:val="24"/>
              </w:rPr>
            </w:pPr>
          </w:p>
        </w:tc>
      </w:tr>
      <w:tr w:rsidR="009329C9">
        <w:trPr>
          <w:trHeight w:val="918"/>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left="130" w:right="1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tcPr>
          <w:p w:rsidR="009329C9" w:rsidRDefault="00973F60" w:rsidP="00973F60">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96 309,42</w:t>
            </w:r>
          </w:p>
        </w:tc>
        <w:tc>
          <w:tcPr>
            <w:tcW w:w="409" w:type="pct"/>
            <w:shd w:val="clear" w:color="auto" w:fill="auto"/>
            <w:tcMar>
              <w:top w:w="57" w:type="dxa"/>
              <w:left w:w="57" w:type="dxa"/>
              <w:bottom w:w="57" w:type="dxa"/>
              <w:right w:w="57" w:type="dxa"/>
            </w:tcMar>
            <w:vAlign w:val="center"/>
          </w:tcPr>
          <w:p w:rsidR="009329C9" w:rsidRDefault="00B5212B" w:rsidP="00973F60">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sidR="00973F60">
              <w:rPr>
                <w:rFonts w:ascii="Times New Roman" w:eastAsia="Times New Roman" w:hAnsi="Times New Roman" w:cs="Times New Roman"/>
                <w:b/>
                <w:sz w:val="24"/>
                <w:szCs w:val="24"/>
              </w:rPr>
              <w:t>79</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Съхраняване, развитие и валоризиране на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tcPr>
          <w:p w:rsidR="009329C9" w:rsidRDefault="00973F60" w:rsidP="00973F60">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96 309,42</w:t>
            </w:r>
          </w:p>
        </w:tc>
        <w:tc>
          <w:tcPr>
            <w:tcW w:w="409" w:type="pct"/>
            <w:shd w:val="clear" w:color="auto" w:fill="auto"/>
            <w:tcMar>
              <w:top w:w="57" w:type="dxa"/>
              <w:left w:w="57" w:type="dxa"/>
              <w:bottom w:w="57" w:type="dxa"/>
              <w:right w:w="57" w:type="dxa"/>
            </w:tcMar>
            <w:vAlign w:val="center"/>
          </w:tcPr>
          <w:p w:rsidR="009329C9" w:rsidRDefault="00B5212B" w:rsidP="00973F60">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973F60">
              <w:rPr>
                <w:rFonts w:ascii="Times New Roman" w:eastAsia="Times New Roman" w:hAnsi="Times New Roman" w:cs="Times New Roman"/>
                <w:sz w:val="24"/>
                <w:szCs w:val="24"/>
              </w:rPr>
              <w:t>79</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9329C9" w:rsidRDefault="000A54C1" w:rsidP="000A54C1">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665 812</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04</w:t>
            </w:r>
          </w:p>
        </w:tc>
        <w:tc>
          <w:tcPr>
            <w:tcW w:w="409" w:type="pct"/>
            <w:shd w:val="clear" w:color="auto" w:fill="auto"/>
            <w:tcMar>
              <w:top w:w="57" w:type="dxa"/>
              <w:left w:w="57" w:type="dxa"/>
              <w:bottom w:w="57" w:type="dxa"/>
              <w:right w:w="57" w:type="dxa"/>
            </w:tcMar>
            <w:vAlign w:val="center"/>
          </w:tcPr>
          <w:p w:rsidR="009329C9" w:rsidRDefault="00B5212B" w:rsidP="000A54C1">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0A54C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5</w:t>
            </w:r>
          </w:p>
        </w:tc>
      </w:tr>
      <w:tr w:rsidR="000A54C1">
        <w:trPr>
          <w:trHeight w:val="60"/>
        </w:trPr>
        <w:tc>
          <w:tcPr>
            <w:tcW w:w="489" w:type="pct"/>
            <w:shd w:val="clear" w:color="auto" w:fill="auto"/>
            <w:tcMar>
              <w:top w:w="57" w:type="dxa"/>
              <w:left w:w="57" w:type="dxa"/>
              <w:bottom w:w="57" w:type="dxa"/>
              <w:right w:w="57" w:type="dxa"/>
            </w:tcMar>
            <w:vAlign w:val="center"/>
          </w:tcPr>
          <w:p w:rsidR="000A54C1" w:rsidRDefault="000A54C1" w:rsidP="000A54C1">
            <w:pPr>
              <w:tabs>
                <w:tab w:val="left" w:pos="142"/>
              </w:tabs>
              <w:spacing w:after="0"/>
              <w:ind w:firstLine="8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0A54C1" w:rsidRDefault="000A54C1" w:rsidP="000A54C1">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Социално-икономическа интеграция на маргинализирани общности като ромите. </w:t>
            </w:r>
          </w:p>
        </w:tc>
        <w:tc>
          <w:tcPr>
            <w:tcW w:w="947" w:type="pct"/>
            <w:shd w:val="clear" w:color="auto" w:fill="auto"/>
            <w:tcMar>
              <w:top w:w="57" w:type="dxa"/>
              <w:left w:w="57" w:type="dxa"/>
              <w:bottom w:w="57" w:type="dxa"/>
              <w:right w:w="57" w:type="dxa"/>
            </w:tcMar>
            <w:vAlign w:val="center"/>
          </w:tcPr>
          <w:p w:rsidR="000A54C1" w:rsidRPr="000A54C1" w:rsidRDefault="000A54C1" w:rsidP="000A54C1">
            <w:pPr>
              <w:tabs>
                <w:tab w:val="left" w:pos="142"/>
              </w:tabs>
              <w:spacing w:after="0"/>
              <w:ind w:firstLine="85"/>
              <w:jc w:val="center"/>
              <w:rPr>
                <w:rFonts w:ascii="Times New Roman" w:eastAsia="Times New Roman" w:hAnsi="Times New Roman" w:cs="Times New Roman"/>
                <w:sz w:val="24"/>
                <w:szCs w:val="24"/>
              </w:rPr>
            </w:pPr>
            <w:r w:rsidRPr="000A54C1">
              <w:rPr>
                <w:rFonts w:ascii="Times New Roman" w:eastAsia="Times New Roman" w:hAnsi="Times New Roman" w:cs="Times New Roman"/>
                <w:sz w:val="24"/>
                <w:szCs w:val="24"/>
              </w:rPr>
              <w:t>665 812,04</w:t>
            </w:r>
          </w:p>
        </w:tc>
        <w:tc>
          <w:tcPr>
            <w:tcW w:w="409" w:type="pct"/>
            <w:shd w:val="clear" w:color="auto" w:fill="auto"/>
            <w:tcMar>
              <w:top w:w="57" w:type="dxa"/>
              <w:left w:w="57" w:type="dxa"/>
              <w:bottom w:w="57" w:type="dxa"/>
              <w:right w:w="57" w:type="dxa"/>
            </w:tcMar>
            <w:vAlign w:val="center"/>
          </w:tcPr>
          <w:p w:rsidR="000A54C1" w:rsidRPr="000A54C1" w:rsidRDefault="000A54C1" w:rsidP="000A54C1">
            <w:pPr>
              <w:tabs>
                <w:tab w:val="left" w:pos="142"/>
              </w:tabs>
              <w:spacing w:after="0"/>
              <w:ind w:firstLine="85"/>
              <w:jc w:val="center"/>
              <w:rPr>
                <w:rFonts w:ascii="Times New Roman" w:eastAsia="Times New Roman" w:hAnsi="Times New Roman" w:cs="Times New Roman"/>
                <w:sz w:val="24"/>
                <w:szCs w:val="24"/>
              </w:rPr>
            </w:pPr>
            <w:r w:rsidRPr="000A54C1">
              <w:rPr>
                <w:rFonts w:ascii="Times New Roman" w:eastAsia="Times New Roman" w:hAnsi="Times New Roman" w:cs="Times New Roman"/>
                <w:sz w:val="24"/>
                <w:szCs w:val="24"/>
              </w:rPr>
              <w:t>5,45</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МЕРКИ, ФИНАНСИРАНИ ОТ ОПОС (ЕФРР)</w:t>
            </w:r>
          </w:p>
        </w:tc>
        <w:tc>
          <w:tcPr>
            <w:tcW w:w="947" w:type="pct"/>
            <w:shd w:val="clear" w:color="auto" w:fill="auto"/>
            <w:tcMar>
              <w:top w:w="57" w:type="dxa"/>
              <w:left w:w="57" w:type="dxa"/>
              <w:bottom w:w="57" w:type="dxa"/>
              <w:right w:w="57" w:type="dxa"/>
            </w:tcMar>
            <w:vAlign w:val="center"/>
          </w:tcPr>
          <w:p w:rsidR="009329C9" w:rsidRDefault="00FC4B3A">
            <w:pPr>
              <w:tabs>
                <w:tab w:val="left" w:pos="142"/>
              </w:tabs>
              <w:spacing w:after="0"/>
              <w:ind w:firstLine="8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4 785 157,</w:t>
            </w:r>
            <w:r w:rsidR="00B5212B">
              <w:rPr>
                <w:rFonts w:ascii="Times New Roman" w:eastAsia="Times New Roman" w:hAnsi="Times New Roman" w:cs="Times New Roman"/>
                <w:b/>
                <w:sz w:val="24"/>
                <w:szCs w:val="24"/>
              </w:rPr>
              <w:t>54</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FC4B3A">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r w:rsidR="00FC4B3A">
              <w:rPr>
                <w:rFonts w:ascii="Times New Roman" w:eastAsia="Times New Roman" w:hAnsi="Times New Roman" w:cs="Times New Roman"/>
                <w:b/>
                <w:sz w:val="24"/>
                <w:szCs w:val="24"/>
              </w:rPr>
              <w:t>14</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9329C9">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rPr>
                <w:rFonts w:ascii="Times New Roman" w:eastAsia="Times New Roman" w:hAnsi="Times New Roman" w:cs="Times New Roman"/>
                <w:b/>
                <w:sz w:val="24"/>
                <w:szCs w:val="24"/>
                <w:lang w:val="en-US"/>
              </w:rPr>
            </w:pPr>
            <w:r>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4 785</w:t>
            </w:r>
            <w:r w:rsidR="00FC4B3A">
              <w:rPr>
                <w:rFonts w:ascii="Times New Roman" w:eastAsia="Times New Roman" w:hAnsi="Times New Roman" w:cs="Times New Roman"/>
                <w:sz w:val="24"/>
                <w:szCs w:val="24"/>
              </w:rPr>
              <w:t> </w:t>
            </w:r>
            <w:r>
              <w:rPr>
                <w:rFonts w:ascii="Times New Roman" w:eastAsia="Times New Roman" w:hAnsi="Times New Roman" w:cs="Times New Roman"/>
                <w:sz w:val="24"/>
                <w:szCs w:val="24"/>
              </w:rPr>
              <w:t>157</w:t>
            </w:r>
            <w:r w:rsidR="00FC4B3A">
              <w:rPr>
                <w:rFonts w:ascii="Times New Roman" w:eastAsia="Times New Roman" w:hAnsi="Times New Roman" w:cs="Times New Roman"/>
                <w:sz w:val="24"/>
                <w:szCs w:val="24"/>
              </w:rPr>
              <w:t>,</w:t>
            </w:r>
            <w:r>
              <w:rPr>
                <w:rFonts w:ascii="Times New Roman" w:eastAsia="Times New Roman" w:hAnsi="Times New Roman" w:cs="Times New Roman"/>
                <w:sz w:val="24"/>
                <w:szCs w:val="24"/>
              </w:rPr>
              <w:t>54</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C4B3A">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00FC4B3A">
              <w:rPr>
                <w:rFonts w:ascii="Times New Roman" w:eastAsia="Times New Roman" w:hAnsi="Times New Roman" w:cs="Times New Roman"/>
                <w:sz w:val="24"/>
                <w:szCs w:val="24"/>
              </w:rPr>
              <w:t>14</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w:t>
            </w:r>
            <w:r w:rsidR="00FC4B3A">
              <w:rPr>
                <w:rFonts w:ascii="Times New Roman" w:eastAsia="Times New Roman" w:hAnsi="Times New Roman" w:cs="Times New Roman"/>
                <w:b/>
                <w:sz w:val="24"/>
                <w:szCs w:val="24"/>
              </w:rPr>
              <w:t>087</w:t>
            </w:r>
            <w:r>
              <w:rPr>
                <w:rFonts w:ascii="Times New Roman" w:eastAsia="Times New Roman" w:hAnsi="Times New Roman" w:cs="Times New Roman"/>
                <w:b/>
                <w:sz w:val="24"/>
                <w:szCs w:val="24"/>
              </w:rPr>
              <w:t> 4</w:t>
            </w:r>
            <w:r w:rsidR="00FC4B3A">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w:t>
            </w:r>
            <w:r w:rsidR="00FC4B3A">
              <w:rPr>
                <w:rFonts w:ascii="Times New Roman" w:eastAsia="Times New Roman" w:hAnsi="Times New Roman" w:cs="Times New Roman"/>
                <w:b/>
                <w:sz w:val="24"/>
                <w:szCs w:val="24"/>
              </w:rPr>
              <w:t>94</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89</w:t>
            </w:r>
          </w:p>
        </w:tc>
      </w:tr>
      <w:tr w:rsidR="009329C9">
        <w:trPr>
          <w:trHeight w:val="596"/>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ПРИОРИТЕТНА ОС № 1 „ПОДОБРЯВАНЕ ДОСТЪПА ДО ЗАЕТОСТ И КАЧЕСТВОТО НА РАБОТНИТЕ МЕСТА”</w:t>
            </w:r>
          </w:p>
        </w:tc>
        <w:tc>
          <w:tcPr>
            <w:tcW w:w="947"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677 930,65</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00B5212B">
              <w:rPr>
                <w:rFonts w:ascii="Times New Roman" w:eastAsia="Times New Roman" w:hAnsi="Times New Roman" w:cs="Times New Roman"/>
                <w:b/>
                <w:sz w:val="24"/>
                <w:szCs w:val="24"/>
              </w:rPr>
              <w:t>4</w:t>
            </w:r>
          </w:p>
        </w:tc>
      </w:tr>
      <w:tr w:rsidR="009329C9">
        <w:trPr>
          <w:trHeight w:val="596"/>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9329C9" w:rsidRDefault="00B5212B">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524</w:t>
            </w:r>
            <w:r w:rsidR="00B5212B">
              <w:rPr>
                <w:rFonts w:ascii="Times New Roman" w:eastAsia="Times New Roman" w:hAnsi="Times New Roman" w:cs="Times New Roman"/>
                <w:sz w:val="24"/>
                <w:szCs w:val="24"/>
              </w:rPr>
              <w:t> </w:t>
            </w:r>
            <w:r>
              <w:rPr>
                <w:rFonts w:ascii="Times New Roman" w:eastAsia="Times New Roman" w:hAnsi="Times New Roman" w:cs="Times New Roman"/>
                <w:sz w:val="24"/>
                <w:szCs w:val="24"/>
              </w:rPr>
              <w:t>196</w:t>
            </w:r>
            <w:r w:rsidR="00B5212B">
              <w:rPr>
                <w:rFonts w:ascii="Times New Roman" w:eastAsia="Times New Roman" w:hAnsi="Times New Roman" w:cs="Times New Roman"/>
                <w:sz w:val="24"/>
                <w:szCs w:val="24"/>
              </w:rPr>
              <w:t>,</w:t>
            </w:r>
            <w:r>
              <w:rPr>
                <w:rFonts w:ascii="Times New Roman" w:eastAsia="Times New Roman" w:hAnsi="Times New Roman" w:cs="Times New Roman"/>
                <w:sz w:val="24"/>
                <w:szCs w:val="24"/>
              </w:rPr>
              <w:t>31</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5212B">
              <w:rPr>
                <w:rFonts w:ascii="Times New Roman" w:eastAsia="Times New Roman" w:hAnsi="Times New Roman" w:cs="Times New Roman"/>
                <w:sz w:val="24"/>
                <w:szCs w:val="24"/>
              </w:rPr>
              <w:t>,</w:t>
            </w:r>
            <w:r>
              <w:rPr>
                <w:rFonts w:ascii="Times New Roman" w:eastAsia="Times New Roman" w:hAnsi="Times New Roman" w:cs="Times New Roman"/>
                <w:sz w:val="24"/>
                <w:szCs w:val="24"/>
              </w:rPr>
              <w:t>29</w:t>
            </w:r>
          </w:p>
        </w:tc>
      </w:tr>
      <w:tr w:rsidR="009329C9">
        <w:trPr>
          <w:trHeight w:val="596"/>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9329C9" w:rsidRDefault="00B5212B">
            <w:pPr>
              <w:tabs>
                <w:tab w:val="left" w:pos="142"/>
              </w:tabs>
              <w:spacing w:after="0"/>
              <w:ind w:right="186"/>
              <w:jc w:val="both"/>
              <w:textAlignment w:val="center"/>
              <w:rPr>
                <w:rFonts w:ascii="Times New Roman" w:eastAsia="Calibri" w:hAnsi="Times New Roman" w:cs="Times New Roman"/>
                <w:lang w:val="en-US" w:eastAsia="en-US"/>
              </w:rPr>
            </w:pPr>
            <w:r>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9329C9" w:rsidRDefault="00B5212B">
            <w:pPr>
              <w:tabs>
                <w:tab w:val="left" w:pos="142"/>
              </w:tabs>
              <w:spacing w:after="0"/>
              <w:ind w:right="186"/>
              <w:jc w:val="both"/>
              <w:textAlignment w:val="center"/>
              <w:rPr>
                <w:rFonts w:ascii="Times New Roman" w:eastAsia="Calibri" w:hAnsi="Times New Roman" w:cs="Times New Roman"/>
                <w:lang w:eastAsia="en-US"/>
              </w:rPr>
            </w:pPr>
            <w:r>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образование.</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C4B3A">
              <w:rPr>
                <w:rFonts w:ascii="Times New Roman" w:eastAsia="Times New Roman" w:hAnsi="Times New Roman" w:cs="Times New Roman"/>
                <w:sz w:val="24"/>
                <w:szCs w:val="24"/>
              </w:rPr>
              <w:t>53</w:t>
            </w:r>
            <w:r>
              <w:rPr>
                <w:rFonts w:ascii="Times New Roman" w:eastAsia="Times New Roman" w:hAnsi="Times New Roman" w:cs="Times New Roman"/>
                <w:sz w:val="24"/>
                <w:szCs w:val="24"/>
              </w:rPr>
              <w:t> </w:t>
            </w:r>
            <w:r w:rsidR="00FC4B3A">
              <w:rPr>
                <w:rFonts w:ascii="Times New Roman" w:eastAsia="Times New Roman" w:hAnsi="Times New Roman" w:cs="Times New Roman"/>
                <w:sz w:val="24"/>
                <w:szCs w:val="24"/>
              </w:rPr>
              <w:t>734</w:t>
            </w:r>
            <w:r>
              <w:rPr>
                <w:rFonts w:ascii="Times New Roman" w:eastAsia="Times New Roman" w:hAnsi="Times New Roman" w:cs="Times New Roman"/>
                <w:sz w:val="24"/>
                <w:szCs w:val="24"/>
              </w:rPr>
              <w:t>,</w:t>
            </w:r>
            <w:r w:rsidR="00FC4B3A">
              <w:rPr>
                <w:rFonts w:ascii="Times New Roman" w:eastAsia="Times New Roman" w:hAnsi="Times New Roman" w:cs="Times New Roman"/>
                <w:sz w:val="24"/>
                <w:szCs w:val="24"/>
              </w:rPr>
              <w:t>34</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C4B3A">
              <w:rPr>
                <w:rFonts w:ascii="Times New Roman" w:eastAsia="Times New Roman" w:hAnsi="Times New Roman" w:cs="Times New Roman"/>
                <w:sz w:val="24"/>
                <w:szCs w:val="24"/>
              </w:rPr>
              <w:t>26</w:t>
            </w:r>
          </w:p>
        </w:tc>
      </w:tr>
      <w:tr w:rsidR="009329C9">
        <w:trPr>
          <w:trHeight w:val="596"/>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right="186"/>
              <w:jc w:val="both"/>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9329C9" w:rsidRDefault="00FC4B3A" w:rsidP="00FC4B3A">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409</w:t>
            </w:r>
            <w:r w:rsidR="00B5212B">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491</w:t>
            </w:r>
            <w:r w:rsidR="00B5212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29</w:t>
            </w:r>
          </w:p>
        </w:tc>
        <w:tc>
          <w:tcPr>
            <w:tcW w:w="409" w:type="pct"/>
            <w:shd w:val="clear" w:color="auto" w:fill="auto"/>
            <w:tcMar>
              <w:top w:w="57" w:type="dxa"/>
              <w:left w:w="57" w:type="dxa"/>
              <w:bottom w:w="57" w:type="dxa"/>
              <w:right w:w="57" w:type="dxa"/>
            </w:tcMar>
            <w:vAlign w:val="center"/>
          </w:tcPr>
          <w:p w:rsidR="009329C9" w:rsidRDefault="00FC4B3A" w:rsidP="00FC4B3A">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B5212B">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35</w:t>
            </w:r>
          </w:p>
        </w:tc>
      </w:tr>
      <w:tr w:rsidR="00FC4B3A">
        <w:trPr>
          <w:trHeight w:val="596"/>
        </w:trPr>
        <w:tc>
          <w:tcPr>
            <w:tcW w:w="489" w:type="pct"/>
            <w:shd w:val="clear" w:color="auto" w:fill="auto"/>
            <w:tcMar>
              <w:top w:w="57" w:type="dxa"/>
              <w:left w:w="57" w:type="dxa"/>
              <w:bottom w:w="57" w:type="dxa"/>
              <w:right w:w="57" w:type="dxa"/>
            </w:tcMar>
            <w:vAlign w:val="center"/>
          </w:tcPr>
          <w:p w:rsidR="00FC4B3A" w:rsidRDefault="00FC4B3A" w:rsidP="00FC4B3A">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FC4B3A" w:rsidRDefault="00FC4B3A" w:rsidP="00FC4B3A">
            <w:pPr>
              <w:tabs>
                <w:tab w:val="left" w:pos="142"/>
              </w:tabs>
              <w:spacing w:after="0"/>
              <w:ind w:right="186"/>
              <w:jc w:val="both"/>
              <w:textAlignment w:val="center"/>
              <w:rPr>
                <w:rFonts w:ascii="Times New Roman" w:eastAsia="Times New Roman" w:hAnsi="Times New Roman" w:cs="Times New Roman"/>
                <w:sz w:val="24"/>
                <w:szCs w:val="24"/>
              </w:rPr>
            </w:pPr>
            <w:r>
              <w:rPr>
                <w:rFonts w:ascii="Times New Roman" w:eastAsia="Calibri" w:hAnsi="Times New Roman" w:cs="Times New Roman"/>
                <w:lang w:eastAsia="en-US"/>
              </w:rPr>
              <w:t>„Социално-икономическа интеграция на маргинализирани общности като ромите”</w:t>
            </w:r>
          </w:p>
        </w:tc>
        <w:tc>
          <w:tcPr>
            <w:tcW w:w="947" w:type="pct"/>
            <w:shd w:val="clear" w:color="auto" w:fill="auto"/>
            <w:tcMar>
              <w:top w:w="57" w:type="dxa"/>
              <w:left w:w="57" w:type="dxa"/>
              <w:bottom w:w="57" w:type="dxa"/>
              <w:right w:w="57" w:type="dxa"/>
            </w:tcMar>
            <w:vAlign w:val="center"/>
          </w:tcPr>
          <w:p w:rsidR="00FC4B3A" w:rsidRPr="00FC4B3A" w:rsidRDefault="00FC4B3A" w:rsidP="00FC4B3A">
            <w:pPr>
              <w:tabs>
                <w:tab w:val="left" w:pos="142"/>
              </w:tabs>
              <w:spacing w:after="0"/>
              <w:ind w:firstLine="85"/>
              <w:jc w:val="center"/>
              <w:rPr>
                <w:rFonts w:ascii="Times New Roman" w:eastAsia="Times New Roman" w:hAnsi="Times New Roman" w:cs="Times New Roman"/>
                <w:sz w:val="24"/>
                <w:szCs w:val="24"/>
              </w:rPr>
            </w:pPr>
            <w:r w:rsidRPr="00FC4B3A">
              <w:rPr>
                <w:rFonts w:ascii="Times New Roman" w:eastAsia="Times New Roman" w:hAnsi="Times New Roman" w:cs="Times New Roman"/>
                <w:sz w:val="24"/>
                <w:szCs w:val="24"/>
              </w:rPr>
              <w:t>409 491,29</w:t>
            </w:r>
          </w:p>
        </w:tc>
        <w:tc>
          <w:tcPr>
            <w:tcW w:w="409" w:type="pct"/>
            <w:shd w:val="clear" w:color="auto" w:fill="auto"/>
            <w:tcMar>
              <w:top w:w="57" w:type="dxa"/>
              <w:left w:w="57" w:type="dxa"/>
              <w:bottom w:w="57" w:type="dxa"/>
              <w:right w:w="57" w:type="dxa"/>
            </w:tcMar>
            <w:vAlign w:val="center"/>
          </w:tcPr>
          <w:p w:rsidR="00FC4B3A" w:rsidRPr="00FC4B3A" w:rsidRDefault="00FC4B3A" w:rsidP="00FC4B3A">
            <w:pPr>
              <w:tabs>
                <w:tab w:val="left" w:pos="142"/>
              </w:tabs>
              <w:spacing w:after="0"/>
              <w:jc w:val="center"/>
              <w:rPr>
                <w:rFonts w:ascii="Times New Roman" w:eastAsia="Times New Roman" w:hAnsi="Times New Roman" w:cs="Times New Roman"/>
                <w:color w:val="000000"/>
                <w:sz w:val="24"/>
                <w:szCs w:val="24"/>
              </w:rPr>
            </w:pPr>
            <w:r w:rsidRPr="00FC4B3A">
              <w:rPr>
                <w:rFonts w:ascii="Times New Roman" w:eastAsia="Times New Roman" w:hAnsi="Times New Roman" w:cs="Times New Roman"/>
                <w:color w:val="000000"/>
                <w:sz w:val="24"/>
                <w:szCs w:val="24"/>
              </w:rPr>
              <w:t>3,35</w:t>
            </w:r>
          </w:p>
        </w:tc>
      </w:tr>
      <w:tr w:rsidR="009329C9">
        <w:trPr>
          <w:trHeight w:val="60"/>
        </w:trPr>
        <w:tc>
          <w:tcPr>
            <w:tcW w:w="3644"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9329C9" w:rsidRDefault="00B5212B">
            <w:pPr>
              <w:spacing w:after="0"/>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t>1 955 8</w:t>
            </w:r>
            <w:r>
              <w:rPr>
                <w:rFonts w:ascii="Times New Roman" w:eastAsia="Calibri" w:hAnsi="Times New Roman" w:cs="Times New Roman"/>
                <w:b/>
                <w:sz w:val="24"/>
                <w:szCs w:val="24"/>
                <w:lang w:eastAsia="en-US"/>
              </w:rPr>
              <w:t>0</w:t>
            </w:r>
            <w:r>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FC4B3A">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sidR="00FC4B3A">
              <w:rPr>
                <w:rFonts w:ascii="Times New Roman" w:eastAsia="Times New Roman" w:hAnsi="Times New Roman" w:cs="Times New Roman"/>
                <w:b/>
                <w:color w:val="000000"/>
                <w:sz w:val="24"/>
                <w:szCs w:val="24"/>
              </w:rPr>
              <w:t>00</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1 955 8</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9329C9" w:rsidRDefault="00B5212B" w:rsidP="00FC4B3A">
            <w:pPr>
              <w:tabs>
                <w:tab w:val="left" w:pos="142"/>
              </w:tabs>
              <w:spacing w:after="0"/>
              <w:ind w:firstLine="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FC4B3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FC4B3A">
              <w:rPr>
                <w:rFonts w:ascii="Times New Roman" w:eastAsia="Times New Roman" w:hAnsi="Times New Roman" w:cs="Times New Roman"/>
                <w:color w:val="000000"/>
                <w:sz w:val="24"/>
                <w:szCs w:val="24"/>
              </w:rPr>
              <w:t>00</w:t>
            </w:r>
          </w:p>
        </w:tc>
      </w:tr>
      <w:tr w:rsidR="009329C9">
        <w:trPr>
          <w:trHeight w:val="60"/>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9329C9" w:rsidRDefault="00B5212B" w:rsidP="00FC4B3A">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w:t>
            </w:r>
            <w:r w:rsidR="00FC4B3A">
              <w:rPr>
                <w:rFonts w:ascii="Times New Roman" w:eastAsia="Times New Roman" w:hAnsi="Times New Roman" w:cs="Times New Roman"/>
                <w:b/>
                <w:color w:val="000000"/>
                <w:sz w:val="24"/>
                <w:szCs w:val="24"/>
              </w:rPr>
              <w:t>226</w:t>
            </w:r>
            <w:r>
              <w:rPr>
                <w:rFonts w:ascii="Times New Roman" w:eastAsia="Times New Roman" w:hAnsi="Times New Roman" w:cs="Times New Roman"/>
                <w:b/>
                <w:color w:val="000000"/>
                <w:sz w:val="24"/>
                <w:szCs w:val="24"/>
              </w:rPr>
              <w:t> </w:t>
            </w:r>
            <w:r w:rsidR="00FC4B3A">
              <w:rPr>
                <w:rFonts w:ascii="Times New Roman" w:eastAsia="Times New Roman" w:hAnsi="Times New Roman" w:cs="Times New Roman"/>
                <w:b/>
                <w:color w:val="000000"/>
                <w:sz w:val="24"/>
                <w:szCs w:val="24"/>
              </w:rPr>
              <w:t>891</w:t>
            </w:r>
            <w:r>
              <w:rPr>
                <w:rFonts w:ascii="Times New Roman" w:eastAsia="Times New Roman" w:hAnsi="Times New Roman" w:cs="Times New Roman"/>
                <w:b/>
                <w:color w:val="000000"/>
                <w:sz w:val="24"/>
                <w:szCs w:val="24"/>
              </w:rPr>
              <w:t>,</w:t>
            </w:r>
            <w:r w:rsidR="00FC4B3A">
              <w:rPr>
                <w:rFonts w:ascii="Times New Roman" w:eastAsia="Times New Roman" w:hAnsi="Times New Roman" w:cs="Times New Roman"/>
                <w:b/>
                <w:color w:val="000000"/>
                <w:sz w:val="24"/>
                <w:szCs w:val="24"/>
              </w:rPr>
              <w:t>37</w:t>
            </w:r>
          </w:p>
        </w:tc>
        <w:tc>
          <w:tcPr>
            <w:tcW w:w="409" w:type="pct"/>
            <w:shd w:val="clear" w:color="auto" w:fill="auto"/>
            <w:tcMar>
              <w:top w:w="57" w:type="dxa"/>
              <w:left w:w="57" w:type="dxa"/>
              <w:bottom w:w="57" w:type="dxa"/>
              <w:right w:w="57" w:type="dxa"/>
            </w:tcMar>
            <w:vAlign w:val="center"/>
          </w:tcPr>
          <w:p w:rsidR="009329C9" w:rsidRDefault="00B5212B">
            <w:pPr>
              <w:tabs>
                <w:tab w:val="left" w:pos="142"/>
              </w:tabs>
              <w:spacing w:after="0"/>
              <w:jc w:val="center"/>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9329C9">
        <w:trPr>
          <w:trHeight w:val="238"/>
        </w:trPr>
        <w:tc>
          <w:tcPr>
            <w:tcW w:w="5000" w:type="pct"/>
            <w:gridSpan w:val="4"/>
            <w:shd w:val="clear" w:color="auto" w:fill="FFFFFF"/>
            <w:tcMar>
              <w:top w:w="57" w:type="dxa"/>
              <w:left w:w="57" w:type="dxa"/>
              <w:bottom w:w="57" w:type="dxa"/>
              <w:right w:w="57" w:type="dxa"/>
            </w:tcMar>
          </w:tcPr>
          <w:p w:rsidR="009329C9" w:rsidRDefault="009329C9">
            <w:pPr>
              <w:tabs>
                <w:tab w:val="left" w:pos="142"/>
              </w:tabs>
              <w:spacing w:after="0"/>
              <w:rPr>
                <w:rFonts w:ascii="Times New Roman" w:eastAsia="Times New Roman" w:hAnsi="Times New Roman" w:cs="Times New Roman"/>
                <w:color w:val="000000"/>
                <w:sz w:val="24"/>
                <w:szCs w:val="24"/>
              </w:rPr>
            </w:pPr>
          </w:p>
        </w:tc>
      </w:tr>
      <w:tr w:rsidR="009329C9">
        <w:trPr>
          <w:trHeight w:val="143"/>
        </w:trPr>
        <w:tc>
          <w:tcPr>
            <w:tcW w:w="489" w:type="pct"/>
            <w:shd w:val="clear" w:color="auto" w:fill="auto"/>
            <w:tcMar>
              <w:top w:w="57" w:type="dxa"/>
              <w:left w:w="57" w:type="dxa"/>
              <w:bottom w:w="57" w:type="dxa"/>
              <w:right w:w="57" w:type="dxa"/>
            </w:tcMar>
            <w:vAlign w:val="center"/>
          </w:tcPr>
          <w:p w:rsidR="009329C9" w:rsidRDefault="00B5212B">
            <w:pPr>
              <w:tabs>
                <w:tab w:val="left" w:pos="142"/>
              </w:tabs>
              <w:spacing w:after="0"/>
              <w:ind w:firstLine="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tcPr>
          <w:p w:rsidR="009329C9" w:rsidRDefault="00B5212B">
            <w:pPr>
              <w:tabs>
                <w:tab w:val="left" w:pos="142"/>
              </w:tabs>
              <w:spacing w:after="0"/>
              <w:jc w:val="both"/>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pacing w:val="4"/>
                <w:sz w:val="24"/>
                <w:szCs w:val="24"/>
              </w:rPr>
              <w:t>Текущи разходи и популяризиране на стратегия за 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9329C9" w:rsidRDefault="00B5212B">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1 091 900, 00лв.</w:t>
            </w:r>
          </w:p>
          <w:p w:rsidR="009329C9" w:rsidRDefault="009329C9">
            <w:pPr>
              <w:tabs>
                <w:tab w:val="left" w:pos="142"/>
              </w:tabs>
              <w:spacing w:after="0"/>
              <w:ind w:firstLine="85"/>
              <w:jc w:val="center"/>
              <w:rPr>
                <w:rFonts w:ascii="Times New Roman" w:eastAsia="Times New Roman" w:hAnsi="Times New Roman" w:cs="Times New Roman"/>
                <w:b/>
                <w:color w:val="000000"/>
                <w:sz w:val="24"/>
                <w:szCs w:val="24"/>
              </w:rPr>
            </w:pPr>
          </w:p>
        </w:tc>
      </w:tr>
    </w:tbl>
    <w:p w:rsidR="009329C9" w:rsidRDefault="009329C9">
      <w:pPr>
        <w:pStyle w:val="2"/>
        <w:spacing w:before="0"/>
        <w:ind w:right="-1"/>
        <w:jc w:val="both"/>
        <w:rPr>
          <w:rFonts w:ascii="Times New Roman" w:hAnsi="Times New Roman" w:cs="Times New Roman"/>
          <w:b/>
          <w:color w:val="auto"/>
          <w:sz w:val="24"/>
          <w:szCs w:val="24"/>
        </w:rPr>
      </w:pPr>
    </w:p>
    <w:p w:rsidR="009329C9" w:rsidRDefault="00B5212B">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9329C9" w:rsidRDefault="00B5212B">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1"/>
      <w:bookmarkEnd w:id="42"/>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Целите на Стратегията за ВОМР ще бъдат постигнати, чрез прилагането на 6 мерки от ПРСР 2014-2020 г.,  и една собствена мярка с общ бюджет </w:t>
      </w:r>
      <w:r w:rsidR="00C01C38">
        <w:rPr>
          <w:rFonts w:ascii="Times New Roman" w:hAnsi="Times New Roman" w:cs="Times New Roman"/>
          <w:sz w:val="24"/>
          <w:szCs w:val="24"/>
        </w:rPr>
        <w:t>3 732 699,85</w:t>
      </w:r>
      <w:r>
        <w:rPr>
          <w:rFonts w:ascii="Times New Roman" w:hAnsi="Times New Roman" w:cs="Times New Roman"/>
          <w:sz w:val="24"/>
          <w:szCs w:val="24"/>
        </w:rPr>
        <w:t xml:space="preserve"> лв. От ОПНОИР е избрана една мярка, която е и единствената допустима по програмата за стратегиите, която е с общ бюджет 665 812,04 лв., по ОПОС е избрана единствената допустима по програмата мярка, като е заложен целият допустим бюджет, поради това, че УО на ОПОС не препоръчва да се включват частично площите на отделните видове и е с общ бюджет 4 785 157,54 лв., по ОПРЧР са заложени 3 мерки и целиятдопустимбюджет, възлизащ на стойност 1 087 421,94 лв и по ОПИК е избрана една мярка с бюджет 1 955 800 лв. Изхождайки от анализите на нуждите и потенциала на територията към:</w:t>
      </w:r>
    </w:p>
    <w:p w:rsidR="009329C9" w:rsidRDefault="00B5212B">
      <w:pPr>
        <w:spacing w:after="0"/>
        <w:jc w:val="both"/>
        <w:rPr>
          <w:rFonts w:ascii="Times New Roman" w:hAnsi="Times New Roman" w:cs="Times New Roman"/>
          <w:sz w:val="24"/>
          <w:szCs w:val="24"/>
        </w:rPr>
      </w:pPr>
      <w:r>
        <w:rPr>
          <w:rFonts w:ascii="Times New Roman" w:eastAsia="Calibri" w:hAnsi="Times New Roman" w:cs="Times New Roman"/>
          <w:b/>
          <w:sz w:val="24"/>
          <w:szCs w:val="24"/>
          <w:u w:val="single"/>
          <w:lang w:eastAsia="en-US"/>
        </w:rPr>
        <w:t xml:space="preserve">Приоритет 1 </w:t>
      </w:r>
      <w:r>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r>
        <w:rPr>
          <w:rFonts w:ascii="Times New Roman" w:hAnsi="Times New Roman" w:cs="Times New Roman"/>
          <w:sz w:val="24"/>
          <w:szCs w:val="24"/>
        </w:rPr>
        <w:t xml:space="preserve"> са предвидени 2</w:t>
      </w:r>
      <w:r>
        <w:rPr>
          <w:rFonts w:ascii="Times New Roman" w:eastAsia="Calibri" w:hAnsi="Times New Roman" w:cs="Times New Roman"/>
          <w:sz w:val="24"/>
          <w:szCs w:val="24"/>
          <w:lang w:eastAsia="en-US"/>
        </w:rPr>
        <w:t> </w:t>
      </w:r>
      <w:r w:rsidR="00C01C38">
        <w:rPr>
          <w:rFonts w:ascii="Times New Roman" w:eastAsia="Calibri" w:hAnsi="Times New Roman" w:cs="Times New Roman"/>
          <w:sz w:val="24"/>
          <w:szCs w:val="24"/>
          <w:lang w:eastAsia="en-US"/>
        </w:rPr>
        <w:t>188</w:t>
      </w:r>
      <w:r>
        <w:rPr>
          <w:rFonts w:ascii="Times New Roman" w:eastAsia="Calibri" w:hAnsi="Times New Roman" w:cs="Times New Roman"/>
          <w:sz w:val="24"/>
          <w:szCs w:val="24"/>
          <w:lang w:eastAsia="en-US"/>
        </w:rPr>
        <w:t> </w:t>
      </w:r>
      <w:r w:rsidR="00C01C38">
        <w:rPr>
          <w:rFonts w:ascii="Times New Roman" w:eastAsia="Calibri" w:hAnsi="Times New Roman" w:cs="Times New Roman"/>
          <w:sz w:val="24"/>
          <w:szCs w:val="24"/>
          <w:lang w:eastAsia="en-US"/>
        </w:rPr>
        <w:t>791</w:t>
      </w:r>
      <w:r>
        <w:rPr>
          <w:rFonts w:ascii="Times New Roman" w:eastAsia="Calibri" w:hAnsi="Times New Roman" w:cs="Times New Roman"/>
          <w:sz w:val="24"/>
          <w:szCs w:val="24"/>
          <w:lang w:eastAsia="en-US"/>
        </w:rPr>
        <w:t>,</w:t>
      </w:r>
      <w:r w:rsidR="00C01C38">
        <w:rPr>
          <w:rFonts w:ascii="Times New Roman" w:eastAsia="Calibri" w:hAnsi="Times New Roman" w:cs="Times New Roman"/>
          <w:sz w:val="24"/>
          <w:szCs w:val="24"/>
          <w:lang w:eastAsia="en-US"/>
        </w:rPr>
        <w:t>99</w:t>
      </w:r>
      <w:r>
        <w:rPr>
          <w:rFonts w:ascii="Times New Roman" w:eastAsia="Calibri" w:hAnsi="Times New Roman" w:cs="Times New Roman"/>
          <w:sz w:val="24"/>
          <w:szCs w:val="24"/>
          <w:lang w:eastAsia="en-US"/>
        </w:rPr>
        <w:t xml:space="preserve"> </w:t>
      </w:r>
      <w:r>
        <w:rPr>
          <w:rFonts w:ascii="Times New Roman" w:hAnsi="Times New Roman" w:cs="Times New Roman"/>
          <w:sz w:val="24"/>
          <w:szCs w:val="24"/>
        </w:rPr>
        <w:t>лева или 17,</w:t>
      </w:r>
      <w:r w:rsidR="00C01C38">
        <w:rPr>
          <w:rFonts w:ascii="Times New Roman" w:hAnsi="Times New Roman" w:cs="Times New Roman"/>
          <w:sz w:val="24"/>
          <w:szCs w:val="24"/>
        </w:rPr>
        <w:t>90</w:t>
      </w:r>
      <w:r>
        <w:rPr>
          <w:rFonts w:ascii="Times New Roman" w:hAnsi="Times New Roman" w:cs="Times New Roman"/>
          <w:sz w:val="24"/>
          <w:szCs w:val="24"/>
        </w:rPr>
        <w:t xml:space="preserve"> % от средствата. Специфичните цели на този приоритет ще бъдат постигнати, чрез прилагането на съответните мерки и следния бюджет:Мярка </w:t>
      </w:r>
      <w:r>
        <w:rPr>
          <w:rStyle w:val="5"/>
          <w:rFonts w:ascii="Times New Roman" w:hAnsi="Times New Roman" w:cs="Times New Roman"/>
          <w:b w:val="0"/>
          <w:sz w:val="24"/>
          <w:szCs w:val="24"/>
        </w:rPr>
        <w:t>4.1</w:t>
      </w:r>
      <w:r>
        <w:rPr>
          <w:rFonts w:ascii="Times New Roman" w:hAnsi="Times New Roman" w:cs="Times New Roman"/>
          <w:sz w:val="24"/>
          <w:szCs w:val="24"/>
        </w:rPr>
        <w:t xml:space="preserve"> (ПРСР) „</w:t>
      </w:r>
      <w:r>
        <w:rPr>
          <w:rFonts w:ascii="Times New Roman" w:eastAsia="Calibri" w:hAnsi="Times New Roman" w:cs="Times New Roman"/>
          <w:sz w:val="24"/>
          <w:szCs w:val="24"/>
          <w:lang w:eastAsia="en-US"/>
        </w:rPr>
        <w:t>Инвестиции в земеделски стопанства”</w:t>
      </w:r>
      <w:r>
        <w:rPr>
          <w:rFonts w:ascii="Times New Roman" w:hAnsi="Times New Roman" w:cs="Times New Roman"/>
          <w:sz w:val="24"/>
          <w:szCs w:val="24"/>
        </w:rPr>
        <w:t xml:space="preserve"> – </w:t>
      </w:r>
      <w:r w:rsidR="00C01C38">
        <w:rPr>
          <w:rFonts w:ascii="Times New Roman" w:hAnsi="Times New Roman" w:cs="Times New Roman"/>
          <w:sz w:val="24"/>
          <w:szCs w:val="24"/>
        </w:rPr>
        <w:t>628 641,55</w:t>
      </w:r>
      <w:r>
        <w:rPr>
          <w:rFonts w:ascii="Times New Roman" w:eastAsia="Calibri" w:hAnsi="Times New Roman" w:cs="Times New Roman"/>
          <w:sz w:val="24"/>
          <w:szCs w:val="24"/>
          <w:lang w:eastAsia="en-US"/>
        </w:rPr>
        <w:t xml:space="preserve">.лв., </w:t>
      </w:r>
      <w:r>
        <w:rPr>
          <w:rFonts w:ascii="Times New Roman" w:hAnsi="Times New Roman" w:cs="Times New Roman"/>
          <w:sz w:val="24"/>
          <w:szCs w:val="24"/>
        </w:rPr>
        <w:t>Мярка 4.2 (ПРСР) „</w:t>
      </w:r>
      <w:r>
        <w:rPr>
          <w:rFonts w:ascii="Times New Roman" w:eastAsia="Times New Roman" w:hAnsi="Times New Roman" w:cs="Times New Roman"/>
          <w:sz w:val="24"/>
          <w:szCs w:val="24"/>
        </w:rPr>
        <w:t xml:space="preserve">Инвестиции в преработка/маркетинг на селскостопански продукти </w:t>
      </w:r>
      <w:r>
        <w:rPr>
          <w:rFonts w:ascii="Times New Roman" w:hAnsi="Times New Roman" w:cs="Times New Roman"/>
          <w:sz w:val="24"/>
          <w:szCs w:val="24"/>
        </w:rPr>
        <w:t xml:space="preserve">" </w:t>
      </w:r>
      <w:r w:rsidR="00C01C38">
        <w:rPr>
          <w:rFonts w:ascii="Times New Roman" w:hAnsi="Times New Roman" w:cs="Times New Roman"/>
          <w:sz w:val="24"/>
          <w:szCs w:val="24"/>
        </w:rPr>
        <w:t>–</w:t>
      </w:r>
      <w:r>
        <w:rPr>
          <w:rFonts w:ascii="Times New Roman" w:hAnsi="Times New Roman" w:cs="Times New Roman"/>
          <w:sz w:val="24"/>
          <w:szCs w:val="24"/>
        </w:rPr>
        <w:t xml:space="preserve"> </w:t>
      </w:r>
      <w:r w:rsidR="00C01C38">
        <w:rPr>
          <w:rFonts w:ascii="Times New Roman" w:hAnsi="Times New Roman" w:cs="Times New Roman"/>
          <w:sz w:val="24"/>
          <w:szCs w:val="24"/>
        </w:rPr>
        <w:t>97 525,00</w:t>
      </w:r>
      <w:r>
        <w:rPr>
          <w:rFonts w:ascii="Times New Roman" w:eastAsia="Calibri" w:hAnsi="Times New Roman" w:cs="Times New Roman"/>
          <w:sz w:val="24"/>
          <w:szCs w:val="24"/>
          <w:lang w:eastAsia="en-US"/>
        </w:rPr>
        <w:t xml:space="preserve"> лв</w:t>
      </w:r>
      <w:r>
        <w:rPr>
          <w:rFonts w:ascii="Times New Roman" w:hAnsi="Times New Roman" w:cs="Times New Roman"/>
          <w:sz w:val="24"/>
          <w:szCs w:val="24"/>
        </w:rPr>
        <w:t>., Мярка 6.4 (ПРСР)„</w:t>
      </w:r>
      <w:r>
        <w:rPr>
          <w:rFonts w:ascii="Times New Roman" w:eastAsia="Times New Roman" w:hAnsi="Times New Roman" w:cs="Times New Roman"/>
          <w:sz w:val="24"/>
          <w:szCs w:val="24"/>
        </w:rPr>
        <w:t xml:space="preserve">Инвестиционна подкрепа за неземеделски дейности </w:t>
      </w:r>
      <w:r>
        <w:rPr>
          <w:rFonts w:ascii="Times New Roman" w:hAnsi="Times New Roman" w:cs="Times New Roman"/>
          <w:sz w:val="24"/>
          <w:szCs w:val="24"/>
        </w:rPr>
        <w:t xml:space="preserve">от целия бюджет” - </w:t>
      </w:r>
      <w:r>
        <w:rPr>
          <w:rFonts w:ascii="Times New Roman" w:eastAsia="Calibri" w:hAnsi="Times New Roman" w:cs="Times New Roman"/>
          <w:sz w:val="24"/>
          <w:szCs w:val="24"/>
          <w:lang w:eastAsia="en-US"/>
        </w:rPr>
        <w:t>1 462 625,44 лв</w:t>
      </w:r>
      <w:r>
        <w:rPr>
          <w:rFonts w:ascii="Times New Roman" w:hAnsi="Times New Roman" w:cs="Times New Roman"/>
          <w:sz w:val="24"/>
          <w:szCs w:val="24"/>
        </w:rPr>
        <w:t xml:space="preserve">. Те ще  допринесат за постигането на </w:t>
      </w:r>
      <w:r>
        <w:rPr>
          <w:rFonts w:ascii="Times New Roman" w:hAnsi="Times New Roman" w:cs="Times New Roman"/>
          <w:sz w:val="24"/>
          <w:szCs w:val="24"/>
          <w:u w:val="single"/>
        </w:rPr>
        <w:t>Специфична цел</w:t>
      </w:r>
      <w:r>
        <w:rPr>
          <w:rStyle w:val="5"/>
          <w:rFonts w:ascii="Times New Roman" w:hAnsi="Times New Roman" w:cs="Times New Roman"/>
          <w:b w:val="0"/>
          <w:sz w:val="24"/>
          <w:szCs w:val="24"/>
          <w:u w:val="single"/>
        </w:rPr>
        <w:t>1</w:t>
      </w:r>
      <w:r>
        <w:rPr>
          <w:rStyle w:val="5"/>
          <w:rFonts w:ascii="Times New Roman" w:hAnsi="Times New Roman" w:cs="Times New Roman"/>
          <w:b w:val="0"/>
          <w:sz w:val="24"/>
          <w:szCs w:val="24"/>
        </w:rPr>
        <w:t xml:space="preserve">- </w:t>
      </w:r>
      <w:r>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Pr>
          <w:rFonts w:ascii="Times New Roman" w:eastAsia="Calibri" w:hAnsi="Times New Roman" w:cs="Times New Roman"/>
          <w:sz w:val="24"/>
          <w:szCs w:val="24"/>
          <w:u w:val="single"/>
          <w:lang w:eastAsia="en-US"/>
        </w:rPr>
        <w:t>Специфична цел 2</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 xml:space="preserve">Насърчаване на развитието и икономическата ефективност </w:t>
      </w:r>
      <w:r>
        <w:rPr>
          <w:rFonts w:ascii="Times New Roman" w:eastAsia="Calibri" w:hAnsi="Times New Roman" w:cs="Times New Roman"/>
          <w:sz w:val="24"/>
          <w:szCs w:val="24"/>
          <w:lang w:eastAsia="en-US"/>
        </w:rPr>
        <w:t xml:space="preserve">на предприятия от хранително-преработвателната промишленост и </w:t>
      </w:r>
      <w:r>
        <w:rPr>
          <w:rFonts w:ascii="Times New Roman" w:eastAsia="Calibri" w:hAnsi="Times New Roman" w:cs="Times New Roman"/>
          <w:sz w:val="24"/>
          <w:szCs w:val="24"/>
          <w:u w:val="single"/>
          <w:lang w:eastAsia="en-US"/>
        </w:rPr>
        <w:t>Специфична цел 3</w:t>
      </w:r>
      <w:r>
        <w:rPr>
          <w:rFonts w:ascii="Times New Roman" w:eastAsia="Calibri" w:hAnsi="Times New Roman" w:cs="Times New Roman"/>
          <w:sz w:val="24"/>
          <w:szCs w:val="24"/>
          <w:lang w:eastAsia="en-US"/>
        </w:rPr>
        <w:t xml:space="preserve"> -</w:t>
      </w:r>
      <w:r>
        <w:rPr>
          <w:rFonts w:ascii="Times New Roman" w:eastAsia="Times New Roman" w:hAnsi="Times New Roman" w:cs="Times New Roman"/>
          <w:sz w:val="24"/>
          <w:szCs w:val="24"/>
        </w:rPr>
        <w:t xml:space="preserve">Разнообразяване на икономическите дейности, насърчаване на предприемачеството на земеделските стопани и увеличаване на заетостта. </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Приоритет 2 </w:t>
      </w:r>
      <w:r>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eastAsia="Calibri" w:hAnsi="Times New Roman" w:cs="Times New Roman"/>
          <w:sz w:val="24"/>
          <w:szCs w:val="24"/>
          <w:lang w:eastAsia="en-US"/>
        </w:rPr>
        <w:t>подобряване на основната и на социалната инфраструктура,</w:t>
      </w:r>
      <w:r>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 са предвидени 6</w:t>
      </w:r>
      <w:r w:rsidR="00C01C38">
        <w:rPr>
          <w:rFonts w:ascii="Times New Roman" w:eastAsia="Times New Roman" w:hAnsi="Times New Roman" w:cs="Times New Roman"/>
          <w:sz w:val="24"/>
          <w:szCs w:val="24"/>
        </w:rPr>
        <w:t> 329 065,40</w:t>
      </w:r>
      <w:r>
        <w:rPr>
          <w:rFonts w:ascii="Times New Roman" w:eastAsia="Times New Roman" w:hAnsi="Times New Roman" w:cs="Times New Roman"/>
          <w:sz w:val="24"/>
          <w:szCs w:val="24"/>
        </w:rPr>
        <w:t xml:space="preserve"> лв. или </w:t>
      </w:r>
      <w:r w:rsidR="00C01C38">
        <w:rPr>
          <w:rFonts w:ascii="Times New Roman" w:eastAsia="Times New Roman" w:hAnsi="Times New Roman" w:cs="Times New Roman"/>
          <w:sz w:val="24"/>
          <w:szCs w:val="24"/>
        </w:rPr>
        <w:t>51</w:t>
      </w:r>
      <w:r>
        <w:rPr>
          <w:rFonts w:ascii="Times New Roman" w:eastAsia="Times New Roman" w:hAnsi="Times New Roman" w:cs="Times New Roman"/>
          <w:sz w:val="24"/>
          <w:szCs w:val="24"/>
        </w:rPr>
        <w:t xml:space="preserve">,77 % от средствата. </w:t>
      </w:r>
      <w:r>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мерки и следния бюджет: Мярка 7.2. (ПРСР) „</w:t>
      </w:r>
      <w:r>
        <w:rPr>
          <w:rFonts w:ascii="Times New Roman" w:eastAsia="Times New Roman" w:hAnsi="Times New Roman" w:cs="Times New Roman"/>
          <w:sz w:val="24"/>
          <w:szCs w:val="24"/>
        </w:rPr>
        <w:t xml:space="preserve">Инвестиции в създаването, подобряването или разширяването на всички видове малка по мащаби инфраструктура” </w:t>
      </w:r>
      <w:r w:rsidR="00C01C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01C38">
        <w:rPr>
          <w:rFonts w:ascii="Times New Roman" w:eastAsia="Times New Roman" w:hAnsi="Times New Roman" w:cs="Times New Roman"/>
          <w:sz w:val="24"/>
          <w:szCs w:val="24"/>
        </w:rPr>
        <w:t>1 023 898,44</w:t>
      </w:r>
      <w:r>
        <w:rPr>
          <w:rFonts w:ascii="Times New Roman" w:eastAsia="Times New Roman" w:hAnsi="Times New Roman" w:cs="Times New Roman"/>
          <w:sz w:val="24"/>
          <w:szCs w:val="24"/>
        </w:rPr>
        <w:t xml:space="preserve">лв., Мярка 7.5 </w:t>
      </w:r>
      <w:r>
        <w:rPr>
          <w:rFonts w:ascii="Times New Roman" w:hAnsi="Times New Roman" w:cs="Times New Roman"/>
          <w:sz w:val="24"/>
          <w:szCs w:val="24"/>
        </w:rPr>
        <w:t>(ПРСР) „</w:t>
      </w:r>
      <w:r>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  -423 700 лв., Мярка 7.11.</w:t>
      </w:r>
      <w:r>
        <w:rPr>
          <w:rFonts w:ascii="Times New Roman" w:hAnsi="Times New Roman" w:cs="Times New Roman"/>
          <w:sz w:val="24"/>
          <w:szCs w:val="24"/>
        </w:rPr>
        <w:t xml:space="preserve"> (ПРСР) „</w:t>
      </w:r>
      <w:r>
        <w:rPr>
          <w:rFonts w:ascii="Times New Roman" w:eastAsia="Times New Roman" w:hAnsi="Times New Roman" w:cs="Times New Roman"/>
          <w:sz w:val="24"/>
          <w:szCs w:val="24"/>
        </w:rPr>
        <w:t xml:space="preserve">Съхраняване, развитие и валоризиране на специфичните местни идентичности и местната култураи спорт“ </w:t>
      </w:r>
      <w:r w:rsidR="000148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1482D">
        <w:rPr>
          <w:rFonts w:ascii="Times New Roman" w:eastAsia="Times New Roman" w:hAnsi="Times New Roman" w:cs="Times New Roman"/>
          <w:sz w:val="24"/>
          <w:szCs w:val="24"/>
        </w:rPr>
        <w:t>96 309,42</w:t>
      </w:r>
      <w:r>
        <w:rPr>
          <w:rFonts w:ascii="Times New Roman" w:eastAsia="Times New Roman" w:hAnsi="Times New Roman" w:cs="Times New Roman"/>
          <w:sz w:val="24"/>
          <w:szCs w:val="24"/>
        </w:rPr>
        <w:t>лв.  и Мярката по ОПОС Опазване на околната среда като предпоставка за подобряване живота на населението - 4 785 157,54 лв.</w:t>
      </w:r>
      <w:r>
        <w:rPr>
          <w:rFonts w:ascii="Times New Roman" w:hAnsi="Times New Roman" w:cs="Times New Roman"/>
          <w:sz w:val="24"/>
          <w:szCs w:val="24"/>
        </w:rPr>
        <w:t xml:space="preserve"> ще  допринесат за постигането на </w:t>
      </w:r>
      <w:r>
        <w:rPr>
          <w:rFonts w:ascii="Times New Roman" w:hAnsi="Times New Roman" w:cs="Times New Roman"/>
          <w:sz w:val="24"/>
          <w:szCs w:val="24"/>
          <w:u w:val="single"/>
        </w:rPr>
        <w:t>Специфична цел</w:t>
      </w:r>
      <w:r>
        <w:rPr>
          <w:rStyle w:val="5"/>
          <w:rFonts w:ascii="Times New Roman" w:hAnsi="Times New Roman" w:cs="Times New Roman"/>
          <w:b w:val="0"/>
          <w:sz w:val="24"/>
          <w:szCs w:val="24"/>
          <w:u w:val="single"/>
        </w:rPr>
        <w:t>1</w:t>
      </w:r>
      <w:r>
        <w:rPr>
          <w:rStyle w:val="5"/>
          <w:rFonts w:ascii="Times New Roman" w:hAnsi="Times New Roman" w:cs="Times New Roman"/>
          <w:b w:val="0"/>
          <w:sz w:val="24"/>
          <w:szCs w:val="24"/>
        </w:rPr>
        <w:t xml:space="preserve">- </w:t>
      </w:r>
      <w:r>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Pr>
          <w:rFonts w:ascii="Times New Roman" w:eastAsia="Calibri" w:hAnsi="Times New Roman" w:cs="Times New Roman"/>
          <w:sz w:val="24"/>
          <w:szCs w:val="24"/>
          <w:u w:val="single"/>
          <w:lang w:eastAsia="en-US"/>
        </w:rPr>
        <w:t>Специфична цел 2</w:t>
      </w:r>
      <w:r>
        <w:rPr>
          <w:rFonts w:ascii="Times New Roman" w:eastAsia="Calibri" w:hAnsi="Times New Roman" w:cs="Times New Roman"/>
          <w:sz w:val="24"/>
          <w:szCs w:val="24"/>
          <w:lang w:eastAsia="en-US"/>
        </w:rPr>
        <w:t xml:space="preserve"> - </w:t>
      </w:r>
      <w:r>
        <w:rPr>
          <w:rFonts w:ascii="Times New Roman" w:eastAsia="Times New Roman" w:hAnsi="Times New Roman" w:cs="Times New Roman"/>
          <w:sz w:val="24"/>
          <w:szCs w:val="24"/>
        </w:rPr>
        <w:t xml:space="preserve">Насърчаване на развитието и икономическата ефективност </w:t>
      </w:r>
      <w:r>
        <w:rPr>
          <w:rFonts w:ascii="Times New Roman" w:eastAsia="Calibri" w:hAnsi="Times New Roman" w:cs="Times New Roman"/>
          <w:sz w:val="24"/>
          <w:szCs w:val="24"/>
          <w:lang w:eastAsia="en-US"/>
        </w:rPr>
        <w:t xml:space="preserve">на предприятия от хранително-преработвателната промишленост и </w:t>
      </w:r>
      <w:r>
        <w:rPr>
          <w:rFonts w:ascii="Times New Roman" w:eastAsia="Calibri" w:hAnsi="Times New Roman" w:cs="Times New Roman"/>
          <w:sz w:val="24"/>
          <w:szCs w:val="24"/>
          <w:u w:val="single"/>
          <w:lang w:eastAsia="en-US"/>
        </w:rPr>
        <w:t>Специфична цел 3</w:t>
      </w:r>
      <w:r>
        <w:rPr>
          <w:rFonts w:ascii="Times New Roman" w:eastAsia="Calibri" w:hAnsi="Times New Roman" w:cs="Times New Roman"/>
          <w:sz w:val="24"/>
          <w:szCs w:val="24"/>
          <w:lang w:eastAsia="en-US"/>
        </w:rPr>
        <w:t xml:space="preserve"> -</w:t>
      </w:r>
      <w:r>
        <w:rPr>
          <w:rFonts w:ascii="Times New Roman" w:eastAsia="Times New Roman" w:hAnsi="Times New Roman" w:cs="Times New Roman"/>
          <w:sz w:val="24"/>
          <w:szCs w:val="24"/>
        </w:rPr>
        <w:t xml:space="preserve">Разнообразяване на икономическите дейности, насърчаване на предприемачеството на земеделските стопани </w:t>
      </w:r>
      <w:r>
        <w:rPr>
          <w:rFonts w:ascii="Times New Roman" w:eastAsia="Times New Roman" w:hAnsi="Times New Roman" w:cs="Times New Roman"/>
          <w:sz w:val="24"/>
          <w:szCs w:val="24"/>
        </w:rPr>
        <w:lastRenderedPageBreak/>
        <w:t>и увеличаване на заетостта. Специфична цел 4 – Опазване на околната среда като предпоставка за подобряване живота на населението.</w:t>
      </w:r>
    </w:p>
    <w:p w:rsidR="009329C9" w:rsidRDefault="00B5212B">
      <w:pPr>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u w:val="single"/>
        </w:rPr>
        <w:t xml:space="preserve">Приоритет 3 </w:t>
      </w:r>
      <w:r>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r>
        <w:rPr>
          <w:rFonts w:ascii="Times New Roman" w:eastAsia="Times New Roman" w:hAnsi="Times New Roman" w:cs="Times New Roman"/>
          <w:sz w:val="24"/>
          <w:szCs w:val="24"/>
        </w:rPr>
        <w:t xml:space="preserve">са предвидени 1 753 233.98 лв.. или 14,34% от средствата. </w:t>
      </w:r>
      <w:r>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мерки и следния бюджет: мярка 1.1. (ОПРЧР)</w:t>
      </w:r>
      <w:r>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 - 524</w:t>
      </w:r>
      <w:r>
        <w:rPr>
          <w:rFonts w:ascii="Times New Roman" w:eastAsia="Times New Roman" w:hAnsi="Times New Roman" w:cs="Times New Roman"/>
          <w:sz w:val="24"/>
          <w:szCs w:val="24"/>
        </w:rPr>
        <w:t> 191,31 лв., мярка 1.3 (ОПРЧР)</w:t>
      </w:r>
      <w:r>
        <w:rPr>
          <w:rFonts w:ascii="Times New Roman" w:eastAsia="Calibri" w:hAnsi="Times New Roman" w:cs="Times New Roman"/>
          <w:sz w:val="24"/>
          <w:szCs w:val="24"/>
          <w:lang w:eastAsia="en-US"/>
        </w:rPr>
        <w:t xml:space="preserve">„Устойчиво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- 153 734,34 </w:t>
      </w:r>
      <w:r>
        <w:rPr>
          <w:rFonts w:ascii="Times New Roman" w:eastAsia="Times New Roman" w:hAnsi="Times New Roman" w:cs="Times New Roman"/>
          <w:sz w:val="24"/>
          <w:szCs w:val="24"/>
        </w:rPr>
        <w:t>лв., мярка 2.1.(ОПРЧР)</w:t>
      </w:r>
      <w:r>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Pr>
          <w:rFonts w:ascii="Times New Roman" w:eastAsia="Times New Roman" w:hAnsi="Times New Roman" w:cs="Times New Roman"/>
          <w:sz w:val="24"/>
          <w:szCs w:val="24"/>
        </w:rPr>
        <w:t xml:space="preserve"> - 409 491,29 лв. и мярка 9</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(ОПНОИР/) Социално-икономическа интеграция на маргинализирани общности като ромите - 665 812,04 лв..</w:t>
      </w:r>
      <w:r>
        <w:rPr>
          <w:rFonts w:ascii="Times New Roman" w:hAnsi="Times New Roman" w:cs="Times New Roman"/>
          <w:sz w:val="24"/>
          <w:szCs w:val="24"/>
        </w:rPr>
        <w:t xml:space="preserve"> ще  допринесат за постигането на </w:t>
      </w:r>
      <w:r>
        <w:rPr>
          <w:rFonts w:ascii="Times New Roman" w:eastAsia="Calibri" w:hAnsi="Times New Roman" w:cs="Times New Roman"/>
          <w:sz w:val="24"/>
          <w:szCs w:val="24"/>
          <w:u w:val="single"/>
          <w:lang w:eastAsia="en-US"/>
        </w:rPr>
        <w:t>Специфична цел 1</w:t>
      </w:r>
      <w:r>
        <w:rPr>
          <w:rFonts w:ascii="Times New Roman" w:eastAsia="Calibri" w:hAnsi="Times New Roman" w:cs="Times New Roman"/>
          <w:b/>
          <w:sz w:val="24"/>
          <w:szCs w:val="24"/>
          <w:lang w:eastAsia="en-US"/>
        </w:rPr>
        <w:t xml:space="preserve"> - </w:t>
      </w:r>
      <w:r>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Специфична цел 2</w:t>
      </w:r>
      <w:r>
        <w:rPr>
          <w:rFonts w:ascii="Times New Roman" w:eastAsia="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Pr>
          <w:rFonts w:ascii="Times New Roman" w:eastAsia="Times New Roman" w:hAnsi="Times New Roman" w:cs="Times New Roman"/>
          <w:sz w:val="24"/>
          <w:szCs w:val="24"/>
          <w:u w:val="single"/>
        </w:rPr>
        <w:t>Специфична цел 3</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p w:rsidR="009329C9" w:rsidRDefault="00B5212B">
      <w:pPr>
        <w:spacing w:after="0"/>
        <w:jc w:val="both"/>
        <w:rPr>
          <w:rFonts w:ascii="Times New Roman" w:hAnsi="Times New Roman" w:cs="Times New Roman"/>
          <w:sz w:val="24"/>
          <w:szCs w:val="24"/>
        </w:rPr>
      </w:pPr>
      <w:r>
        <w:rPr>
          <w:rFonts w:ascii="Times New Roman" w:eastAsia="Times New Roman" w:hAnsi="Times New Roman" w:cs="Times New Roman"/>
          <w:b/>
          <w:sz w:val="24"/>
          <w:szCs w:val="24"/>
          <w:u w:val="single"/>
        </w:rPr>
        <w:t>Приоритет 4</w:t>
      </w:r>
      <w:r>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 са предвидени </w:t>
      </w:r>
      <w:r>
        <w:rPr>
          <w:rFonts w:ascii="Times New Roman" w:eastAsia="Times New Roman" w:hAnsi="Times New Roman" w:cs="Times New Roman"/>
          <w:color w:val="000000"/>
          <w:sz w:val="24"/>
          <w:szCs w:val="24"/>
          <w:lang w:val="en-US"/>
        </w:rPr>
        <w:t>1 955 8</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0.00</w:t>
      </w:r>
      <w:r>
        <w:rPr>
          <w:rFonts w:ascii="Times New Roman" w:eastAsia="Times New Roman" w:hAnsi="Times New Roman" w:cs="Times New Roman"/>
          <w:color w:val="000000"/>
          <w:sz w:val="24"/>
          <w:szCs w:val="24"/>
        </w:rPr>
        <w:t xml:space="preserve"> или 16,48% от средствата.</w:t>
      </w:r>
      <w:r>
        <w:rPr>
          <w:rFonts w:ascii="Times New Roman" w:hAnsi="Times New Roman" w:cs="Times New Roman"/>
          <w:sz w:val="24"/>
          <w:szCs w:val="24"/>
        </w:rPr>
        <w:t xml:space="preserve"> Специфичната цел на този приоритет ще бъде постигнат, чрез прилагането на мярка 2.2 „</w:t>
      </w:r>
      <w:r>
        <w:rPr>
          <w:rFonts w:ascii="Times New Roman" w:eastAsia="Times New Roman" w:hAnsi="Times New Roman" w:cs="Times New Roman"/>
          <w:sz w:val="24"/>
          <w:szCs w:val="24"/>
        </w:rPr>
        <w:t>Капацитет за растеж на МСП по ОПИК“.</w:t>
      </w:r>
    </w:p>
    <w:p w:rsidR="009329C9" w:rsidRDefault="00B5212B">
      <w:pPr>
        <w:rPr>
          <w:rFonts w:ascii="Times New Roman" w:eastAsiaTheme="majorEastAsia" w:hAnsi="Times New Roman" w:cs="Times New Roman"/>
          <w:b/>
          <w:bCs/>
          <w:sz w:val="24"/>
          <w:szCs w:val="24"/>
        </w:rPr>
      </w:pPr>
      <w:bookmarkStart w:id="43" w:name="_Toc449349438"/>
      <w:bookmarkStart w:id="44" w:name="_Toc448392293"/>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7.    План за действие, показващ че целите са превърнати в действия:</w:t>
      </w:r>
      <w:bookmarkEnd w:id="43"/>
      <w:bookmarkEnd w:id="44"/>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Стратегията за ВОМР се разработва за период до 31 декември 2020 г.</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9329C9" w:rsidRDefault="009329C9">
      <w:pPr>
        <w:tabs>
          <w:tab w:val="left" w:pos="284"/>
        </w:tabs>
        <w:spacing w:after="0"/>
        <w:ind w:right="-1"/>
        <w:jc w:val="both"/>
        <w:rPr>
          <w:rFonts w:ascii="Times New Roman" w:hAnsi="Times New Roman" w:cs="Times New Roman"/>
          <w:sz w:val="24"/>
          <w:szCs w:val="24"/>
        </w:rPr>
      </w:pP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МИГ „Свиленград Ареал“ ще постигне заложените в СВОМР цели чрез ясно разписан план за действие.</w:t>
      </w:r>
    </w:p>
    <w:p w:rsidR="009329C9" w:rsidRDefault="00B5212B">
      <w:pPr>
        <w:pStyle w:val="af4"/>
        <w:numPr>
          <w:ilvl w:val="0"/>
          <w:numId w:val="27"/>
        </w:numPr>
        <w:tabs>
          <w:tab w:val="left" w:pos="284"/>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Не по-късно от 3 месеца преди публикуване на покана за подбор на проекти, ще бъдат общодостъпни в хартиен и електронен вид указания и образци на документи за кандидатстване по всяка мярка. Заедно с това МИГ ще приема и заявления за финансова помощ по определен ред, като извършва подбора им и определя размера на финансовата помощ. </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Екипът на МИГ ще създаде и поддържа деловодна система и архив на всички актове на органите на МИГ. Също така ще създава и поддържа електронен регистър за всички постъпили проекти, в който отразява състоянието и движението на всеки от тях. Регистърът се публикува на електронната страница на МИГ.</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След приключването на конкретен прием, екипът на МИГ извършва преценка за съответствие на заявленията и взима решение дали да одобри тяхното финансиране, след което ги съгласува с ДФЗили УО на другите програми</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ДФЗили УО на друга програма</w:t>
      </w:r>
    </w:p>
    <w:p w:rsidR="009329C9" w:rsidRDefault="00B5212B">
      <w:pPr>
        <w:pStyle w:val="af4"/>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Контрол върху работата си МИГ осъществява чрез Мониторинг на изпълнението на проектите, изготвяне на доклади, анализи, отчети, справки и др. във връзка с изпълнението на стратегията за ВОМР, изисвани от УО на всички програми и на ПРСР 2014-2020. В срок до 31 януари на следващата календарна година изготвя и представа на УО на ПРСР 2014-2020 г. Годишен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5" w:name="_Toc448392294"/>
      <w:bookmarkStart w:id="46" w:name="_Toc449349439"/>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B5212B">
      <w:pPr>
        <w:pStyle w:val="af4"/>
        <w:tabs>
          <w:tab w:val="left" w:pos="284"/>
        </w:tabs>
        <w:spacing w:after="120"/>
        <w:ind w:left="0" w:right="-1"/>
        <w:jc w:val="both"/>
        <w:rPr>
          <w:rFonts w:ascii="Times New Roman" w:hAnsi="Times New Roman" w:cs="Times New Roman"/>
          <w:b/>
          <w:sz w:val="24"/>
          <w:szCs w:val="24"/>
        </w:rPr>
      </w:pPr>
      <w:r>
        <w:rPr>
          <w:rFonts w:ascii="Times New Roman" w:hAnsi="Times New Roman" w:cs="Times New Roman"/>
          <w:b/>
          <w:sz w:val="24"/>
          <w:szCs w:val="24"/>
        </w:rPr>
        <w:lastRenderedPageBreak/>
        <w:t>Приемът на проекти ще бъде разпределен равномерно, както следва:</w:t>
      </w:r>
    </w:p>
    <w:p w:rsidR="009329C9" w:rsidRDefault="009329C9">
      <w:pPr>
        <w:pStyle w:val="af4"/>
        <w:tabs>
          <w:tab w:val="left" w:pos="284"/>
        </w:tabs>
        <w:spacing w:after="120"/>
        <w:ind w:left="0" w:right="-1"/>
        <w:jc w:val="both"/>
        <w:rPr>
          <w:rFonts w:ascii="Times New Roman" w:hAnsi="Times New Roman" w:cs="Times New Roman"/>
          <w:sz w:val="24"/>
          <w:szCs w:val="24"/>
        </w:rPr>
      </w:pP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1</w:t>
      </w:r>
      <w:r>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в срок от няколко месеца след подписване на договора на МИГ с ДФЗ и втория през следващата година;  по </w:t>
      </w:r>
      <w:r>
        <w:rPr>
          <w:rFonts w:ascii="Times New Roman" w:hAnsi="Times New Roman" w:cs="Times New Roman"/>
          <w:sz w:val="24"/>
          <w:szCs w:val="24"/>
          <w:u w:val="single"/>
        </w:rPr>
        <w:t>Специфична цел 2</w:t>
      </w:r>
      <w:r>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Pr>
          <w:rFonts w:ascii="Times New Roman" w:hAnsi="Times New Roman" w:cs="Times New Roman"/>
          <w:sz w:val="24"/>
          <w:szCs w:val="24"/>
          <w:u w:val="single"/>
        </w:rPr>
        <w:t>Специфична цел 3</w:t>
      </w:r>
      <w:r>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 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2</w:t>
      </w:r>
      <w:r>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„Инвестиции в създаването, подобряването или разширяването на всички видове малка по мащаби инфраструктура“ ще бъдат отворени два приема на документи – първият след подписването на договор с ДФЗ, а вторият през следващата година; за изпълнението на </w:t>
      </w:r>
      <w:r>
        <w:rPr>
          <w:rFonts w:ascii="Times New Roman" w:hAnsi="Times New Roman" w:cs="Times New Roman"/>
          <w:sz w:val="24"/>
          <w:szCs w:val="24"/>
          <w:u w:val="single"/>
        </w:rPr>
        <w:t>Специфична цел 2</w:t>
      </w:r>
      <w:r>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 – 2 приема на документи – две поредни години по средата на изпълнението на Стратегията; </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в изпълнение на </w:t>
      </w:r>
      <w:r>
        <w:rPr>
          <w:rFonts w:ascii="Times New Roman" w:hAnsi="Times New Roman" w:cs="Times New Roman"/>
          <w:sz w:val="24"/>
          <w:szCs w:val="24"/>
          <w:u w:val="single"/>
        </w:rPr>
        <w:t>Специфична цел 3</w:t>
      </w:r>
      <w:r>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„Съхраняване, развитие и валоризиране на специфичните местни идентичности и местната култураи спорт“ – 2 приема на документи – първи веднага след подписване на договора с ДФЗ и втори – след две години; в изпълнение на </w:t>
      </w:r>
      <w:r>
        <w:rPr>
          <w:rFonts w:ascii="Times New Roman" w:hAnsi="Times New Roman" w:cs="Times New Roman"/>
          <w:sz w:val="24"/>
          <w:szCs w:val="24"/>
          <w:u w:val="single"/>
        </w:rPr>
        <w:t>Специфична цел 4</w:t>
      </w:r>
      <w:r>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3</w:t>
      </w:r>
      <w:r>
        <w:rPr>
          <w:rFonts w:ascii="Times New Roman" w:hAnsi="Times New Roman" w:cs="Times New Roman"/>
          <w:sz w:val="24"/>
          <w:szCs w:val="24"/>
        </w:rPr>
        <w:t xml:space="preserve">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w:t>
      </w:r>
      <w:r>
        <w:rPr>
          <w:rFonts w:ascii="Times New Roman" w:hAnsi="Times New Roman" w:cs="Times New Roman"/>
          <w:sz w:val="24"/>
          <w:szCs w:val="24"/>
        </w:rPr>
        <w:lastRenderedPageBreak/>
        <w:t xml:space="preserve">всички възрастови групи”,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Pr>
          <w:rFonts w:ascii="Times New Roman" w:hAnsi="Times New Roman" w:cs="Times New Roman"/>
          <w:sz w:val="24"/>
          <w:szCs w:val="24"/>
          <w:u w:val="single"/>
        </w:rPr>
        <w:t>Специфична цел 2</w:t>
      </w:r>
      <w:r>
        <w:rPr>
          <w:rFonts w:ascii="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за реализацията на</w:t>
      </w:r>
      <w:r>
        <w:rPr>
          <w:rFonts w:ascii="Times New Roman" w:hAnsi="Times New Roman" w:cs="Times New Roman"/>
          <w:sz w:val="24"/>
          <w:szCs w:val="24"/>
          <w:u w:val="single"/>
        </w:rPr>
        <w:t xml:space="preserve">Специфична цел 3 </w:t>
      </w:r>
      <w:r>
        <w:rPr>
          <w:rFonts w:ascii="Times New Roman" w:hAnsi="Times New Roman" w:cs="Times New Roman"/>
          <w:sz w:val="24"/>
          <w:szCs w:val="24"/>
        </w:rPr>
        <w:t>– 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4</w:t>
      </w:r>
      <w:r>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„Капацитет за растеж на МСП“ по ОПИК ще бъдат отворени два приема на документи – веднага след подписване на договора с ДФЗ и две години след това.</w:t>
      </w:r>
    </w:p>
    <w:p w:rsidR="009329C9" w:rsidRDefault="00B5212B">
      <w:pPr>
        <w:pStyle w:val="af4"/>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8. </w:t>
      </w:r>
      <w:bookmarkEnd w:id="45"/>
      <w:bookmarkEnd w:id="46"/>
      <w:r>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9329C9" w:rsidRDefault="00B5212B">
      <w:pPr>
        <w:pStyle w:val="2"/>
        <w:ind w:right="-1"/>
        <w:jc w:val="both"/>
        <w:rPr>
          <w:rFonts w:ascii="Times New Roman" w:hAnsi="Times New Roman" w:cs="Times New Roman"/>
          <w:color w:val="auto"/>
          <w:sz w:val="24"/>
          <w:szCs w:val="24"/>
        </w:rPr>
      </w:pPr>
      <w:bookmarkStart w:id="47" w:name="_Toc448392295"/>
      <w:bookmarkStart w:id="48" w:name="_Toc449349440"/>
      <w:r>
        <w:rPr>
          <w:rFonts w:ascii="Times New Roman" w:hAnsi="Times New Roman" w:cs="Times New Roman"/>
          <w:color w:val="auto"/>
          <w:sz w:val="24"/>
          <w:szCs w:val="24"/>
        </w:rPr>
        <w:t>Местна инициативна група “Свиленград Ареал” е доброволно сдружение на физически и юридически лица. 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изискванията на Наредба № 23 от 18.12.2009 г. „За условията и реда за предоставяне на безвъзмездна финансова помощ по мярка „Прилагане на стратегиите за местно развитие“ и по мярка „Управление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ПРСР, както и на останалите изисквания и указания по ос 4 „ЛИДЕР” от Програмата за развитие на селските региони и на МЗХГ.</w:t>
      </w:r>
    </w:p>
    <w:p w:rsidR="009329C9" w:rsidRDefault="00B5212B">
      <w:pPr>
        <w:pStyle w:val="2"/>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 на чл. 7 от Наредба 23 на МЗХГ. Сдружението се определя за извършване на общественополезна дейност.</w:t>
      </w:r>
    </w:p>
    <w:p w:rsidR="009329C9" w:rsidRDefault="009329C9">
      <w:pPr>
        <w:pStyle w:val="2"/>
        <w:spacing w:before="0"/>
        <w:ind w:right="-1"/>
        <w:jc w:val="both"/>
        <w:rPr>
          <w:rFonts w:ascii="Times New Roman" w:hAnsi="Times New Roman" w:cs="Times New Roman"/>
          <w:b/>
          <w:color w:val="auto"/>
          <w:sz w:val="24"/>
          <w:szCs w:val="24"/>
        </w:rPr>
      </w:pP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8.1. Организационна структура на МИГ:</w:t>
      </w:r>
      <w:bookmarkEnd w:id="47"/>
      <w:bookmarkEnd w:id="48"/>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МИГ „Свиленград Ареал“ се състои от: Общо събрание, Управителен съвет, председател на УС, изпълнителен директор, двама експерти СМР, счетоводител и технически асистент.</w:t>
      </w:r>
    </w:p>
    <w:p w:rsidR="009329C9" w:rsidRDefault="00B5212B">
      <w:pPr>
        <w:spacing w:after="120"/>
        <w:ind w:right="-1"/>
        <w:jc w:val="center"/>
        <w:rPr>
          <w:rFonts w:ascii="Times New Roman" w:hAnsi="Times New Roman" w:cs="Times New Roman"/>
          <w:sz w:val="24"/>
          <w:szCs w:val="24"/>
        </w:rPr>
      </w:pPr>
      <w:r>
        <w:rPr>
          <w:rFonts w:ascii="Times New Roman" w:hAnsi="Times New Roman" w:cs="Times New Roman"/>
          <w:b/>
          <w:sz w:val="24"/>
          <w:szCs w:val="24"/>
        </w:rPr>
        <w:t>– организационна структура/схема.</w:t>
      </w:r>
      <w:r>
        <w:rPr>
          <w:rFonts w:ascii="Times New Roman" w:hAnsi="Times New Roman" w:cs="Times New Roman"/>
          <w:noProof/>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329C9" w:rsidRDefault="00B5212B">
      <w:pPr>
        <w:spacing w:after="120"/>
        <w:ind w:right="-1"/>
        <w:rPr>
          <w:rFonts w:ascii="Times New Roman" w:hAnsi="Times New Roman" w:cs="Times New Roman"/>
          <w:sz w:val="24"/>
          <w:szCs w:val="24"/>
        </w:rPr>
      </w:pPr>
      <w:r>
        <w:rPr>
          <w:rFonts w:ascii="Times New Roman" w:hAnsi="Times New Roman" w:cs="Times New Roman"/>
          <w:sz w:val="24"/>
          <w:szCs w:val="24"/>
        </w:rPr>
        <w:t>МИГ се състои от: Общо събрание и Управителен съвет.</w:t>
      </w:r>
    </w:p>
    <w:p w:rsidR="009329C9" w:rsidRDefault="00B5212B">
      <w:pPr>
        <w:spacing w:after="0"/>
        <w:rPr>
          <w:rFonts w:ascii="Times New Roman" w:hAnsi="Times New Roman" w:cs="Times New Roman"/>
          <w:sz w:val="24"/>
          <w:szCs w:val="24"/>
        </w:rPr>
      </w:pPr>
      <w:r>
        <w:rPr>
          <w:rFonts w:ascii="Times New Roman" w:hAnsi="Times New Roman" w:cs="Times New Roman"/>
          <w:b/>
          <w:sz w:val="24"/>
          <w:szCs w:val="24"/>
        </w:rPr>
        <w:t>Общото събрание</w:t>
      </w:r>
      <w:r>
        <w:rPr>
          <w:rFonts w:ascii="Times New Roman" w:hAnsi="Times New Roman" w:cs="Times New Roman"/>
          <w:sz w:val="24"/>
          <w:szCs w:val="24"/>
        </w:rPr>
        <w:t>е от 15 членове на сдружението от които:</w:t>
      </w:r>
      <w:r>
        <w:rPr>
          <w:rFonts w:ascii="Times New Roman" w:hAnsi="Times New Roman" w:cs="Times New Roman"/>
          <w:b/>
          <w:sz w:val="24"/>
          <w:szCs w:val="24"/>
        </w:rPr>
        <w:t>Публичен сектор</w:t>
      </w:r>
      <w:r>
        <w:rPr>
          <w:rFonts w:ascii="Times New Roman" w:hAnsi="Times New Roman" w:cs="Times New Roman"/>
          <w:sz w:val="24"/>
          <w:szCs w:val="24"/>
        </w:rPr>
        <w:t xml:space="preserve"> – един представител от община Свиленград, </w:t>
      </w:r>
      <w:r>
        <w:rPr>
          <w:rFonts w:ascii="Times New Roman" w:hAnsi="Times New Roman" w:cs="Times New Roman"/>
          <w:b/>
          <w:sz w:val="24"/>
          <w:szCs w:val="24"/>
        </w:rPr>
        <w:t>Стопански сектор</w:t>
      </w:r>
      <w:r>
        <w:rPr>
          <w:rFonts w:ascii="Times New Roman" w:hAnsi="Times New Roman" w:cs="Times New Roman"/>
          <w:sz w:val="24"/>
          <w:szCs w:val="24"/>
        </w:rPr>
        <w:t xml:space="preserve"> –7 представители от които - </w:t>
      </w:r>
      <w:r>
        <w:rPr>
          <w:rFonts w:ascii="Times New Roman" w:eastAsia="Calibri" w:hAnsi="Times New Roman" w:cs="Times New Roman"/>
          <w:sz w:val="24"/>
          <w:szCs w:val="24"/>
          <w:lang w:eastAsia="en-US"/>
        </w:rPr>
        <w:t xml:space="preserve">Земеделски производител </w:t>
      </w:r>
      <w:r>
        <w:rPr>
          <w:rFonts w:ascii="Times New Roman" w:hAnsi="Times New Roman" w:cs="Times New Roman"/>
          <w:bCs/>
          <w:sz w:val="24"/>
          <w:szCs w:val="24"/>
        </w:rPr>
        <w:t xml:space="preserve">– сектор растениевъдство - 1 представител; </w:t>
      </w:r>
      <w:r>
        <w:rPr>
          <w:rFonts w:ascii="Times New Roman" w:eastAsia="Calibri" w:hAnsi="Times New Roman" w:cs="Times New Roman"/>
          <w:sz w:val="24"/>
          <w:szCs w:val="24"/>
          <w:lang w:eastAsia="en-US"/>
        </w:rPr>
        <w:t xml:space="preserve">Земеделски производител </w:t>
      </w:r>
      <w:r>
        <w:rPr>
          <w:rFonts w:ascii="Times New Roman" w:hAnsi="Times New Roman" w:cs="Times New Roman"/>
          <w:bCs/>
          <w:sz w:val="24"/>
          <w:szCs w:val="24"/>
        </w:rPr>
        <w:t>– сектор животновъдство - 1 представител; Юридически лица микропредприятия регистрирани по Търговския закон, работещи в сферата на услугите – 2ма представители; Юридически лица микропредприятия регистрирани по Търговския закон, работещи в сферата на производство</w:t>
      </w:r>
      <w:r>
        <w:rPr>
          <w:rFonts w:ascii="Times New Roman" w:hAnsi="Times New Roman" w:cs="Times New Roman"/>
          <w:bCs/>
          <w:sz w:val="24"/>
          <w:szCs w:val="24"/>
        </w:rPr>
        <w:lastRenderedPageBreak/>
        <w:t>то – 1 представител;  Юридически лица регистрирани по Търговския закон – Малки и средни предприятия – 2ма представители;</w:t>
      </w:r>
      <w:r>
        <w:rPr>
          <w:rFonts w:ascii="Times New Roman" w:hAnsi="Times New Roman" w:cs="Times New Roman"/>
          <w:b/>
          <w:sz w:val="24"/>
          <w:szCs w:val="24"/>
        </w:rPr>
        <w:t xml:space="preserve">Нестопански сектор </w:t>
      </w:r>
      <w:r>
        <w:rPr>
          <w:rFonts w:ascii="Times New Roman" w:hAnsi="Times New Roman" w:cs="Times New Roman"/>
          <w:sz w:val="24"/>
          <w:szCs w:val="24"/>
        </w:rPr>
        <w:t>– 7 представители от които –</w:t>
      </w:r>
      <w:r>
        <w:rPr>
          <w:rFonts w:ascii="Times New Roman" w:hAnsi="Times New Roman" w:cs="Times New Roman"/>
          <w:bCs/>
          <w:sz w:val="24"/>
          <w:szCs w:val="24"/>
        </w:rPr>
        <w:t>Юридически лица с нестопанска цел, регистрирани по ЗЮЛНЦ работещи в сферата на местното развитие– 2ма представители; Спортни клубове регистрирани по ЗЮЛНЦ – 2ма представители;</w:t>
      </w:r>
      <w:r>
        <w:rPr>
          <w:rFonts w:ascii="Times New Roman" w:hAnsi="Times New Roman" w:cs="Times New Roman"/>
          <w:sz w:val="24"/>
          <w:szCs w:val="24"/>
        </w:rPr>
        <w:t xml:space="preserve"> Организации регистрирани по Закона за читалищата – 1 представител; Местни лидери – физически лица – 2ма представители.</w:t>
      </w:r>
    </w:p>
    <w:p w:rsidR="009329C9" w:rsidRDefault="00B5212B">
      <w:pPr>
        <w:spacing w:after="0"/>
        <w:rPr>
          <w:rFonts w:ascii="Times New Roman" w:hAnsi="Times New Roman" w:cs="Times New Roman"/>
          <w:sz w:val="24"/>
          <w:szCs w:val="24"/>
        </w:rPr>
      </w:pPr>
      <w:r>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55% представителност. </w:t>
      </w:r>
    </w:p>
    <w:p w:rsidR="009329C9" w:rsidRDefault="009329C9">
      <w:pPr>
        <w:pStyle w:val="2"/>
        <w:spacing w:before="0" w:after="120"/>
        <w:ind w:right="-1"/>
        <w:jc w:val="both"/>
        <w:rPr>
          <w:rFonts w:ascii="Times New Roman" w:hAnsi="Times New Roman" w:cs="Times New Roman"/>
          <w:b/>
          <w:color w:val="auto"/>
          <w:sz w:val="24"/>
          <w:szCs w:val="24"/>
        </w:rPr>
      </w:pPr>
    </w:p>
    <w:p w:rsidR="009329C9" w:rsidRDefault="00B5212B">
      <w:pPr>
        <w:pStyle w:val="2"/>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Управителният съвет</w:t>
      </w:r>
      <w:r>
        <w:rPr>
          <w:rFonts w:ascii="Times New Roman" w:hAnsi="Times New Roman" w:cs="Times New Roman"/>
          <w:color w:val="auto"/>
          <w:sz w:val="24"/>
          <w:szCs w:val="24"/>
        </w:rPr>
        <w:t>е съставен  от 7 члена на сдружението: един представител на общинската власт – Надя Георгиева, трима представители на стопанския сектор (един представител на земеделския сектор – Иван Бакалов, двама представители на неземеделския сектор - Мариана георгиева, Красимира Манолова), трима представители на неправителствения сектор (двама представители на НПО работещи в сферата на местното развитие – Христина Коларова-Иванова и Петър Вангелов и един спортен клуб – Ася Райкова).</w:t>
      </w:r>
      <w:bookmarkStart w:id="49" w:name="_Toc449349441"/>
      <w:bookmarkStart w:id="50" w:name="_Toc448392296"/>
    </w:p>
    <w:p w:rsidR="009329C9" w:rsidRDefault="00B5212B">
      <w:pPr>
        <w:pStyle w:val="2"/>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8.2. Управление на МИГ:</w:t>
      </w:r>
      <w:bookmarkEnd w:id="49"/>
      <w:bookmarkEnd w:id="50"/>
    </w:p>
    <w:p w:rsidR="009329C9" w:rsidRDefault="00B5212B">
      <w:pPr>
        <w:spacing w:after="120"/>
        <w:ind w:right="-1"/>
        <w:jc w:val="both"/>
        <w:rPr>
          <w:rFonts w:ascii="Times New Roman" w:hAnsi="Times New Roman" w:cs="Times New Roman"/>
          <w:b/>
          <w:sz w:val="24"/>
          <w:szCs w:val="24"/>
        </w:rPr>
      </w:pPr>
      <w:r>
        <w:rPr>
          <w:rFonts w:ascii="Times New Roman" w:hAnsi="Times New Roman" w:cs="Times New Roman"/>
          <w:b/>
          <w:sz w:val="24"/>
          <w:szCs w:val="24"/>
        </w:rPr>
        <w:t>– органи за управление и контрол;</w:t>
      </w:r>
      <w:r>
        <w:rPr>
          <w:rFonts w:ascii="Times New Roman" w:hAnsi="Times New Roman" w:cs="Times New Roman"/>
          <w:b/>
          <w:sz w:val="24"/>
          <w:szCs w:val="24"/>
        </w:rPr>
        <w:tab/>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Oбщото събрание</w:t>
      </w:r>
      <w:r>
        <w:rPr>
          <w:rFonts w:ascii="Times New Roman" w:hAnsi="Times New Roman" w:cs="Times New Roman"/>
          <w:sz w:val="24"/>
          <w:szCs w:val="24"/>
        </w:rPr>
        <w:t xml:space="preserve"> на МИГ е върховен колективен орган на сдружението и се състои от всички членове на сдружението. Съставът на  Общото събрание е от 15 члена,представители на следните сектори: представител на публичния сектор -1, стопански сектор -  5 (земеделски сектор -1; микропредприятия- 3 и ЕТ -1); нестопански сектор – 4 (юридически лица – 2; читалище – 1 и физически лица - 2),като е спазена разпоредбата да не превишават 49 на сто от имащите право на глас, съгласно чл. 28, ал. 1от ЗЮЛНЦ.Членовете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t>Правомощия на Общото събрание на МИГ  „Свиленград Ареал“:</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 Изменя и допълва устава;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Приема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3. Гласува обновяване на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4. Избира и освобождава членовете на Управителния съвет;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5. Избира председател на управителния съвет;</w:t>
      </w:r>
    </w:p>
    <w:p w:rsidR="009329C9" w:rsidRDefault="00B5212B">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6. Приема и изключва членове;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 Ежегодно приема програма за дейността и бюджет за дейността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 Взема решение за откриване и закриване на клонове;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 Взема решение за участие в други организации;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Взема решение за преобразуване или прекратяване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регламентиращи дейността на Сдружението;</w:t>
      </w:r>
    </w:p>
    <w:p w:rsidR="009329C9" w:rsidRDefault="009329C9">
      <w:pPr>
        <w:spacing w:after="0"/>
        <w:ind w:right="-1"/>
        <w:jc w:val="both"/>
        <w:rPr>
          <w:rFonts w:ascii="Times New Roman" w:hAnsi="Times New Roman" w:cs="Times New Roman"/>
          <w:b/>
          <w:sz w:val="24"/>
          <w:szCs w:val="24"/>
        </w:rPr>
      </w:pP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lastRenderedPageBreak/>
        <w:t xml:space="preserve">Управителният съвет на МИГ </w:t>
      </w:r>
      <w:r>
        <w:rPr>
          <w:rFonts w:ascii="Times New Roman" w:hAnsi="Times New Roman" w:cs="Times New Roman"/>
          <w:sz w:val="24"/>
          <w:szCs w:val="24"/>
        </w:rPr>
        <w:t>е колективен управленски орган, който се състои от 7 члена, разпределени между трите сектора: неправителствен, стопански и публичен.</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Членовете на УС могат да бъдат физически или юридически лица,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t xml:space="preserve">Правомощия на Управителния съвет: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 Осигурява изпълнението на решенията на Общото събрание;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Разпорежда се с имуществото на Сдружението при спазване изискванията на устава;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3. Внася в общото събрание проект за годишни Програма за дейността и Бюджет;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6. Приема правила за отчетност и контрол, включително по одобрените проекти по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С мнозинство 2/3 избира и освобождава Изпълнителния директор;</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 Определя длъжностната характеристика и заплатата на Изпълнителния директор;</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 Одобрява проекто-договора с Изпълнителния директор и възлага на Председателя на Управителния съвет да го подпише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Одобрява указания за кандидатстване с проекти по Стратегията за местно развитие.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Pr>
          <w:rFonts w:ascii="Times New Roman" w:hAnsi="Times New Roman" w:cs="Times New Roman"/>
          <w:sz w:val="24"/>
          <w:szCs w:val="24"/>
        </w:rPr>
        <w:t>. Членовете на Управителния съвет са членове на Комисията по избор на проекти.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 Според вида на оценяваните проекти, избира външни експерти с необходимата квалификация и опит като допълнителни членове на Комисията по избор на проекти с цел осигуряване на обективност, публичност и прозрачност.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6</w:t>
      </w:r>
      <w:r>
        <w:rPr>
          <w:rFonts w:ascii="Times New Roman" w:hAnsi="Times New Roman" w:cs="Times New Roman"/>
          <w:sz w:val="24"/>
          <w:szCs w:val="24"/>
        </w:rPr>
        <w:t>. Взема решение за избор на проекти за подпомагане.</w:t>
      </w:r>
    </w:p>
    <w:p w:rsidR="009329C9" w:rsidRDefault="00B5212B">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7</w:t>
      </w:r>
      <w:r>
        <w:rPr>
          <w:rFonts w:ascii="Times New Roman" w:hAnsi="Times New Roman" w:cs="Times New Roman"/>
          <w:sz w:val="24"/>
          <w:szCs w:val="24"/>
        </w:rPr>
        <w:t xml:space="preserve">. Одобрява Заявленията за одобрение на планирани дейности и разходи в МЗХ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 xml:space="preserve"> Одобрява Заявки за плащане до разплащателната агенция</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19</w:t>
      </w:r>
      <w:r>
        <w:rPr>
          <w:rFonts w:ascii="Times New Roman" w:hAnsi="Times New Roman" w:cs="Times New Roman"/>
          <w:sz w:val="24"/>
          <w:szCs w:val="24"/>
        </w:rPr>
        <w:t xml:space="preserve"> Взема решения за възлагане на поръчки на стойност над 30 000 лева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0</w:t>
      </w:r>
      <w:r>
        <w:rPr>
          <w:rFonts w:ascii="Times New Roman" w:hAnsi="Times New Roman" w:cs="Times New Roman"/>
          <w:sz w:val="24"/>
          <w:szCs w:val="24"/>
        </w:rPr>
        <w:t xml:space="preserve"> Отговаря за информирането на местната общност за дейността на Сдружението и за гарантиране на неговата прозрачност и справедливия достъп до ползите от дейността му на всеки правоимащ.</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1</w:t>
      </w:r>
      <w:r>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 xml:space="preserve"> Взема решение за създаване на консултативни органи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9329C9" w:rsidRDefault="00B5212B">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r>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правата на друг орган;</w:t>
      </w:r>
    </w:p>
    <w:p w:rsidR="009329C9" w:rsidRDefault="009329C9">
      <w:pPr>
        <w:spacing w:after="0"/>
        <w:ind w:right="-1"/>
        <w:jc w:val="both"/>
        <w:rPr>
          <w:rFonts w:ascii="Times New Roman" w:hAnsi="Times New Roman" w:cs="Times New Roman"/>
          <w:b/>
          <w:sz w:val="24"/>
          <w:szCs w:val="24"/>
        </w:rPr>
      </w:pPr>
    </w:p>
    <w:p w:rsidR="009329C9" w:rsidRDefault="00B5212B">
      <w:pPr>
        <w:spacing w:after="0"/>
        <w:ind w:right="-1"/>
        <w:jc w:val="both"/>
        <w:rPr>
          <w:rFonts w:ascii="Times New Roman" w:hAnsi="Times New Roman" w:cs="Times New Roman"/>
          <w:b/>
          <w:sz w:val="24"/>
          <w:szCs w:val="24"/>
        </w:rPr>
      </w:pPr>
      <w:r>
        <w:rPr>
          <w:rFonts w:ascii="Times New Roman" w:hAnsi="Times New Roman" w:cs="Times New Roman"/>
          <w:b/>
          <w:sz w:val="24"/>
          <w:szCs w:val="24"/>
        </w:rPr>
        <w:lastRenderedPageBreak/>
        <w:t>Председателят на Управителния съвет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1. Представлява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2. Ръководи заседанията на УС и организира изпълнението на неговите решения.</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3. Отговаря за воденото на книги за протоколите от заседанията на колективните си органи.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4. Провежда и следи за изпълнение на взетите от ОС решения.</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6. Съхранява архива и печата на Сдружението.</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7. Организира дейността по плащането на членския внос и встъпителните вноски.</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8. Отчита дейността си пред Управителния съвет.</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9. В отсъствие на Председателя или при невъзможност да изпълнява задълженията си, функциите по ал. 3 се осъществяват от Заместник председателя.</w:t>
      </w:r>
    </w:p>
    <w:p w:rsidR="009329C9" w:rsidRDefault="009329C9">
      <w:pPr>
        <w:spacing w:after="0"/>
        <w:ind w:right="-1"/>
        <w:jc w:val="both"/>
        <w:rPr>
          <w:rFonts w:ascii="Times New Roman" w:hAnsi="Times New Roman" w:cs="Times New Roman"/>
          <w:sz w:val="24"/>
          <w:szCs w:val="24"/>
          <w:lang w:val="en-US"/>
        </w:rPr>
      </w:pP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 описание на позициите и изискванията към изпълнителния директор и персонала.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Екипът на сдружението се състои от Изпълнителен директор, двама експерти по прилагане на дейностите по СВОМР , счетоводител и технически асистент,всички на пълен работен ден.</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b/>
          <w:sz w:val="24"/>
          <w:szCs w:val="24"/>
        </w:rPr>
        <w:t>Изпълнителният директор</w:t>
      </w:r>
      <w:r>
        <w:rPr>
          <w:rFonts w:ascii="Times New Roman" w:hAnsi="Times New Roman" w:cs="Times New Roman"/>
          <w:sz w:val="24"/>
          <w:szCs w:val="24"/>
        </w:rPr>
        <w:t xml:space="preserve"> на МИГ Свиленград Ареал се назначава от Управителния съвет като неговите правомощия и условия на наемане се определят в договор и на пълен работен ден.Основните му функции съгласно Устава предвиждат следното: Отговаря за прилагането на Стратегията за местно развитие съгласно изискванията на МЗХГ;Представлява Сдружението, доколкото е упълномощен от Председателя на 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т. 11 от „Насоките за кандидатстванеи условията за изпълнение на одобрените стратегии за ВОМР“ на  УО на ПРСР/23.06.2017 г. и Наредба 22/14.12.2015г. за прилагане на подмярка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завършено висше образование най-малко степен „бакалавър“,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професионален стаж минимум 5 години,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управленски опит най-малко две години, </w:t>
      </w:r>
    </w:p>
    <w:p w:rsidR="009329C9" w:rsidRDefault="00B5212B">
      <w:pPr>
        <w:pStyle w:val="af4"/>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9329C9" w:rsidRDefault="009329C9">
      <w:pPr>
        <w:spacing w:after="0"/>
        <w:ind w:right="-1"/>
        <w:jc w:val="both"/>
        <w:rPr>
          <w:rFonts w:ascii="Times New Roman" w:hAnsi="Times New Roman" w:cs="Times New Roman"/>
          <w:sz w:val="24"/>
          <w:szCs w:val="24"/>
        </w:rPr>
      </w:pP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 управление на стратегията за местно развитие през периода 2014-2020г. МИГ Свиленград Ареал предвижда постоянен трудов договор на пълен работен ден да бъдат назначени служители на следните позиции:</w:t>
      </w:r>
    </w:p>
    <w:p w:rsidR="009329C9" w:rsidRDefault="009329C9">
      <w:pPr>
        <w:spacing w:after="0"/>
        <w:jc w:val="both"/>
        <w:rPr>
          <w:rFonts w:ascii="Times New Roman" w:hAnsi="Times New Roman" w:cs="Times New Roman"/>
          <w:b/>
          <w:sz w:val="24"/>
          <w:szCs w:val="24"/>
        </w:rPr>
      </w:pPr>
    </w:p>
    <w:p w:rsidR="009329C9" w:rsidRDefault="00B5212B">
      <w:pPr>
        <w:spacing w:after="0"/>
        <w:jc w:val="both"/>
        <w:rPr>
          <w:rFonts w:ascii="Times New Roman" w:hAnsi="Times New Roman" w:cs="Times New Roman"/>
          <w:b/>
          <w:sz w:val="24"/>
          <w:szCs w:val="24"/>
        </w:rPr>
      </w:pPr>
      <w:r>
        <w:rPr>
          <w:rFonts w:ascii="Times New Roman" w:hAnsi="Times New Roman" w:cs="Times New Roman"/>
          <w:b/>
          <w:sz w:val="24"/>
          <w:szCs w:val="24"/>
        </w:rPr>
        <w:t>Експерт по прилагане на стратегията за ВОМР– двама души на пълен работен ден.</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Експертът СМР работи по изпълнение на задачи, които са възложени от Изпълнителния директор в съответствие с целите за прилагане на СВОМР на територията и одобрения годишен </w:t>
      </w:r>
      <w:r>
        <w:rPr>
          <w:rFonts w:ascii="Times New Roman" w:eastAsia="Times New Roman" w:hAnsi="Times New Roman" w:cs="Times New Roman"/>
          <w:sz w:val="24"/>
          <w:szCs w:val="24"/>
        </w:rPr>
        <w:lastRenderedPageBreak/>
        <w:t>план на МИГ за управление на СВОМР. Основните дейности, които изпълняват експертите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практики в приоритетните области на стратегията, провеждане на мониторинг, изготвяне на обобщени междинни отчети по напредъка на проектите, и изпълнението на СВОМР, подготовка на документация за кандидатстване, текуща и интензивна комуникация с потенциални бенефициенти и съответно УО на оперативните програми, подготовка на информационни и ресурсни материали за интернет страница и печатни материали по конкретни теми, поддържане на рубрика въпроси и отговори в интернет страницата на МИГ, изготвяне на експертни становища, фасилитиране и подпомагане работата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„Иновации и конкурентоспособност“ 2014-2020г. и Оперативна програма „Околна среда”, приложими в територията за различен кръг потенци</w:t>
      </w:r>
      <w:r>
        <w:rPr>
          <w:rFonts w:ascii="Times New Roman" w:hAnsi="Times New Roman" w:cs="Times New Roman"/>
          <w:sz w:val="24"/>
          <w:szCs w:val="24"/>
        </w:rPr>
        <w:t>ални получатели, а от ЕСМР2 – същото за  ОП „</w:t>
      </w:r>
      <w:r>
        <w:rPr>
          <w:rFonts w:ascii="Times New Roman" w:eastAsia="Times New Roman" w:hAnsi="Times New Roman" w:cs="Times New Roman"/>
          <w:sz w:val="24"/>
          <w:szCs w:val="24"/>
        </w:rPr>
        <w:t>Развитие на човешките ресурси“ 2014-2020г. и Оперативна програма „Наука и образование за интелигентен растеж“ 2014-2020г.</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Според изискванията на т. 11 от „Насоките за кандидатстване и условията за изпълнение на одобрените стратегии за ВОМР“ на  УО на ПРСР/23.06.2017 г експертите по прилагане на Стратегията за ВОМР трябва да имат:</w:t>
      </w:r>
    </w:p>
    <w:p w:rsidR="009329C9" w:rsidRDefault="00B5212B">
      <w:pPr>
        <w:pStyle w:val="af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завършено висше образование, най-малко степе „бакалавър“</w:t>
      </w:r>
    </w:p>
    <w:p w:rsidR="009329C9" w:rsidRDefault="00B5212B">
      <w:pPr>
        <w:pStyle w:val="af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професионален стаж най-малко 2 години</w:t>
      </w:r>
    </w:p>
    <w:p w:rsidR="009329C9" w:rsidRDefault="009329C9">
      <w:pPr>
        <w:spacing w:after="0"/>
        <w:jc w:val="both"/>
        <w:rPr>
          <w:rFonts w:ascii="Times New Roman" w:hAnsi="Times New Roman" w:cs="Times New Roman"/>
          <w:sz w:val="24"/>
          <w:szCs w:val="24"/>
        </w:rPr>
      </w:pPr>
    </w:p>
    <w:p w:rsidR="009329C9" w:rsidRDefault="00B5212B">
      <w:pPr>
        <w:spacing w:after="0"/>
        <w:jc w:val="both"/>
        <w:rPr>
          <w:rFonts w:ascii="Times New Roman" w:hAnsi="Times New Roman" w:cs="Times New Roman"/>
          <w:b/>
          <w:sz w:val="24"/>
          <w:szCs w:val="24"/>
        </w:rPr>
      </w:pPr>
      <w:r>
        <w:rPr>
          <w:rFonts w:ascii="Times New Roman" w:hAnsi="Times New Roman" w:cs="Times New Roman"/>
          <w:b/>
          <w:sz w:val="24"/>
          <w:szCs w:val="24"/>
        </w:rPr>
        <w:t>Счетоводителна пълен работен ден.</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 xml:space="preserve">Счетоводителят (С) следи за разходването и управлението на средствата на МИГ, както и на средствата за прилагане на СВОМР, в съответствие с: българските счетоводни стандарти, изисквания за отчетност и управление на средства на организации, регистрирани в обществено полезна дейност; изискванията на Разплащателната агенция, Управляващия орган на ПРСР 2014-2020г. и УО на другите ОП;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популяризиране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СВОМР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отчети в срок до ПРСР и другите ОП в съответствие с формалните изисквания, форми и указания, подадени от тях; участва в разработване на годишни планове и бюджет необходим за управление на СВОМР;разработва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СВОМР при подготовка на отчетни документи и искания за плащане; възлага задачи на Техническия асистент по проекта и следи за изпълнението им свързани с оформяне на документация; отговаря за изработването и прилагането на конкретни процедури и правила за архивиране на счетоводната отчетност; изготвя текущи отчети и информация за целите на управление за Изпълнителния директор за представяне пред УС и други органи на МИГ; изготвя всички годишни отчети за целите на отчитане като организация в обществено полезна дейност пред МП; подготвя финансовата </w:t>
      </w:r>
      <w:r>
        <w:rPr>
          <w:rFonts w:ascii="Times New Roman" w:hAnsi="Times New Roman" w:cs="Times New Roman"/>
          <w:sz w:val="24"/>
          <w:szCs w:val="24"/>
        </w:rPr>
        <w:lastRenderedPageBreak/>
        <w:t>част на годишния отчет за целите на публикуване на интернет страница и печатни документи.</w:t>
      </w:r>
    </w:p>
    <w:p w:rsidR="009329C9" w:rsidRDefault="00B5212B">
      <w:pPr>
        <w:spacing w:after="0"/>
        <w:jc w:val="both"/>
        <w:rPr>
          <w:rFonts w:ascii="Times New Roman" w:hAnsi="Times New Roman" w:cs="Times New Roman"/>
          <w:sz w:val="24"/>
          <w:szCs w:val="24"/>
        </w:rPr>
      </w:pPr>
      <w:r>
        <w:rPr>
          <w:rFonts w:ascii="Times New Roman" w:hAnsi="Times New Roman" w:cs="Times New Roman"/>
          <w:sz w:val="24"/>
          <w:szCs w:val="24"/>
        </w:rPr>
        <w:t>За длъжността Счетоводител, според т.11 от „Насоките за кандидатстване и условията за изпълнение на одобрените стратегии за ВОМР“ на  УО на ПРСР/23.06.2017 г се прилагат изискванията на чл.18 от Закона за счетоводството, без да се изисква изпълнение на изискванията за длъжност „експерт“.</w:t>
      </w:r>
    </w:p>
    <w:p w:rsidR="009329C9" w:rsidRDefault="009329C9">
      <w:pPr>
        <w:spacing w:after="0"/>
        <w:jc w:val="both"/>
        <w:rPr>
          <w:rFonts w:ascii="Times New Roman" w:eastAsia="Times New Roman" w:hAnsi="Times New Roman" w:cs="Times New Roman"/>
          <w:sz w:val="24"/>
          <w:szCs w:val="24"/>
        </w:rPr>
      </w:pPr>
    </w:p>
    <w:p w:rsidR="009329C9" w:rsidRDefault="00B5212B">
      <w:pPr>
        <w:jc w:val="both"/>
        <w:rPr>
          <w:rFonts w:ascii="Times New Roman" w:hAnsi="Times New Roman" w:cs="Times New Roman"/>
          <w:sz w:val="24"/>
          <w:szCs w:val="24"/>
        </w:rPr>
      </w:pPr>
      <w:r>
        <w:rPr>
          <w:rFonts w:ascii="Times New Roman" w:hAnsi="Times New Roman" w:cs="Times New Roman"/>
          <w:b/>
          <w:sz w:val="24"/>
          <w:szCs w:val="24"/>
        </w:rPr>
        <w:t xml:space="preserve">Технически асистентна пълен работен ден - </w:t>
      </w:r>
      <w:r>
        <w:rPr>
          <w:rFonts w:ascii="Times New Roman" w:eastAsia="Times New Roman" w:hAnsi="Times New Roman" w:cs="Times New Roman"/>
          <w:sz w:val="24"/>
          <w:szCs w:val="24"/>
        </w:rPr>
        <w:t>Асистентът работи по изпълнението на задачите, които са му възложени от Изпълнителния директор и/или екипа от експерти в МИГ</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Основните задачи, </w:t>
      </w:r>
      <w:r>
        <w:rPr>
          <w:rFonts w:ascii="Times New Roman" w:hAnsi="Times New Roman" w:cs="Times New Roman"/>
          <w:sz w:val="24"/>
          <w:szCs w:val="24"/>
        </w:rPr>
        <w:t>които</w:t>
      </w:r>
      <w:r>
        <w:rPr>
          <w:rFonts w:ascii="Times New Roman" w:eastAsia="Times New Roman" w:hAnsi="Times New Roman" w:cs="Times New Roman"/>
          <w:sz w:val="24"/>
          <w:szCs w:val="24"/>
        </w:rPr>
        <w:t xml:space="preserve"> изпълнява, са свързани с организиране на срещи, събиране и осигуряване на информация, организиране на документация в електронен и хартиен формат, текуща и интензивна комуникация с хора, водене на протоколи, обобщаване на информация, поддържане на база данни, поддържане</w:t>
      </w:r>
      <w:r>
        <w:rPr>
          <w:rFonts w:ascii="Times New Roman" w:hAnsi="Times New Roman" w:cs="Times New Roman"/>
          <w:sz w:val="24"/>
          <w:szCs w:val="24"/>
        </w:rPr>
        <w:t xml:space="preserve"> и управление на офис; асистентът </w:t>
      </w:r>
      <w:r>
        <w:rPr>
          <w:rFonts w:ascii="Times New Roman" w:eastAsia="Times New Roman" w:hAnsi="Times New Roman" w:cs="Times New Roman"/>
          <w:sz w:val="24"/>
          <w:szCs w:val="24"/>
        </w:rPr>
        <w:t>не участва в изпълнение на функциите на екипа на МИГ с взимане на решения, освен в рамките на задачи, които са изрично договорени по отношение на управлението и набавянето на офис материали, закупуване на консумативи и управлението и архивиране на информацията, свързана с отчитане на дейности, регистриране на заявления при кандидатстване с проекти и др.</w:t>
      </w:r>
      <w:r>
        <w:rPr>
          <w:rFonts w:ascii="Times New Roman" w:hAnsi="Times New Roman" w:cs="Times New Roman"/>
          <w:sz w:val="24"/>
          <w:szCs w:val="24"/>
        </w:rPr>
        <w:t xml:space="preserve">; </w:t>
      </w:r>
      <w:r>
        <w:rPr>
          <w:rFonts w:ascii="Times New Roman" w:eastAsia="Times New Roman" w:hAnsi="Times New Roman" w:cs="Times New Roman"/>
          <w:sz w:val="24"/>
          <w:szCs w:val="24"/>
        </w:rPr>
        <w:t>има ролята и на лице за контакт,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Pr>
          <w:rFonts w:ascii="Times New Roman" w:hAnsi="Times New Roman" w:cs="Times New Roman"/>
          <w:sz w:val="24"/>
          <w:szCs w:val="24"/>
        </w:rPr>
        <w:t xml:space="preserve">я от страна на офиса като цяло.; </w:t>
      </w:r>
      <w:r>
        <w:rPr>
          <w:rFonts w:ascii="Times New Roman" w:eastAsia="Times New Roman" w:hAnsi="Times New Roman" w:cs="Times New Roman"/>
          <w:sz w:val="24"/>
          <w:szCs w:val="24"/>
        </w:rPr>
        <w:t>ще изпълнява ролята на „касиер” в съответствие с правила и форми предоставени от счетоводителя на МИГ  и съгласувани с Изпълни</w:t>
      </w:r>
      <w:r>
        <w:rPr>
          <w:rFonts w:ascii="Times New Roman" w:hAnsi="Times New Roman" w:cs="Times New Roman"/>
          <w:sz w:val="24"/>
          <w:szCs w:val="24"/>
        </w:rPr>
        <w:t xml:space="preserve">телния Директор.; </w:t>
      </w:r>
      <w:r>
        <w:rPr>
          <w:rFonts w:ascii="Times New Roman" w:eastAsia="Times New Roman" w:hAnsi="Times New Roman" w:cs="Times New Roman"/>
          <w:sz w:val="24"/>
          <w:szCs w:val="24"/>
        </w:rPr>
        <w:t>подпомага работата на ИД, експертите по стратегията и счетоводителя на МИГ</w:t>
      </w:r>
      <w:r>
        <w:rPr>
          <w:rFonts w:ascii="Times New Roman" w:hAnsi="Times New Roman" w:cs="Times New Roman"/>
          <w:sz w:val="24"/>
          <w:szCs w:val="24"/>
        </w:rPr>
        <w:t xml:space="preserve">. </w:t>
      </w:r>
    </w:p>
    <w:p w:rsidR="009329C9" w:rsidRDefault="00B5212B">
      <w:pPr>
        <w:jc w:val="both"/>
        <w:rPr>
          <w:rFonts w:ascii="Times New Roman" w:eastAsia="Times New Roman" w:hAnsi="Times New Roman" w:cs="Times New Roman"/>
          <w:sz w:val="24"/>
          <w:szCs w:val="24"/>
          <w:lang w:val="ru-RU"/>
        </w:rPr>
      </w:pPr>
      <w:r>
        <w:rPr>
          <w:rFonts w:ascii="Times New Roman" w:hAnsi="Times New Roman" w:cs="Times New Roman"/>
          <w:sz w:val="24"/>
          <w:szCs w:val="24"/>
        </w:rPr>
        <w:t>Допълнително ще бъдат наемани на граждански договори външни експерти запознати с прилагането на мерките по различните програми в Стратегията.</w:t>
      </w:r>
    </w:p>
    <w:p w:rsidR="009329C9" w:rsidRDefault="00B5212B">
      <w:pPr>
        <w:pStyle w:val="2"/>
        <w:spacing w:before="0"/>
        <w:ind w:right="-1"/>
        <w:jc w:val="both"/>
        <w:rPr>
          <w:rFonts w:ascii="Times New Roman" w:hAnsi="Times New Roman" w:cs="Times New Roman"/>
          <w:b/>
          <w:color w:val="auto"/>
          <w:sz w:val="24"/>
          <w:szCs w:val="24"/>
        </w:rPr>
      </w:pPr>
      <w:bookmarkStart w:id="51" w:name="_Toc448392297"/>
      <w:bookmarkStart w:id="52" w:name="_Toc449349442"/>
      <w:r>
        <w:rPr>
          <w:rFonts w:ascii="Times New Roman" w:hAnsi="Times New Roman" w:cs="Times New Roman"/>
          <w:b/>
          <w:color w:val="auto"/>
          <w:sz w:val="24"/>
          <w:szCs w:val="24"/>
        </w:rPr>
        <w:t>8.3. Капацитет на местната инициативна група да изпълни стратегията за ВОМР:</w:t>
      </w:r>
      <w:bookmarkEnd w:id="51"/>
      <w:bookmarkEnd w:id="52"/>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С цел спазването на изискванията на т. 11 от „Насоките за кандидатстване и условията за изпълнение на одобрените стратегии за ВОМР“ на  УО на ПРСР/23.06.2017 г  и  чл.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сключенидва договора за помещения намиращи се в град Свиленград. Единият договор осигурява </w:t>
      </w:r>
      <w:r>
        <w:rPr>
          <w:rFonts w:ascii="Times New Roman" w:hAnsi="Times New Roman" w:cs="Times New Roman"/>
          <w:b/>
          <w:sz w:val="24"/>
          <w:szCs w:val="24"/>
        </w:rPr>
        <w:t>помещение, предназначено за работно за екипа</w:t>
      </w:r>
      <w:r>
        <w:rPr>
          <w:rFonts w:ascii="Times New Roman" w:hAnsi="Times New Roman" w:cs="Times New Roman"/>
          <w:sz w:val="24"/>
          <w:szCs w:val="24"/>
        </w:rPr>
        <w:t xml:space="preserve"> за управление, а другият договор осигурява </w:t>
      </w:r>
      <w:r>
        <w:rPr>
          <w:rFonts w:ascii="Times New Roman" w:hAnsi="Times New Roman" w:cs="Times New Roman"/>
          <w:b/>
          <w:sz w:val="24"/>
          <w:szCs w:val="24"/>
        </w:rPr>
        <w:t>помещение, което е място за срещи и заседания</w:t>
      </w:r>
      <w:r>
        <w:rPr>
          <w:rFonts w:ascii="Times New Roman" w:hAnsi="Times New Roman" w:cs="Times New Roman"/>
          <w:sz w:val="24"/>
          <w:szCs w:val="24"/>
        </w:rPr>
        <w:t>, както и архивно помещение. Работното помещение на екипа е достъпно за хора с увреждания.За всеки служител има осигурено необходимото офис оборудване, обзавеждане и техника, в това число, пет бюра, компютър за всеки служител, един принтер и едно мултифункционално устройство.</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Pr>
          <w:rFonts w:ascii="Times New Roman" w:hAnsi="Times New Roman" w:cs="Times New Roman"/>
          <w:b/>
          <w:sz w:val="24"/>
          <w:szCs w:val="24"/>
        </w:rPr>
        <w:t>административния капацитет,</w:t>
      </w:r>
      <w:r>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Pr>
          <w:rFonts w:ascii="Times New Roman" w:hAnsi="Times New Roman" w:cs="Times New Roman"/>
          <w:sz w:val="24"/>
          <w:szCs w:val="24"/>
          <w:lang w:val="en-US" w:eastAsia="en-US"/>
        </w:rPr>
        <w:t xml:space="preserve">PCP </w:t>
      </w:r>
      <w:r>
        <w:rPr>
          <w:rFonts w:ascii="Times New Roman" w:hAnsi="Times New Roman" w:cs="Times New Roman"/>
          <w:sz w:val="24"/>
          <w:szCs w:val="24"/>
        </w:rPr>
        <w:t>2007 - 2013 г.</w:t>
      </w:r>
    </w:p>
    <w:p w:rsidR="009329C9" w:rsidRDefault="00B5212B">
      <w:pPr>
        <w:pStyle w:val="15"/>
        <w:shd w:val="clear" w:color="auto" w:fill="auto"/>
        <w:spacing w:before="0" w:after="0" w:line="276" w:lineRule="auto"/>
        <w:ind w:right="20" w:firstLine="0"/>
        <w:rPr>
          <w:sz w:val="24"/>
          <w:szCs w:val="24"/>
        </w:rPr>
      </w:pPr>
      <w:r>
        <w:t xml:space="preserve">В Управителните органи на МИГ и в Общото събрание са включени 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активно в процесите по разработване на стратегията за местно развитие. Управителните органи </w:t>
      </w:r>
      <w:r>
        <w:rPr>
          <w:sz w:val="24"/>
          <w:szCs w:val="24"/>
          <w:lang w:val="ru-RU"/>
        </w:rPr>
        <w:t xml:space="preserve">периодично ще извършват изследвания и </w:t>
      </w:r>
      <w:r>
        <w:rPr>
          <w:sz w:val="24"/>
          <w:szCs w:val="24"/>
          <w:lang w:val="ru-RU"/>
        </w:rPr>
        <w:lastRenderedPageBreak/>
        <w:t>оценки  за балансирано прилагане на стратегията на МИГ  и една окончателна оценка - в годината на приключване на СВОМР. Оценките ще бъдат възложени на външни експерти. При необходимост с решение на УС ще бъде извършван годишен счетоводен одит от независим експерт – счетоводител. Общите критерии, на базата на които ще се прави оценка са:</w:t>
      </w:r>
      <w:r>
        <w:rPr>
          <w:b/>
          <w:sz w:val="24"/>
          <w:szCs w:val="24"/>
          <w:lang w:val="ru-RU"/>
        </w:rPr>
        <w:t>публичност; ефикасност; степен на въздействие върху местните общности; и др</w:t>
      </w:r>
      <w:r>
        <w:rPr>
          <w:sz w:val="24"/>
          <w:szCs w:val="24"/>
          <w:lang w:val="ru-RU"/>
        </w:rPr>
        <w:t>. Междинните оценки и изследвания ще включват и анализ на възникналите положителни и отрицателни тенденции, като на тази база може да бъде предложено преразпределението на публичния принос по мерките.</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За успешното изпълнение на СВОМР – МИГ Свиленград ареал гарантира чрез </w:t>
      </w:r>
      <w:r>
        <w:rPr>
          <w:rFonts w:ascii="Times New Roman" w:hAnsi="Times New Roman" w:cs="Times New Roman"/>
          <w:b/>
          <w:sz w:val="24"/>
          <w:szCs w:val="24"/>
        </w:rPr>
        <w:t>екипа за управление</w:t>
      </w:r>
      <w:r>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Изпълнителен директор – Милена Янева Стефанова-Георгиева.</w:t>
      </w:r>
      <w:r>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администрация Свиленград, активно участва в дейноста на МИГ „Свиленград Ареал“ от началото на създаването му. Била е Началник на отдел „Местно икономическо развитие, проект и програми” в Общинска администрация, Свиленград, в рамките на две години и три месеца, ръководител на много проекти финансирани от 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 </w:t>
      </w:r>
      <w:r>
        <w:rPr>
          <w:rFonts w:ascii="Times New Roman" w:eastAsia="Times New Roman" w:hAnsi="Times New Roman" w:cs="Times New Roman"/>
          <w:sz w:val="24"/>
          <w:szCs w:val="24"/>
        </w:rPr>
        <w:t>Финансов механизъм на Европейското икономическо пространство 2009-2014г.</w:t>
      </w:r>
      <w:r>
        <w:rPr>
          <w:rFonts w:ascii="Times New Roman" w:hAnsi="Times New Roman" w:cs="Times New Roman"/>
          <w:sz w:val="24"/>
          <w:szCs w:val="24"/>
        </w:rPr>
        <w:t xml:space="preserve"> с Програмен оператор Министерство на културата.Участвала като член на екип по управление на проект по Оперативна програма Околна среда 2007- 2013г.Управител на частна фирма ММ Проджектс ООД, която се занимава с подготовка и изпълнение на проекти. Фирмата е регистрирана и работи от 2012г. до момента. Участвала в сформирането на МИГ „Свиленград Ареал“ и от 2010 до 2016г. е била член на сдружението.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Експерт СМР 1 -  Елена Недкова Таушанова</w:t>
      </w:r>
      <w:r>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администрация, Свиленград, активно участва в дейноста на МИГ „Свиленград Ареал“ от началото на създаването му. През периода 2007-2013г. 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 2007-2013г., Оперативна програма Околна среда 2007- 2013г., Оперативна програма „Региони в растеж“.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Експерт СМР 2 -  Мима Димитрова Шомова</w:t>
      </w:r>
      <w:r>
        <w:rPr>
          <w:rFonts w:ascii="Times New Roman" w:hAnsi="Times New Roman" w:cs="Times New Roman"/>
          <w:sz w:val="24"/>
          <w:szCs w:val="24"/>
        </w:rPr>
        <w:t xml:space="preserve">. Единадесет години е работила като начален учител, шест години работи като експерт култура и туризъм в общинска администрация, Свиленград. Била е член на екипа на проекти, реализирани от общината в сферата на организиране на различни събития. Била е координатор на проект по ОП„Развитие на човешките ресурси“ 2007-2013г.; Ръководител е на проект по ОП „Наука и образование за интелигентен растеж“.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 xml:space="preserve">Технически асистент – Анна Михайлова Терцева. </w:t>
      </w:r>
      <w:r>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 Свиленград. Има опит в разработването и изпълнението на проекти. Била е координатор на два проекта и ръководител на един проект. Работила е по Програмата за европейско териториално сътрудничество Гърция- България 2007-2013 и по ОП„Административен капацитет.“</w:t>
      </w:r>
      <w:bookmarkStart w:id="53" w:name="_Toc449349443"/>
      <w:bookmarkStart w:id="54" w:name="_Toc448392298"/>
    </w:p>
    <w:p w:rsidR="009329C9" w:rsidRDefault="009329C9">
      <w:pPr>
        <w:tabs>
          <w:tab w:val="left" w:pos="284"/>
        </w:tabs>
        <w:spacing w:after="0"/>
        <w:ind w:right="-1"/>
        <w:jc w:val="both"/>
        <w:rPr>
          <w:rFonts w:ascii="Times New Roman" w:hAnsi="Times New Roman" w:cs="Times New Roman"/>
          <w:b/>
          <w:sz w:val="24"/>
          <w:szCs w:val="24"/>
        </w:rPr>
      </w:pP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lastRenderedPageBreak/>
        <w:t>За повишаване на административния капацитет</w:t>
      </w:r>
      <w:r>
        <w:rPr>
          <w:rFonts w:ascii="Times New Roman" w:hAnsi="Times New Roman" w:cs="Times New Roman"/>
          <w:sz w:val="24"/>
          <w:szCs w:val="24"/>
        </w:rPr>
        <w:t xml:space="preserve">, членовете от общото събрание на МИГ, Изпълнителният директор и експерт СМР 2 преминаха обучението, което бе проведено за СВОМР по мярка 19.1. Служителите от община Свиленград, които са в екипа за управление периодично преминават през обучения, свързани с изграждане на административен капацитет по управление на средствата от ЕС. Това гарантира наличие на административен капацитет и познаване на изискванията и нормативната база, с която ще работи МИГ.  </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Финансовата обезпеченост на средствата за управление на МИГ</w:t>
      </w:r>
      <w:r>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размер до 3,5% т.е. до 35 000 лв.</w:t>
      </w:r>
    </w:p>
    <w:p w:rsidR="009329C9" w:rsidRDefault="009329C9">
      <w:pPr>
        <w:pStyle w:val="2"/>
        <w:rPr>
          <w:rFonts w:ascii="Times New Roman" w:hAnsi="Times New Roman" w:cs="Times New Roman"/>
          <w:b/>
          <w:color w:val="auto"/>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8.4. Описание на системата за мониторинг и оценка:</w:t>
      </w:r>
      <w:bookmarkEnd w:id="53"/>
      <w:bookmarkEnd w:id="54"/>
    </w:p>
    <w:p w:rsidR="009329C9" w:rsidRDefault="00B5212B">
      <w:pPr>
        <w:pStyle w:val="15"/>
        <w:shd w:val="clear" w:color="auto" w:fill="auto"/>
        <w:spacing w:before="0" w:after="0" w:line="276" w:lineRule="auto"/>
        <w:ind w:firstLine="0"/>
        <w:rPr>
          <w:sz w:val="24"/>
          <w:szCs w:val="24"/>
        </w:rPr>
      </w:pPr>
      <w:bookmarkStart w:id="55" w:name="_Toc449349444"/>
      <w:bookmarkStart w:id="56" w:name="_Toc448392299"/>
      <w:r>
        <w:rPr>
          <w:sz w:val="24"/>
          <w:szCs w:val="24"/>
        </w:rPr>
        <w:t xml:space="preserve">Мониторингът е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периодична проверка на съответствието, ефективността, ефикасността, въздействието, икономическата </w:t>
      </w:r>
      <w:r>
        <w:rPr>
          <w:rStyle w:val="af6"/>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9329C9" w:rsidRDefault="00B5212B">
      <w:pPr>
        <w:pStyle w:val="15"/>
        <w:numPr>
          <w:ilvl w:val="0"/>
          <w:numId w:val="28"/>
        </w:numPr>
        <w:shd w:val="clear" w:color="auto" w:fill="auto"/>
        <w:tabs>
          <w:tab w:val="left" w:pos="153"/>
        </w:tabs>
        <w:spacing w:before="0" w:after="0" w:line="276" w:lineRule="auto"/>
        <w:ind w:firstLine="0"/>
        <w:rPr>
          <w:sz w:val="24"/>
          <w:szCs w:val="24"/>
        </w:rPr>
      </w:pPr>
      <w:r>
        <w:rPr>
          <w:sz w:val="24"/>
          <w:szCs w:val="24"/>
        </w:rPr>
        <w:t>Да бъде събрана и систематизирана информация, с цел улесняване на последващото управление, развитие и приоритизация на дейностите по Стратегията.</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Да бъдат определени вероятните слабости или рискове в изпълнението на индивидуалните проекти;</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нередности, по-специално касаещи финансовото управление;</w:t>
      </w:r>
    </w:p>
    <w:p w:rsidR="009329C9" w:rsidRDefault="00B5212B">
      <w:pPr>
        <w:pStyle w:val="15"/>
        <w:shd w:val="clear" w:color="auto" w:fill="auto"/>
        <w:spacing w:before="0" w:after="0" w:line="276" w:lineRule="auto"/>
        <w:ind w:firstLine="0"/>
        <w:rPr>
          <w:sz w:val="24"/>
          <w:szCs w:val="24"/>
        </w:rPr>
      </w:pPr>
      <w:r>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индивидуалните проекти са разработени от експертния екип са съобразени с нормативната уредба.</w:t>
      </w:r>
    </w:p>
    <w:p w:rsidR="009329C9" w:rsidRDefault="00B5212B">
      <w:pPr>
        <w:pStyle w:val="15"/>
        <w:shd w:val="clear" w:color="auto" w:fill="auto"/>
        <w:spacing w:before="0" w:after="0" w:line="276" w:lineRule="auto"/>
        <w:ind w:firstLine="0"/>
        <w:rPr>
          <w:sz w:val="24"/>
          <w:szCs w:val="24"/>
        </w:rPr>
      </w:pPr>
      <w:r>
        <w:rPr>
          <w:sz w:val="24"/>
          <w:szCs w:val="24"/>
        </w:rPr>
        <w:t>МИГ ще приложи тези изисквания и процедури в зависимост от начина на осъществяване на мониторинг</w:t>
      </w:r>
      <w:r>
        <w:rPr>
          <w:rStyle w:val="11pt2"/>
          <w:rFonts w:ascii="Times New Roman" w:hAnsi="Times New Roman" w:cs="Times New Roman"/>
          <w:sz w:val="24"/>
          <w:szCs w:val="24"/>
        </w:rPr>
        <w:t>(вътрешен и външен).</w:t>
      </w:r>
    </w:p>
    <w:p w:rsidR="009329C9" w:rsidRDefault="00B5212B">
      <w:pPr>
        <w:pStyle w:val="15"/>
        <w:numPr>
          <w:ilvl w:val="1"/>
          <w:numId w:val="28"/>
        </w:numPr>
        <w:shd w:val="clear" w:color="auto" w:fill="auto"/>
        <w:tabs>
          <w:tab w:val="left" w:pos="250"/>
        </w:tabs>
        <w:spacing w:before="0" w:after="0" w:line="276" w:lineRule="auto"/>
        <w:ind w:firstLine="0"/>
        <w:rPr>
          <w:sz w:val="24"/>
          <w:szCs w:val="24"/>
        </w:rPr>
      </w:pPr>
      <w:r>
        <w:rPr>
          <w:rStyle w:val="11pt2"/>
          <w:rFonts w:ascii="Times New Roman" w:hAnsi="Times New Roman" w:cs="Times New Roman"/>
          <w:b/>
          <w:sz w:val="24"/>
          <w:szCs w:val="24"/>
        </w:rPr>
        <w:t>Вътрешен мониторинг</w:t>
      </w:r>
      <w:r>
        <w:rPr>
          <w:sz w:val="24"/>
          <w:szCs w:val="24"/>
        </w:rPr>
        <w:t xml:space="preserve"> - на ниво Стратегия за ВОМР и индивидуални проекти, осъществен от екипа на управление на МИГ/, насочен към:</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Цялостното наблюдение по изпълнението на местната стратегия за развитие и всеки индивидуален проект;</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Разработване и прилагане на процедури за откриване и докладване на нередности;</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Отчитане на всички индикатори за наблюдение, изисквани от Управляващите органи и заложени в Стратегията;</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Предоставяне на всяка изискана информация на УО, свързана с изпълнението на Стратегията и индивидуалните проекти;</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 xml:space="preserve">Изготвяне на годишни доклади до Управляващия орган на </w:t>
      </w:r>
      <w:r>
        <w:rPr>
          <w:sz w:val="24"/>
          <w:szCs w:val="24"/>
          <w:lang w:val="en-US" w:eastAsia="en-US"/>
        </w:rPr>
        <w:t>IIPCP</w:t>
      </w:r>
      <w:r>
        <w:rPr>
          <w:sz w:val="24"/>
          <w:szCs w:val="24"/>
          <w:lang w:eastAsia="en-US"/>
        </w:rPr>
        <w:t>,</w:t>
      </w:r>
      <w:r>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9329C9" w:rsidRDefault="00B5212B">
      <w:pPr>
        <w:pStyle w:val="15"/>
        <w:numPr>
          <w:ilvl w:val="0"/>
          <w:numId w:val="29"/>
        </w:numPr>
        <w:shd w:val="clear" w:color="auto" w:fill="auto"/>
        <w:tabs>
          <w:tab w:val="left" w:pos="250"/>
        </w:tabs>
        <w:spacing w:before="0" w:after="0" w:line="276" w:lineRule="auto"/>
        <w:ind w:firstLine="0"/>
        <w:rPr>
          <w:sz w:val="24"/>
          <w:szCs w:val="24"/>
        </w:rPr>
      </w:pPr>
      <w:r>
        <w:rPr>
          <w:rStyle w:val="11pt2"/>
          <w:rFonts w:ascii="Times New Roman" w:hAnsi="Times New Roman" w:cs="Times New Roman"/>
          <w:b/>
          <w:sz w:val="24"/>
          <w:szCs w:val="24"/>
        </w:rPr>
        <w:t>Външен мониторинг</w:t>
      </w:r>
      <w:r>
        <w:rPr>
          <w:sz w:val="24"/>
          <w:szCs w:val="24"/>
        </w:rPr>
        <w:t xml:space="preserve"> (на ниво Стратегия за ВОМР и индивидуалните проекти, осъществен от УО на ПРСР), насочен към:</w:t>
      </w:r>
    </w:p>
    <w:p w:rsidR="009329C9" w:rsidRDefault="00B5212B">
      <w:pPr>
        <w:pStyle w:val="15"/>
        <w:numPr>
          <w:ilvl w:val="0"/>
          <w:numId w:val="28"/>
        </w:numPr>
        <w:shd w:val="clear" w:color="auto" w:fill="auto"/>
        <w:tabs>
          <w:tab w:val="left" w:pos="160"/>
        </w:tabs>
        <w:spacing w:before="0" w:after="0" w:line="276" w:lineRule="auto"/>
        <w:ind w:firstLine="0"/>
        <w:rPr>
          <w:sz w:val="24"/>
          <w:szCs w:val="24"/>
        </w:rPr>
      </w:pPr>
      <w:r>
        <w:rPr>
          <w:sz w:val="24"/>
          <w:szCs w:val="24"/>
        </w:rPr>
        <w:t>Популяризиране на стратегията;</w:t>
      </w:r>
    </w:p>
    <w:p w:rsidR="009329C9" w:rsidRDefault="00B5212B">
      <w:pPr>
        <w:pStyle w:val="15"/>
        <w:numPr>
          <w:ilvl w:val="0"/>
          <w:numId w:val="28"/>
        </w:numPr>
        <w:shd w:val="clear" w:color="auto" w:fill="auto"/>
        <w:tabs>
          <w:tab w:val="left" w:pos="160"/>
        </w:tabs>
        <w:spacing w:before="0" w:after="0" w:line="276" w:lineRule="auto"/>
        <w:ind w:firstLine="0"/>
        <w:rPr>
          <w:sz w:val="24"/>
          <w:szCs w:val="24"/>
        </w:rPr>
      </w:pPr>
      <w:r>
        <w:rPr>
          <w:sz w:val="24"/>
          <w:szCs w:val="24"/>
        </w:rPr>
        <w:lastRenderedPageBreak/>
        <w:t>Финансов и физически напредък;</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Ефективност на екипа на МИГ и процесите, свързани с неговото функциониране;</w:t>
      </w:r>
    </w:p>
    <w:p w:rsidR="009329C9" w:rsidRDefault="00B5212B">
      <w:pPr>
        <w:pStyle w:val="15"/>
        <w:numPr>
          <w:ilvl w:val="0"/>
          <w:numId w:val="28"/>
        </w:numPr>
        <w:shd w:val="clear" w:color="auto" w:fill="auto"/>
        <w:tabs>
          <w:tab w:val="left" w:pos="160"/>
        </w:tabs>
        <w:spacing w:before="0" w:after="0" w:line="276" w:lineRule="auto"/>
        <w:ind w:firstLine="0"/>
        <w:rPr>
          <w:sz w:val="24"/>
          <w:szCs w:val="24"/>
        </w:rPr>
      </w:pPr>
      <w:r>
        <w:rPr>
          <w:sz w:val="24"/>
          <w:szCs w:val="24"/>
        </w:rPr>
        <w:t>Ефективност на партньорите в МИГ.</w:t>
      </w:r>
    </w:p>
    <w:p w:rsidR="009329C9" w:rsidRDefault="00B5212B">
      <w:pPr>
        <w:pStyle w:val="15"/>
        <w:shd w:val="clear" w:color="auto" w:fill="auto"/>
        <w:spacing w:before="0" w:after="0" w:line="276" w:lineRule="auto"/>
        <w:ind w:firstLine="0"/>
        <w:rPr>
          <w:sz w:val="24"/>
          <w:szCs w:val="24"/>
        </w:rPr>
      </w:pPr>
      <w:r>
        <w:rPr>
          <w:sz w:val="24"/>
          <w:szCs w:val="24"/>
        </w:rPr>
        <w:t xml:space="preserve">С оглед подобряване на ефикасността на прилагането на Стратегията. МИГ ще извършва </w:t>
      </w:r>
      <w:r>
        <w:rPr>
          <w:b/>
          <w:sz w:val="24"/>
          <w:szCs w:val="24"/>
        </w:rPr>
        <w:t>цялостно наблюдение по изпълнение на Стратегията и индивидуалните проекти</w:t>
      </w:r>
      <w:r>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Напредъкът на местната Стратегия за ВОМР по отношение на изпълнението на нейните конкретни цели;</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Съответствието с общите и специфични цели на всяка една ОП;</w:t>
      </w:r>
    </w:p>
    <w:p w:rsidR="009329C9" w:rsidRDefault="00B5212B">
      <w:pPr>
        <w:pStyle w:val="15"/>
        <w:numPr>
          <w:ilvl w:val="0"/>
          <w:numId w:val="28"/>
        </w:numPr>
        <w:shd w:val="clear" w:color="auto" w:fill="auto"/>
        <w:tabs>
          <w:tab w:val="left" w:pos="150"/>
        </w:tabs>
        <w:spacing w:before="0" w:after="0" w:line="276" w:lineRule="auto"/>
        <w:ind w:firstLine="0"/>
        <w:rPr>
          <w:sz w:val="24"/>
          <w:szCs w:val="24"/>
        </w:rPr>
      </w:pPr>
      <w:r>
        <w:rPr>
          <w:sz w:val="24"/>
          <w:szCs w:val="24"/>
        </w:rPr>
        <w:t>Допустимостта на направените разходи и тяхната пряка връзка за постигане целите на Стратегията:</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Наличието на достатъчно подробна финансова одитна пътека;</w:t>
      </w:r>
    </w:p>
    <w:p w:rsidR="009329C9" w:rsidRDefault="00B5212B">
      <w:pPr>
        <w:pStyle w:val="15"/>
        <w:numPr>
          <w:ilvl w:val="0"/>
          <w:numId w:val="28"/>
        </w:numPr>
        <w:shd w:val="clear" w:color="auto" w:fill="auto"/>
        <w:tabs>
          <w:tab w:val="left" w:pos="168"/>
        </w:tabs>
        <w:spacing w:before="0" w:after="0" w:line="276" w:lineRule="auto"/>
        <w:ind w:firstLine="0"/>
        <w:rPr>
          <w:sz w:val="24"/>
          <w:szCs w:val="24"/>
        </w:rPr>
      </w:pPr>
      <w:r>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9329C9" w:rsidRDefault="00B5212B">
      <w:pPr>
        <w:pStyle w:val="15"/>
        <w:numPr>
          <w:ilvl w:val="0"/>
          <w:numId w:val="28"/>
        </w:numPr>
        <w:shd w:val="clear" w:color="auto" w:fill="auto"/>
        <w:tabs>
          <w:tab w:val="left" w:pos="171"/>
        </w:tabs>
        <w:spacing w:before="0" w:after="0" w:line="276" w:lineRule="auto"/>
        <w:ind w:firstLine="0"/>
        <w:rPr>
          <w:sz w:val="24"/>
          <w:szCs w:val="24"/>
        </w:rPr>
      </w:pPr>
      <w:r>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9329C9" w:rsidRDefault="00B5212B">
      <w:pPr>
        <w:pStyle w:val="15"/>
        <w:numPr>
          <w:ilvl w:val="0"/>
          <w:numId w:val="28"/>
        </w:numPr>
        <w:shd w:val="clear" w:color="auto" w:fill="auto"/>
        <w:tabs>
          <w:tab w:val="left" w:pos="157"/>
        </w:tabs>
        <w:spacing w:before="0" w:after="0" w:line="276" w:lineRule="auto"/>
        <w:ind w:firstLine="0"/>
        <w:rPr>
          <w:sz w:val="24"/>
          <w:szCs w:val="24"/>
        </w:rPr>
      </w:pPr>
      <w:r>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Поставянето на видни места - информационни табели, указващи съфинансирането на Европейските фондове и държавния бюджет.</w:t>
      </w:r>
    </w:p>
    <w:p w:rsidR="009329C9" w:rsidRDefault="00B5212B">
      <w:pPr>
        <w:pStyle w:val="15"/>
        <w:numPr>
          <w:ilvl w:val="0"/>
          <w:numId w:val="28"/>
        </w:numPr>
        <w:shd w:val="clear" w:color="auto" w:fill="auto"/>
        <w:tabs>
          <w:tab w:val="left" w:pos="164"/>
        </w:tabs>
        <w:spacing w:before="0" w:after="0" w:line="276" w:lineRule="auto"/>
        <w:ind w:firstLine="0"/>
        <w:rPr>
          <w:sz w:val="24"/>
          <w:szCs w:val="24"/>
        </w:rPr>
      </w:pPr>
      <w:r>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9329C9" w:rsidRDefault="00B5212B">
      <w:pPr>
        <w:pStyle w:val="15"/>
        <w:shd w:val="clear" w:color="auto" w:fill="auto"/>
        <w:spacing w:before="0" w:after="0" w:line="276" w:lineRule="auto"/>
        <w:ind w:firstLine="0"/>
        <w:rPr>
          <w:sz w:val="24"/>
          <w:szCs w:val="24"/>
        </w:rPr>
      </w:pPr>
      <w:r>
        <w:rPr>
          <w:sz w:val="24"/>
          <w:szCs w:val="24"/>
        </w:rPr>
        <w:t>Наблюдението и оценката ще отчитат напредъка в прилагането на Стратегията, чрез основните индикатори, финансовите индикатори (брой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успешно приключилите проекти), както и индикаторите за резултати на СВОМР. Екипът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СВОМР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9329C9" w:rsidRDefault="00B5212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329C9" w:rsidRDefault="00B5212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Pr>
          <w:rFonts w:ascii="Times New Roman" w:hAnsi="Times New Roman" w:cs="Times New Roman"/>
          <w:color w:val="auto"/>
          <w:sz w:val="24"/>
          <w:szCs w:val="24"/>
        </w:rPr>
        <w:lastRenderedPageBreak/>
        <w:t>9. Индикатори за мониторинг и оценка:</w:t>
      </w:r>
      <w:bookmarkEnd w:id="55"/>
      <w:bookmarkEnd w:id="56"/>
    </w:p>
    <w:p w:rsidR="009329C9" w:rsidRDefault="009329C9">
      <w:pPr>
        <w:rPr>
          <w:rFonts w:ascii="Times New Roman" w:eastAsiaTheme="majorEastAsia" w:hAnsi="Times New Roman" w:cs="Times New Roman"/>
          <w:b/>
          <w:sz w:val="24"/>
          <w:szCs w:val="24"/>
        </w:rPr>
      </w:pPr>
      <w:bookmarkStart w:id="57" w:name="_Toc449349445"/>
      <w:bookmarkStart w:id="58" w:name="_Toc448392300"/>
    </w:p>
    <w:p w:rsidR="009329C9" w:rsidRDefault="00B5212B">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7"/>
      <w:bookmarkEnd w:id="58"/>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9329C9">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120"/>
              <w:ind w:right="-1"/>
              <w:jc w:val="both"/>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отношение на цялостното развитие на СВОМР</w:t>
            </w:r>
          </w:p>
        </w:tc>
      </w:tr>
      <w:tr w:rsidR="009329C9">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3373"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Източник на </w:t>
            </w:r>
          </w:p>
          <w:p w:rsidR="009329C9" w:rsidRDefault="00B5212B">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информация</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Финансиранипо СМР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rsidP="0001482D">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1482D">
              <w:rPr>
                <w:rFonts w:ascii="Times New Roman" w:eastAsia="Times New Roman" w:hAnsi="Times New Roman" w:cs="Times New Roman"/>
                <w:color w:val="000000"/>
                <w:sz w:val="24"/>
                <w:szCs w:val="24"/>
              </w:rPr>
              <w:t>4</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w:t>
            </w:r>
          </w:p>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консултирани </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подпомогнати </w:t>
            </w:r>
          </w:p>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работни места, разкрити или запазени съществуващи 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88 </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на участници преминали  обучение за квалификация</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rsidP="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
        </w:tc>
        <w:tc>
          <w:tcPr>
            <w:tcW w:w="1924" w:type="dxa"/>
            <w:tcBorders>
              <w:top w:val="nil"/>
              <w:left w:val="nil"/>
              <w:bottom w:val="single" w:sz="4" w:space="0" w:color="auto"/>
              <w:right w:val="single" w:sz="4" w:space="0" w:color="auto"/>
            </w:tcBorders>
            <w:vAlign w:val="center"/>
          </w:tcPr>
          <w:p w:rsidR="009329C9" w:rsidRDefault="00B5212B">
            <w:pPr>
              <w:spacing w:after="0"/>
              <w:ind w:right="-1"/>
              <w:rPr>
                <w:rFonts w:ascii="Times New Roman" w:hAnsi="Times New Roman" w:cs="Times New Roman"/>
                <w:sz w:val="24"/>
                <w:szCs w:val="24"/>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подадени заявления за кандидатстване по СВОМР</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924" w:type="dxa"/>
            <w:tcBorders>
              <w:top w:val="nil"/>
              <w:left w:val="nil"/>
              <w:bottom w:val="single" w:sz="4" w:space="0" w:color="auto"/>
              <w:right w:val="single" w:sz="4" w:space="0" w:color="auto"/>
            </w:tcBorders>
            <w:vAlign w:val="center"/>
          </w:tcPr>
          <w:p w:rsidR="009329C9" w:rsidRDefault="00B5212B">
            <w:pPr>
              <w:spacing w:after="0"/>
              <w:ind w:right="-1"/>
              <w:rPr>
                <w:rFonts w:ascii="Times New Roman" w:hAnsi="Times New Roman" w:cs="Times New Roman"/>
                <w:sz w:val="24"/>
                <w:szCs w:val="24"/>
              </w:rPr>
            </w:pPr>
            <w:r>
              <w:rPr>
                <w:rFonts w:ascii="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9329C9" w:rsidRDefault="009329C9">
            <w:pPr>
              <w:spacing w:after="0"/>
              <w:rPr>
                <w:rFonts w:ascii="Times New Roman" w:eastAsia="Times New Roman" w:hAnsi="Times New Roman" w:cs="Times New Roman"/>
                <w:sz w:val="24"/>
                <w:szCs w:val="24"/>
              </w:rPr>
            </w:pP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4" w:type="dxa"/>
            <w:tcBorders>
              <w:top w:val="nil"/>
              <w:left w:val="nil"/>
              <w:bottom w:val="single" w:sz="4" w:space="0" w:color="auto"/>
              <w:right w:val="single" w:sz="4" w:space="0" w:color="auto"/>
            </w:tcBorders>
          </w:tcPr>
          <w:p w:rsidR="009329C9" w:rsidRDefault="009329C9">
            <w:pPr>
              <w:spacing w:after="0"/>
              <w:rPr>
                <w:rFonts w:ascii="Times New Roman" w:hAnsi="Times New Roman" w:cs="Times New Roman"/>
                <w:sz w:val="24"/>
                <w:szCs w:val="24"/>
              </w:rPr>
            </w:pPr>
          </w:p>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9329C9">
            <w:pPr>
              <w:spacing w:after="0"/>
              <w:rPr>
                <w:rFonts w:ascii="Times New Roman" w:eastAsia="Times New Roman" w:hAnsi="Times New Roman" w:cs="Times New Roman"/>
                <w:sz w:val="24"/>
                <w:szCs w:val="24"/>
              </w:rPr>
            </w:pP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01482D" w:rsidP="000148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tcPr>
          <w:p w:rsidR="009329C9" w:rsidRDefault="009329C9">
            <w:pPr>
              <w:spacing w:after="0"/>
              <w:rPr>
                <w:rFonts w:ascii="Times New Roman" w:hAnsi="Times New Roman" w:cs="Times New Roman"/>
                <w:sz w:val="24"/>
                <w:szCs w:val="24"/>
              </w:rPr>
            </w:pPr>
          </w:p>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подобрени или ремонтирани зелени площи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Организирани и проведени фестивали и събития свързани </w:t>
            </w:r>
            <w:r>
              <w:rPr>
                <w:rFonts w:ascii="Times New Roman" w:eastAsia="Times New Roman" w:hAnsi="Times New Roman" w:cs="Times New Roman"/>
                <w:sz w:val="24"/>
                <w:szCs w:val="24"/>
              </w:rPr>
              <w:lastRenderedPageBreak/>
              <w:t>с местното културно наследство</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tcPr>
          <w:p w:rsidR="009329C9" w:rsidRDefault="00B5212B">
            <w:pPr>
              <w:spacing w:after="0"/>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4" w:type="dxa"/>
            <w:tcBorders>
              <w:top w:val="single" w:sz="4" w:space="0" w:color="auto"/>
              <w:left w:val="nil"/>
              <w:bottom w:val="single" w:sz="4" w:space="0" w:color="auto"/>
              <w:right w:val="single" w:sz="4" w:space="0" w:color="auto"/>
            </w:tcBorders>
          </w:tcPr>
          <w:p w:rsidR="009329C9" w:rsidRDefault="00B5212B">
            <w:pPr>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Проучвания свързани с културното наследство</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4" w:type="dxa"/>
            <w:tcBorders>
              <w:top w:val="single" w:sz="4" w:space="0" w:color="auto"/>
              <w:left w:val="nil"/>
              <w:bottom w:val="single" w:sz="4" w:space="0" w:color="auto"/>
              <w:right w:val="single" w:sz="4" w:space="0" w:color="auto"/>
            </w:tcBorders>
          </w:tcPr>
          <w:p w:rsidR="009329C9" w:rsidRDefault="00B5212B">
            <w:pPr>
              <w:rPr>
                <w:rFonts w:ascii="Times New Roman" w:hAnsi="Times New Roman" w:cs="Times New Roman"/>
              </w:rPr>
            </w:pPr>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хектара</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bCs/>
                <w:sz w:val="24"/>
                <w:szCs w:val="24"/>
              </w:rPr>
              <w:t>40 776,87</w:t>
            </w:r>
          </w:p>
        </w:tc>
        <w:tc>
          <w:tcPr>
            <w:tcW w:w="1924" w:type="dxa"/>
            <w:tcBorders>
              <w:top w:val="single" w:sz="4" w:space="0" w:color="auto"/>
              <w:left w:val="nil"/>
              <w:bottom w:val="single" w:sz="4" w:space="0" w:color="auto"/>
              <w:right w:val="single" w:sz="4" w:space="0" w:color="auto"/>
            </w:tcBorders>
          </w:tcPr>
          <w:p w:rsidR="009329C9" w:rsidRDefault="00B5212B">
            <w:r>
              <w:rPr>
                <w:rFonts w:ascii="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Видове, за чието опазване се изпълняват дейности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11</w:t>
            </w:r>
          </w:p>
        </w:tc>
        <w:tc>
          <w:tcPr>
            <w:tcW w:w="1924" w:type="dxa"/>
            <w:tcBorders>
              <w:top w:val="single" w:sz="4" w:space="0" w:color="auto"/>
              <w:left w:val="nil"/>
              <w:bottom w:val="single" w:sz="4" w:space="0" w:color="auto"/>
              <w:right w:val="single" w:sz="4" w:space="0" w:color="auto"/>
            </w:tcBorders>
          </w:tcPr>
          <w:p w:rsidR="009329C9" w:rsidRDefault="00B5212B">
            <w:r>
              <w:rPr>
                <w:rFonts w:ascii="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9329C9">
            <w:pPr>
              <w:spacing w:after="0"/>
              <w:ind w:right="-1"/>
              <w:rPr>
                <w:rFonts w:ascii="Times New Roman" w:eastAsia="Times New Roman" w:hAnsi="Times New Roman" w:cs="Times New Roman"/>
                <w:sz w:val="24"/>
                <w:szCs w:val="24"/>
              </w:rPr>
            </w:pP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9329C9">
            <w:pPr>
              <w:spacing w:after="0"/>
              <w:ind w:right="-1"/>
              <w:rPr>
                <w:rFonts w:ascii="Times New Roman" w:eastAsia="Times New Roman" w:hAnsi="Times New Roman" w:cs="Times New Roman"/>
                <w:sz w:val="24"/>
                <w:szCs w:val="24"/>
              </w:rPr>
            </w:pP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20"/>
        </w:trPr>
        <w:tc>
          <w:tcPr>
            <w:tcW w:w="1305" w:type="dxa"/>
            <w:tcBorders>
              <w:top w:val="nil"/>
              <w:left w:val="single" w:sz="4" w:space="0" w:color="auto"/>
              <w:bottom w:val="nil"/>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Частни инвестици, допълващи публичната подкрепа за предприятията /безвъзмездни средства/</w:t>
            </w:r>
          </w:p>
        </w:tc>
        <w:tc>
          <w:tcPr>
            <w:tcW w:w="1489" w:type="dxa"/>
            <w:tcBorders>
              <w:top w:val="single" w:sz="4" w:space="0" w:color="auto"/>
              <w:left w:val="nil"/>
              <w:bottom w:val="single" w:sz="4" w:space="0" w:color="auto"/>
              <w:right w:val="single" w:sz="4" w:space="0" w:color="auto"/>
            </w:tcBorders>
            <w:shd w:val="clear" w:color="auto" w:fill="auto"/>
            <w:noWrap/>
          </w:tcPr>
          <w:p w:rsidR="009329C9" w:rsidRDefault="009329C9">
            <w:pPr>
              <w:spacing w:after="0"/>
              <w:ind w:right="-1"/>
              <w:jc w:val="both"/>
              <w:rPr>
                <w:rFonts w:ascii="Times New Roman" w:eastAsia="Times New Roman" w:hAnsi="Times New Roman" w:cs="Times New Roman"/>
                <w:sz w:val="24"/>
                <w:szCs w:val="24"/>
              </w:rPr>
            </w:pPr>
          </w:p>
          <w:p w:rsidR="009329C9" w:rsidRDefault="00B5212B">
            <w:pPr>
              <w:spacing w:after="0"/>
              <w:ind w:right="-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EUR</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112 000</w:t>
            </w:r>
          </w:p>
        </w:tc>
        <w:tc>
          <w:tcPr>
            <w:tcW w:w="1924" w:type="dxa"/>
            <w:tcBorders>
              <w:top w:val="single" w:sz="4" w:space="0" w:color="auto"/>
              <w:left w:val="nil"/>
              <w:bottom w:val="single" w:sz="4" w:space="0" w:color="auto"/>
              <w:right w:val="single" w:sz="4" w:space="0" w:color="auto"/>
            </w:tcBorders>
            <w:shd w:val="clear" w:color="auto" w:fill="auto"/>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 ИСУН</w:t>
            </w:r>
          </w:p>
        </w:tc>
      </w:tr>
      <w:tr w:rsidR="009329C9">
        <w:trPr>
          <w:trHeight w:val="8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рехабилитация на улици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4" w:type="dxa"/>
            <w:tcBorders>
              <w:top w:val="single" w:sz="4" w:space="0" w:color="auto"/>
              <w:left w:val="nil"/>
              <w:bottom w:val="single" w:sz="4" w:space="0" w:color="auto"/>
              <w:right w:val="single" w:sz="4" w:space="0" w:color="auto"/>
            </w:tcBorders>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spacing w:after="120"/>
        <w:ind w:right="-1"/>
        <w:jc w:val="both"/>
        <w:rPr>
          <w:rFonts w:ascii="Times New Roman" w:hAnsi="Times New Roman" w:cs="Times New Roman"/>
          <w:b/>
          <w:sz w:val="24"/>
          <w:szCs w:val="24"/>
        </w:rPr>
      </w:pPr>
    </w:p>
    <w:p w:rsidR="009329C9" w:rsidRDefault="00B5212B">
      <w:pPr>
        <w:rPr>
          <w:rFonts w:ascii="Times New Roman" w:hAnsi="Times New Roman" w:cs="Times New Roman"/>
          <w:b/>
          <w:sz w:val="24"/>
          <w:szCs w:val="24"/>
        </w:rPr>
      </w:pPr>
      <w:r>
        <w:rPr>
          <w:rFonts w:ascii="Times New Roman" w:hAnsi="Times New Roman" w:cs="Times New Roman"/>
          <w:b/>
          <w:sz w:val="24"/>
          <w:szCs w:val="24"/>
        </w:rPr>
        <w:br w:type="page"/>
      </w:r>
    </w:p>
    <w:p w:rsidR="009329C9" w:rsidRDefault="00B5212B">
      <w:pPr>
        <w:rPr>
          <w:rFonts w:ascii="Times New Roman" w:eastAsiaTheme="majorEastAsia" w:hAnsi="Times New Roman" w:cs="Times New Roman"/>
          <w:b/>
          <w:sz w:val="24"/>
          <w:szCs w:val="24"/>
        </w:rPr>
      </w:pPr>
      <w:r>
        <w:rPr>
          <w:rFonts w:ascii="Times New Roman" w:hAnsi="Times New Roman" w:cs="Times New Roman"/>
          <w:b/>
          <w:sz w:val="24"/>
          <w:szCs w:val="24"/>
        </w:rPr>
        <w:lastRenderedPageBreak/>
        <w:t>9.2 Индикатори по мерки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9329C9">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jc w:val="center"/>
              <w:rPr>
                <w:rFonts w:ascii="Times New Roman" w:hAnsi="Times New Roman" w:cs="Times New Roman"/>
                <w:b/>
                <w:sz w:val="24"/>
                <w:szCs w:val="24"/>
              </w:rPr>
            </w:pPr>
            <w:r>
              <w:rPr>
                <w:rFonts w:ascii="Times New Roman" w:hAnsi="Times New Roman" w:cs="Times New Roman"/>
                <w:b/>
                <w:sz w:val="24"/>
                <w:szCs w:val="24"/>
              </w:rPr>
              <w:t>Индикатори по мярка 4.1</w:t>
            </w:r>
          </w:p>
        </w:tc>
      </w:tr>
      <w:tr w:rsidR="009329C9">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Вид </w:t>
            </w:r>
          </w:p>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Мерна </w:t>
            </w:r>
          </w:p>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Цел до края на </w:t>
            </w:r>
          </w:p>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Източник на информация</w:t>
            </w:r>
          </w:p>
        </w:tc>
      </w:tr>
      <w:tr w:rsidR="009329C9">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rPr>
          <w:trHeight w:val="20"/>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бенефициенти, подпомогнати по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rPr>
          <w:trHeight w:val="1266"/>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vAlign w:val="center"/>
          </w:tcPr>
          <w:p w:rsidR="009329C9" w:rsidRDefault="00B521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w:t>
            </w:r>
          </w:p>
        </w:tc>
      </w:tr>
    </w:tbl>
    <w:p w:rsidR="009329C9" w:rsidRDefault="009329C9">
      <w:pPr>
        <w:spacing w:after="120"/>
        <w:ind w:right="-1"/>
        <w:jc w:val="both"/>
        <w:rPr>
          <w:rFonts w:ascii="Times New Roman" w:hAnsi="Times New Roman" w:cs="Times New Roman"/>
        </w:rPr>
      </w:pPr>
    </w:p>
    <w:tbl>
      <w:tblPr>
        <w:tblStyle w:val="af3"/>
        <w:tblW w:w="9746" w:type="dxa"/>
        <w:tblInd w:w="108" w:type="dxa"/>
        <w:tblLook w:val="04A0" w:firstRow="1" w:lastRow="0" w:firstColumn="1" w:lastColumn="0" w:noHBand="0" w:noVBand="1"/>
      </w:tblPr>
      <w:tblGrid>
        <w:gridCol w:w="1418"/>
        <w:gridCol w:w="2551"/>
        <w:gridCol w:w="1701"/>
        <w:gridCol w:w="1951"/>
        <w:gridCol w:w="2125"/>
      </w:tblGrid>
      <w:tr w:rsidR="009329C9">
        <w:tc>
          <w:tcPr>
            <w:tcW w:w="9746" w:type="dxa"/>
            <w:gridSpan w:val="5"/>
            <w:shd w:val="clear" w:color="auto" w:fill="D9D9D9" w:themeFill="background1" w:themeFillShade="D9"/>
          </w:tcPr>
          <w:p w:rsidR="009329C9" w:rsidRDefault="00B5212B">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Индикатори по мярка 4.2</w:t>
            </w:r>
          </w:p>
        </w:tc>
      </w:tr>
      <w:tr w:rsidR="009329C9">
        <w:tc>
          <w:tcPr>
            <w:tcW w:w="1418" w:type="dxa"/>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Вид </w:t>
            </w:r>
          </w:p>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2551"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1701"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Мерна </w:t>
            </w:r>
          </w:p>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единица</w:t>
            </w:r>
          </w:p>
        </w:tc>
        <w:tc>
          <w:tcPr>
            <w:tcW w:w="1951"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Цел до края на стратегията</w:t>
            </w:r>
          </w:p>
        </w:tc>
        <w:tc>
          <w:tcPr>
            <w:tcW w:w="2125" w:type="dxa"/>
            <w:vAlign w:val="center"/>
          </w:tcPr>
          <w:p w:rsidR="009329C9" w:rsidRDefault="00B5212B">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Източник на информация</w:t>
            </w:r>
          </w:p>
        </w:tc>
      </w:tr>
      <w:tr w:rsidR="009329C9">
        <w:tc>
          <w:tcPr>
            <w:tcW w:w="1418" w:type="dxa"/>
            <w:vMerge w:val="restart"/>
            <w:vAlign w:val="center"/>
          </w:tcPr>
          <w:p w:rsidR="009329C9" w:rsidRDefault="00B5212B">
            <w:pPr>
              <w:spacing w:after="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Изходен</w:t>
            </w:r>
          </w:p>
        </w:tc>
        <w:tc>
          <w:tcPr>
            <w:tcW w:w="2551" w:type="dxa"/>
          </w:tcPr>
          <w:p w:rsidR="009329C9" w:rsidRDefault="00B5212B">
            <w:pPr>
              <w:spacing w:after="0"/>
              <w:rPr>
                <w:rFonts w:ascii="Times New Roman" w:hAnsi="Times New Roman" w:cs="Times New Roman"/>
                <w:b/>
                <w:color w:val="000000"/>
                <w:sz w:val="24"/>
                <w:szCs w:val="24"/>
              </w:rPr>
            </w:pPr>
            <w:r>
              <w:rPr>
                <w:rFonts w:ascii="Times New Roman" w:hAnsi="Times New Roman" w:cs="Times New Roman"/>
                <w:color w:val="000000"/>
                <w:sz w:val="24"/>
                <w:szCs w:val="24"/>
              </w:rPr>
              <w:t>Брой проекти, финансирани по мярката</w:t>
            </w:r>
          </w:p>
        </w:tc>
        <w:tc>
          <w:tcPr>
            <w:tcW w:w="1701" w:type="dxa"/>
            <w:vAlign w:val="center"/>
          </w:tcPr>
          <w:p w:rsidR="009329C9" w:rsidRDefault="00B5212B">
            <w:pPr>
              <w:spacing w:after="120" w:line="240" w:lineRule="auto"/>
              <w:ind w:right="-1"/>
              <w:rPr>
                <w:rFonts w:ascii="Times New Roman" w:hAnsi="Times New Roman" w:cs="Times New Roman"/>
                <w:b/>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rsidR="009329C9" w:rsidRDefault="00B5212B">
            <w:pPr>
              <w:spacing w:after="120" w:line="240" w:lineRule="auto"/>
              <w:ind w:right="-1"/>
              <w:rPr>
                <w:rFonts w:ascii="Times New Roman" w:hAnsi="Times New Roman" w:cs="Times New Roman"/>
                <w:b/>
                <w:color w:val="000000"/>
                <w:sz w:val="24"/>
                <w:szCs w:val="24"/>
              </w:rPr>
            </w:pPr>
            <w:r>
              <w:rPr>
                <w:rFonts w:ascii="Times New Roman" w:hAnsi="Times New Roman" w:cs="Times New Roman"/>
                <w:color w:val="000000"/>
                <w:sz w:val="24"/>
                <w:szCs w:val="24"/>
              </w:rPr>
              <w:t>База данни на  МИГ, ИСУН</w:t>
            </w:r>
          </w:p>
        </w:tc>
      </w:tr>
      <w:tr w:rsidR="009329C9">
        <w:tc>
          <w:tcPr>
            <w:tcW w:w="1418" w:type="dxa"/>
            <w:vMerge/>
          </w:tcPr>
          <w:p w:rsidR="009329C9" w:rsidRDefault="009329C9">
            <w:pPr>
              <w:spacing w:after="0" w:line="240" w:lineRule="auto"/>
              <w:ind w:right="-1"/>
              <w:rPr>
                <w:rFonts w:ascii="Times New Roman" w:hAnsi="Times New Roman" w:cs="Times New Roman"/>
                <w:color w:val="000000"/>
                <w:sz w:val="24"/>
                <w:szCs w:val="24"/>
              </w:rPr>
            </w:pPr>
          </w:p>
        </w:tc>
        <w:tc>
          <w:tcPr>
            <w:tcW w:w="2551" w:type="dxa"/>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бенефициенти, подпомогнати по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мярката</w:t>
            </w:r>
          </w:p>
        </w:tc>
        <w:tc>
          <w:tcPr>
            <w:tcW w:w="170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c>
          <w:tcPr>
            <w:tcW w:w="1418" w:type="dxa"/>
            <w:vMerge w:val="restart"/>
            <w:vAlign w:val="center"/>
          </w:tcPr>
          <w:p w:rsidR="009329C9" w:rsidRDefault="00B5212B">
            <w:pPr>
              <w:spacing w:after="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Резултат</w:t>
            </w:r>
          </w:p>
        </w:tc>
        <w:tc>
          <w:tcPr>
            <w:tcW w:w="2551" w:type="dxa"/>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проекти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свързани с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иновации</w:t>
            </w:r>
          </w:p>
        </w:tc>
        <w:tc>
          <w:tcPr>
            <w:tcW w:w="170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rsidR="009329C9">
        <w:tc>
          <w:tcPr>
            <w:tcW w:w="1418" w:type="dxa"/>
            <w:vMerge/>
          </w:tcPr>
          <w:p w:rsidR="009329C9" w:rsidRDefault="009329C9">
            <w:pPr>
              <w:spacing w:after="0" w:line="240" w:lineRule="auto"/>
              <w:ind w:right="-1"/>
              <w:rPr>
                <w:rFonts w:ascii="Times New Roman" w:hAnsi="Times New Roman" w:cs="Times New Roman"/>
                <w:color w:val="000000"/>
                <w:sz w:val="24"/>
                <w:szCs w:val="24"/>
              </w:rPr>
            </w:pPr>
          </w:p>
        </w:tc>
        <w:tc>
          <w:tcPr>
            <w:tcW w:w="2551" w:type="dxa"/>
          </w:tcPr>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 брой на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създадените нови работни места или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запазени </w:t>
            </w:r>
          </w:p>
          <w:p w:rsidR="009329C9" w:rsidRDefault="00B5212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съществуващи</w:t>
            </w:r>
          </w:p>
        </w:tc>
        <w:tc>
          <w:tcPr>
            <w:tcW w:w="170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25" w:type="dxa"/>
            <w:vAlign w:val="center"/>
          </w:tcPr>
          <w:p w:rsidR="009329C9" w:rsidRDefault="00B5212B">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w:t>
            </w:r>
          </w:p>
        </w:tc>
      </w:tr>
    </w:tbl>
    <w:p w:rsidR="009329C9" w:rsidRDefault="009329C9">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9329C9">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6.4</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финансирани по </w:t>
            </w:r>
          </w:p>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413"/>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подпомогнати по </w:t>
            </w:r>
          </w:p>
          <w:p w:rsidR="009329C9" w:rsidRDefault="00B5212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МИГ,ИСУН</w:t>
            </w:r>
          </w:p>
        </w:tc>
      </w:tr>
      <w:tr w:rsidR="009329C9">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1279"/>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на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създадените нови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работни места или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bl>
    <w:p w:rsidR="009329C9" w:rsidRDefault="009329C9">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9329C9">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7.2</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01482D" w:rsidP="0001482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709"/>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55"/>
        </w:trPr>
        <w:tc>
          <w:tcPr>
            <w:tcW w:w="1418" w:type="dxa"/>
            <w:vMerge w:val="restart"/>
            <w:tcBorders>
              <w:top w:val="single" w:sz="4" w:space="0" w:color="auto"/>
              <w:left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проекти свързани 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32"/>
        </w:trPr>
        <w:tc>
          <w:tcPr>
            <w:tcW w:w="1418" w:type="dxa"/>
            <w:vMerge/>
            <w:tcBorders>
              <w:left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01482D" w:rsidP="0001482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bookmarkStart w:id="59" w:name="_GoBack"/>
            <w:bookmarkEnd w:id="59"/>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556"/>
        </w:trPr>
        <w:tc>
          <w:tcPr>
            <w:tcW w:w="1418" w:type="dxa"/>
            <w:vMerge/>
            <w:tcBorders>
              <w:left w:val="single" w:sz="4" w:space="0" w:color="auto"/>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556"/>
        </w:trPr>
        <w:tc>
          <w:tcPr>
            <w:tcW w:w="1418" w:type="dxa"/>
            <w:vMerge/>
            <w:tcBorders>
              <w:left w:val="single" w:sz="4" w:space="0" w:color="auto"/>
              <w:bottom w:val="single" w:sz="4" w:space="0" w:color="000000"/>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color w:val="000000"/>
              </w:rPr>
            </w:pPr>
          </w:p>
        </w:tc>
        <w:tc>
          <w:tcPr>
            <w:tcW w:w="2977" w:type="dxa"/>
            <w:tcBorders>
              <w:top w:val="single" w:sz="4" w:space="0" w:color="auto"/>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рехабилитация на улици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9329C9">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7.5</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982"/>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подпомогнати по </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 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9329C9">
            <w:pPr>
              <w:spacing w:after="0"/>
              <w:ind w:right="-1"/>
              <w:jc w:val="both"/>
              <w:rPr>
                <w:rFonts w:ascii="Times New Roman" w:eastAsia="Times New Roman" w:hAnsi="Times New Roman" w:cs="Times New Roman"/>
                <w:color w:val="000000"/>
                <w:sz w:val="24"/>
                <w:szCs w:val="24"/>
              </w:rPr>
            </w:pPr>
          </w:p>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952"/>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bl>
    <w:p w:rsidR="009329C9" w:rsidRDefault="009329C9">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9329C9">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Индикатори по мярка 7.11</w:t>
            </w:r>
          </w:p>
        </w:tc>
      </w:tr>
      <w:tr w:rsidR="009329C9">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Вид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Мерна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Цел до края на </w:t>
            </w:r>
          </w:p>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Източник на информация</w:t>
            </w:r>
          </w:p>
        </w:tc>
      </w:tr>
      <w:tr w:rsidR="009329C9">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проекти,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709"/>
        </w:trPr>
        <w:tc>
          <w:tcPr>
            <w:tcW w:w="1418" w:type="dxa"/>
            <w:vMerge/>
            <w:tcBorders>
              <w:top w:val="nil"/>
              <w:left w:val="single" w:sz="4" w:space="0" w:color="auto"/>
              <w:bottom w:val="single" w:sz="4" w:space="0" w:color="auto"/>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Брой бенефициенти, </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ИСУН</w:t>
            </w:r>
          </w:p>
        </w:tc>
      </w:tr>
      <w:tr w:rsidR="009329C9">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База данни на  МИГ</w:t>
            </w:r>
          </w:p>
        </w:tc>
      </w:tr>
      <w:tr w:rsidR="009329C9">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ind w:right="-1"/>
        <w:jc w:val="both"/>
        <w:rPr>
          <w:rFonts w:ascii="Times New Roman" w:hAnsi="Times New Roman" w:cs="Times New Roman"/>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9.3Индикатори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5535"/>
        <w:gridCol w:w="1565"/>
        <w:gridCol w:w="1743"/>
      </w:tblGrid>
      <w:tr w:rsidR="009329C9">
        <w:tc>
          <w:tcPr>
            <w:tcW w:w="9746" w:type="dxa"/>
            <w:gridSpan w:val="4"/>
            <w:shd w:val="clear" w:color="auto" w:fill="BFBFBF" w:themeFill="background1" w:themeFillShade="BF"/>
            <w:vAlign w:val="center"/>
          </w:tcPr>
          <w:p w:rsidR="009329C9" w:rsidRDefault="00B5212B">
            <w:pPr>
              <w:autoSpaceDE w:val="0"/>
              <w:autoSpaceDN w:val="0"/>
              <w:adjustRightInd w:val="0"/>
              <w:spacing w:after="0"/>
              <w:ind w:right="567"/>
              <w:jc w:val="center"/>
              <w:rPr>
                <w:rFonts w:ascii="Times New Roman" w:hAnsi="Times New Roman" w:cs="Times New Roman"/>
                <w:b/>
                <w:sz w:val="24"/>
                <w:szCs w:val="24"/>
              </w:rPr>
            </w:pPr>
            <w:r>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9329C9">
        <w:tc>
          <w:tcPr>
            <w:tcW w:w="903" w:type="dxa"/>
            <w:vAlign w:val="center"/>
          </w:tcPr>
          <w:p w:rsidR="009329C9" w:rsidRDefault="00B5212B">
            <w:pPr>
              <w:autoSpaceDE w:val="0"/>
              <w:autoSpaceDN w:val="0"/>
              <w:adjustRightInd w:val="0"/>
              <w:spacing w:after="0"/>
              <w:ind w:right="34"/>
              <w:jc w:val="both"/>
              <w:rPr>
                <w:rFonts w:ascii="Times New Roman" w:hAnsi="Times New Roman" w:cs="Times New Roman"/>
                <w:b/>
                <w:sz w:val="24"/>
                <w:szCs w:val="24"/>
                <w:lang w:val="en-US"/>
              </w:rPr>
            </w:pPr>
            <w:r>
              <w:rPr>
                <w:rFonts w:ascii="Times New Roman" w:hAnsi="Times New Roman" w:cs="Times New Roman"/>
                <w:b/>
                <w:sz w:val="24"/>
                <w:szCs w:val="24"/>
                <w:lang w:val="en-US"/>
              </w:rPr>
              <w:t>ID</w:t>
            </w:r>
          </w:p>
        </w:tc>
        <w:tc>
          <w:tcPr>
            <w:tcW w:w="0" w:type="auto"/>
            <w:vAlign w:val="center"/>
          </w:tcPr>
          <w:p w:rsidR="009329C9" w:rsidRDefault="00B5212B">
            <w:pPr>
              <w:autoSpaceDE w:val="0"/>
              <w:autoSpaceDN w:val="0"/>
              <w:adjustRightInd w:val="0"/>
              <w:spacing w:after="0"/>
              <w:ind w:right="567"/>
              <w:jc w:val="both"/>
              <w:rPr>
                <w:rFonts w:ascii="Times New Roman" w:hAnsi="Times New Roman" w:cs="Times New Roman"/>
                <w:b/>
                <w:sz w:val="24"/>
                <w:szCs w:val="24"/>
              </w:rPr>
            </w:pPr>
            <w:r>
              <w:rPr>
                <w:rFonts w:ascii="Times New Roman" w:hAnsi="Times New Roman" w:cs="Times New Roman"/>
                <w:b/>
                <w:sz w:val="24"/>
                <w:szCs w:val="24"/>
              </w:rPr>
              <w:t>Индикатор</w:t>
            </w:r>
          </w:p>
        </w:tc>
        <w:tc>
          <w:tcPr>
            <w:tcW w:w="0" w:type="auto"/>
            <w:vAlign w:val="center"/>
          </w:tcPr>
          <w:p w:rsidR="009329C9" w:rsidRDefault="00B5212B">
            <w:pPr>
              <w:autoSpaceDE w:val="0"/>
              <w:autoSpaceDN w:val="0"/>
              <w:adjustRightInd w:val="0"/>
              <w:spacing w:after="0"/>
              <w:ind w:right="114"/>
              <w:jc w:val="both"/>
              <w:rPr>
                <w:rFonts w:ascii="Times New Roman" w:hAnsi="Times New Roman" w:cs="Times New Roman"/>
                <w:b/>
                <w:sz w:val="24"/>
                <w:szCs w:val="24"/>
              </w:rPr>
            </w:pPr>
            <w:r>
              <w:rPr>
                <w:rFonts w:ascii="Times New Roman" w:hAnsi="Times New Roman" w:cs="Times New Roman"/>
                <w:b/>
                <w:sz w:val="24"/>
                <w:szCs w:val="24"/>
              </w:rPr>
              <w:t xml:space="preserve">Мерна </w:t>
            </w:r>
          </w:p>
          <w:p w:rsidR="009329C9" w:rsidRDefault="00B5212B">
            <w:pPr>
              <w:autoSpaceDE w:val="0"/>
              <w:autoSpaceDN w:val="0"/>
              <w:adjustRightInd w:val="0"/>
              <w:spacing w:after="0"/>
              <w:ind w:right="114"/>
              <w:jc w:val="both"/>
              <w:rPr>
                <w:rFonts w:ascii="Times New Roman" w:hAnsi="Times New Roman" w:cs="Times New Roman"/>
                <w:b/>
                <w:sz w:val="24"/>
                <w:szCs w:val="24"/>
              </w:rPr>
            </w:pPr>
            <w:r>
              <w:rPr>
                <w:rFonts w:ascii="Times New Roman" w:hAnsi="Times New Roman" w:cs="Times New Roman"/>
                <w:b/>
                <w:sz w:val="24"/>
                <w:szCs w:val="24"/>
              </w:rPr>
              <w:t>единица</w:t>
            </w:r>
          </w:p>
        </w:tc>
        <w:tc>
          <w:tcPr>
            <w:tcW w:w="0" w:type="auto"/>
            <w:vAlign w:val="center"/>
          </w:tcPr>
          <w:p w:rsidR="009329C9" w:rsidRDefault="009329C9">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9329C9">
        <w:tc>
          <w:tcPr>
            <w:tcW w:w="903" w:type="dxa"/>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хектара</w:t>
            </w:r>
          </w:p>
        </w:tc>
        <w:tc>
          <w:tcPr>
            <w:tcW w:w="0" w:type="auto"/>
            <w:shd w:val="clear" w:color="auto" w:fill="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bCs/>
                <w:sz w:val="24"/>
                <w:szCs w:val="24"/>
              </w:rPr>
              <w:t>40 776,87</w:t>
            </w:r>
          </w:p>
        </w:tc>
      </w:tr>
      <w:tr w:rsidR="009329C9">
        <w:tc>
          <w:tcPr>
            <w:tcW w:w="903" w:type="dxa"/>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9329C9" w:rsidRDefault="00B5212B">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Видове, за чието опазване се изпълняват дейности</w:t>
            </w:r>
          </w:p>
        </w:tc>
        <w:tc>
          <w:tcPr>
            <w:tcW w:w="0" w:type="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брой</w:t>
            </w:r>
          </w:p>
        </w:tc>
        <w:tc>
          <w:tcPr>
            <w:tcW w:w="0" w:type="auto"/>
            <w:shd w:val="clear" w:color="auto" w:fill="auto"/>
            <w:vAlign w:val="center"/>
          </w:tcPr>
          <w:p w:rsidR="009329C9" w:rsidRDefault="00B5212B">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11</w:t>
            </w:r>
          </w:p>
        </w:tc>
      </w:tr>
    </w:tbl>
    <w:p w:rsidR="009329C9" w:rsidRDefault="009329C9">
      <w:pPr>
        <w:pStyle w:val="2"/>
        <w:rPr>
          <w:rFonts w:ascii="Times New Roman" w:hAnsi="Times New Roman" w:cs="Times New Roman"/>
          <w:b/>
          <w:color w:val="auto"/>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329C9">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9329C9">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6"/>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704 098,80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696"/>
        </w:trPr>
        <w:tc>
          <w:tcPr>
            <w:tcW w:w="1333" w:type="dxa"/>
            <w:tcBorders>
              <w:top w:val="nil"/>
              <w:left w:val="single" w:sz="4" w:space="0" w:color="auto"/>
              <w:bottom w:val="single" w:sz="4" w:space="0" w:color="000000"/>
              <w:right w:val="single" w:sz="4" w:space="0" w:color="auto"/>
            </w:tcBorders>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 изпълнение</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резултат</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329C9" w:rsidRDefault="009329C9">
      <w:pPr>
        <w:rPr>
          <w:rFonts w:ascii="Times New Roman" w:hAnsi="Times New Roman" w:cs="Times New Roman"/>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9.5 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9329C9">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jc w:val="center"/>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 xml:space="preserve">МЯРКА 1.1 </w:t>
            </w:r>
            <w:r>
              <w:rPr>
                <w:rFonts w:ascii="Times New Roman" w:eastAsia="Times New Roman" w:hAnsi="Times New Roman" w:cs="Times New Roman"/>
                <w:b/>
                <w:sz w:val="24"/>
                <w:szCs w:val="24"/>
              </w:rPr>
              <w:t>Достъп до заетост</w:t>
            </w:r>
          </w:p>
        </w:tc>
      </w:tr>
      <w:tr w:rsidR="009329C9">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34" w:type="dxa"/>
            <w:vMerge/>
            <w:tcBorders>
              <w:top w:val="nil"/>
              <w:left w:val="single" w:sz="4" w:space="0" w:color="auto"/>
              <w:bottom w:val="single" w:sz="4" w:space="0" w:color="000000"/>
              <w:right w:val="single" w:sz="4" w:space="0" w:color="auto"/>
            </w:tcBorders>
            <w:vAlign w:val="center"/>
          </w:tcPr>
          <w:p w:rsidR="009329C9" w:rsidRDefault="009329C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6"/>
        </w:trPr>
        <w:tc>
          <w:tcPr>
            <w:tcW w:w="1334" w:type="dxa"/>
            <w:vMerge/>
            <w:tcBorders>
              <w:top w:val="nil"/>
              <w:left w:val="single" w:sz="4" w:space="0" w:color="auto"/>
              <w:bottom w:val="single" w:sz="4" w:space="0" w:color="000000"/>
              <w:right w:val="single" w:sz="4" w:space="0" w:color="auto"/>
            </w:tcBorders>
            <w:vAlign w:val="center"/>
          </w:tcPr>
          <w:p w:rsidR="009329C9" w:rsidRDefault="009329C9">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645 414,00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794"/>
        </w:trPr>
        <w:tc>
          <w:tcPr>
            <w:tcW w:w="1334" w:type="dxa"/>
            <w:tcBorders>
              <w:top w:val="nil"/>
              <w:left w:val="single" w:sz="4" w:space="0" w:color="auto"/>
              <w:bottom w:val="nil"/>
              <w:right w:val="single" w:sz="4" w:space="0" w:color="auto"/>
            </w:tcBorders>
            <w:vAlign w:val="center"/>
          </w:tcPr>
          <w:p w:rsidR="009329C9" w:rsidRDefault="00B5212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СЦ1 - Безработни участници на възраст от 30 до 54г. вкл.; СЦ2 – Безработни участници на възраст от 30 до 54г. вкл. С ниско образование; СЦ3 – </w:t>
            </w:r>
            <w:r>
              <w:rPr>
                <w:rFonts w:ascii="Times New Roman" w:eastAsia="Times New Roman" w:hAnsi="Times New Roman" w:cs="Times New Roman"/>
                <w:sz w:val="24"/>
                <w:szCs w:val="24"/>
              </w:rPr>
              <w:lastRenderedPageBreak/>
              <w:t>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9329C9" w:rsidRDefault="00B5212B">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rPr>
                <w:rFonts w:ascii="Times New Roman" w:hAnsi="Times New Roman" w:cs="Times New Roman"/>
              </w:rPr>
            </w:pPr>
            <w:r>
              <w:rPr>
                <w:rFonts w:ascii="Times New Roman" w:hAnsi="Times New Roman" w:cs="Times New Roman"/>
              </w:rPr>
              <w:t>ИСУН</w:t>
            </w:r>
          </w:p>
        </w:tc>
      </w:tr>
    </w:tbl>
    <w:p w:rsidR="009329C9" w:rsidRDefault="009329C9">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329C9">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329C9">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292"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6"/>
        </w:trPr>
        <w:tc>
          <w:tcPr>
            <w:tcW w:w="1292"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резултат</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915"/>
        </w:trPr>
        <w:tc>
          <w:tcPr>
            <w:tcW w:w="1292" w:type="dxa"/>
            <w:vMerge/>
            <w:tcBorders>
              <w:top w:val="nil"/>
              <w:left w:val="single" w:sz="4" w:space="0" w:color="auto"/>
              <w:bottom w:val="nil"/>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80"/>
        </w:trPr>
        <w:tc>
          <w:tcPr>
            <w:tcW w:w="1292" w:type="dxa"/>
            <w:tcBorders>
              <w:top w:val="nil"/>
              <w:left w:val="single" w:sz="4" w:space="0" w:color="auto"/>
              <w:bottom w:val="single" w:sz="4" w:space="0" w:color="000000"/>
              <w:right w:val="single" w:sz="4" w:space="0" w:color="auto"/>
            </w:tcBorders>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bl>
    <w:p w:rsidR="009329C9" w:rsidRDefault="009329C9">
      <w:pPr>
        <w:rPr>
          <w:rFonts w:ascii="Times New Roman" w:hAnsi="Times New Roman" w:cs="Times New Roman"/>
        </w:rPr>
      </w:pP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329C9">
        <w:trPr>
          <w:trHeight w:val="43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като ромите</w:t>
            </w:r>
          </w:p>
        </w:tc>
      </w:tr>
      <w:tr w:rsidR="009329C9">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560"/>
        </w:trPr>
        <w:tc>
          <w:tcPr>
            <w:tcW w:w="1333"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645 414,00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r w:rsidR="009329C9">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tcPr>
          <w:p w:rsidR="009329C9" w:rsidRDefault="00B5212B">
            <w:pPr>
              <w:spacing w:after="12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570"/>
        </w:trPr>
        <w:tc>
          <w:tcPr>
            <w:tcW w:w="1333" w:type="dxa"/>
            <w:tcBorders>
              <w:top w:val="single" w:sz="4" w:space="0" w:color="auto"/>
              <w:left w:val="single" w:sz="4" w:space="0" w:color="auto"/>
              <w:bottom w:val="single" w:sz="4" w:space="0" w:color="000000"/>
              <w:right w:val="single" w:sz="4" w:space="0" w:color="auto"/>
            </w:tcBorders>
            <w:vAlign w:val="center"/>
          </w:tcPr>
          <w:p w:rsidR="009329C9" w:rsidRDefault="00B5212B">
            <w:pPr>
              <w:spacing w:after="120"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bl>
    <w:p w:rsidR="009329C9" w:rsidRDefault="009329C9">
      <w:pPr>
        <w:rPr>
          <w:rFonts w:ascii="Times New Roman" w:hAnsi="Times New Roman" w:cs="Times New Roman"/>
          <w:b/>
          <w:sz w:val="24"/>
          <w:szCs w:val="24"/>
        </w:rPr>
      </w:pPr>
    </w:p>
    <w:p w:rsidR="009329C9" w:rsidRDefault="00B5212B">
      <w:pPr>
        <w:pStyle w:val="2"/>
        <w:rPr>
          <w:rFonts w:ascii="Times New Roman" w:hAnsi="Times New Roman" w:cs="Times New Roman"/>
          <w:b/>
          <w:color w:val="auto"/>
          <w:sz w:val="24"/>
          <w:szCs w:val="24"/>
        </w:rPr>
      </w:pPr>
      <w:r>
        <w:rPr>
          <w:rFonts w:ascii="Times New Roman" w:hAnsi="Times New Roman" w:cs="Times New Roman"/>
          <w:b/>
          <w:color w:val="auto"/>
          <w:sz w:val="24"/>
          <w:szCs w:val="24"/>
        </w:rPr>
        <w:t>9.6</w:t>
      </w:r>
      <w:r>
        <w:rPr>
          <w:rFonts w:ascii="Times New Roman" w:hAnsi="Times New Roman" w:cs="Times New Roman"/>
          <w:b/>
          <w:color w:val="auto"/>
          <w:sz w:val="24"/>
          <w:szCs w:val="24"/>
          <w:lang w:val="en-US"/>
        </w:rPr>
        <w:t xml:space="preserve"> </w:t>
      </w:r>
      <w:r>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9329C9">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29C9" w:rsidRDefault="00B5212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9329C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 до края на </w:t>
            </w:r>
          </w:p>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9C9" w:rsidRDefault="00B521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Източник на информация</w:t>
            </w:r>
          </w:p>
        </w:tc>
      </w:tr>
      <w:tr w:rsidR="009329C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Брой проекти, </w:t>
            </w:r>
          </w:p>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99"/>
        </w:trPr>
        <w:tc>
          <w:tcPr>
            <w:tcW w:w="1306" w:type="dxa"/>
            <w:vMerge/>
            <w:tcBorders>
              <w:top w:val="nil"/>
              <w:left w:val="single" w:sz="4" w:space="0" w:color="auto"/>
              <w:bottom w:val="single" w:sz="4" w:space="0" w:color="000000"/>
              <w:right w:val="single" w:sz="4" w:space="0" w:color="auto"/>
            </w:tcBorders>
            <w:vAlign w:val="center"/>
          </w:tcPr>
          <w:p w:rsidR="009329C9" w:rsidRDefault="009329C9">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 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tcPr>
          <w:p w:rsidR="009329C9" w:rsidRDefault="00B5212B">
            <w:pPr>
              <w:spacing w:after="120"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предприятия получаващи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9329C9" w:rsidRDefault="009329C9">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9329C9" w:rsidRDefault="00B5212B">
            <w:pPr>
              <w:spacing w:after="0"/>
              <w:ind w:right="-1"/>
              <w:rPr>
                <w:rFonts w:ascii="Times New Roman" w:eastAsia="Times New Roman" w:hAnsi="Times New Roman" w:cs="Times New Roman"/>
                <w:sz w:val="24"/>
                <w:szCs w:val="24"/>
              </w:rPr>
            </w:pPr>
            <w:r>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9329C9" w:rsidRDefault="00B5212B">
            <w:pPr>
              <w:spacing w:after="0"/>
              <w:ind w:right="-1"/>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r w:rsidR="009329C9">
        <w:trPr>
          <w:trHeight w:val="838"/>
        </w:trPr>
        <w:tc>
          <w:tcPr>
            <w:tcW w:w="1306" w:type="dxa"/>
            <w:vMerge/>
            <w:tcBorders>
              <w:top w:val="nil"/>
              <w:left w:val="single" w:sz="4" w:space="0" w:color="auto"/>
              <w:bottom w:val="single" w:sz="4" w:space="0" w:color="000000"/>
              <w:right w:val="single" w:sz="4" w:space="0" w:color="auto"/>
            </w:tcBorders>
            <w:vAlign w:val="center"/>
          </w:tcPr>
          <w:p w:rsidR="009329C9" w:rsidRDefault="009329C9">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tcPr>
          <w:p w:rsidR="009329C9" w:rsidRDefault="00B5212B">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tcPr>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9329C9" w:rsidRDefault="00B5212B">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ИСУН</w:t>
            </w:r>
          </w:p>
        </w:tc>
      </w:tr>
    </w:tbl>
    <w:p w:rsidR="009329C9" w:rsidRDefault="009329C9">
      <w:pPr>
        <w:rPr>
          <w:rFonts w:ascii="Times New Roman" w:eastAsiaTheme="majorEastAsia" w:hAnsi="Times New Roman" w:cs="Times New Roman"/>
          <w:b/>
          <w:bCs/>
          <w:sz w:val="24"/>
          <w:szCs w:val="24"/>
        </w:rPr>
      </w:pPr>
    </w:p>
    <w:p w:rsidR="009329C9" w:rsidRDefault="00B5212B">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9329C9" w:rsidRDefault="00B5212B">
      <w:pPr>
        <w:spacing w:after="0"/>
        <w:rPr>
          <w:rFonts w:ascii="Times New Roman" w:hAnsi="Times New Roman" w:cs="Times New Roman"/>
          <w:b/>
          <w:sz w:val="24"/>
          <w:szCs w:val="24"/>
        </w:rPr>
      </w:pPr>
      <w:r>
        <w:rPr>
          <w:rFonts w:ascii="Times New Roman" w:hAnsi="Times New Roman" w:cs="Times New Roman"/>
          <w:b/>
          <w:sz w:val="24"/>
          <w:szCs w:val="24"/>
        </w:rPr>
        <w:t>- прилагане на принципа на равенство между половете;</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В съответствие с Чл.7 на Регламент 1303/2013 УС ще гарантира, че равнопоставеността между жените и мъжете и избягването на дискриминацията са взети  предвид във всички етапи на програмиране, прилагане, наблюдение и оценка на СВОМР. Всички мерки от СВОМР ще бъдат отворени за всички бенефициенти на равна основа, без оглед на раса, етнос, религиозни вярвания, увреждания, възраст или полова ориентация. Във всички дейности, свързани със СВОМР, УС на МИГ ще се съобрази и с националното законодателство: Конституцията на Република България, Кодекса на труда, Закона за защита от дискриминация. УС на МИГ  се състои от5 жени и 2ма мъже. В организираните събития на МИГ са ангажирани по равно мъже и жени. Равенство между половете ще се съблюдава строго 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9329C9" w:rsidRDefault="00B5212B">
      <w:pPr>
        <w:tabs>
          <w:tab w:val="left" w:pos="284"/>
        </w:tabs>
        <w:spacing w:after="0"/>
        <w:ind w:right="-1"/>
        <w:jc w:val="both"/>
        <w:rPr>
          <w:rFonts w:ascii="Times New Roman" w:hAnsi="Times New Roman" w:cs="Times New Roman"/>
          <w:b/>
          <w:i/>
          <w:sz w:val="24"/>
          <w:szCs w:val="24"/>
        </w:rPr>
      </w:pPr>
      <w:r>
        <w:rPr>
          <w:rFonts w:ascii="Times New Roman" w:hAnsi="Times New Roman" w:cs="Times New Roman"/>
          <w:b/>
          <w:i/>
          <w:sz w:val="24"/>
          <w:szCs w:val="24"/>
        </w:rPr>
        <w:t>- допринасяне за утвърждаване на принципа на равните възможности;</w:t>
      </w:r>
    </w:p>
    <w:p w:rsidR="009329C9" w:rsidRDefault="00B5212B">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проблеми : 1. участие на целевите групи във връзка с равните възможности в процеса на подготовката на проектите за степента, до която техните потребности и изисквания са взети предвид; 2. насърчаване на физическа и комуникационна достъпност за хората в неравностойно положение (хора с увреждания, етнически малцинства с фокус роми, дълготрайно безработни, младежи и хора, живеещи в изолация или трудно достъпни места  и т .н); 3. сътрудничество с организациите, представляващи интереситена различни целеви групи;</w:t>
      </w:r>
    </w:p>
    <w:p w:rsidR="009329C9" w:rsidRDefault="00B5212B">
      <w:pPr>
        <w:tabs>
          <w:tab w:val="left" w:pos="284"/>
        </w:tabs>
        <w:spacing w:after="0"/>
        <w:ind w:right="-1"/>
        <w:jc w:val="both"/>
        <w:rPr>
          <w:rFonts w:ascii="Times New Roman" w:hAnsi="Times New Roman" w:cs="Times New Roman"/>
          <w:b/>
          <w:i/>
          <w:sz w:val="24"/>
          <w:szCs w:val="24"/>
        </w:rPr>
      </w:pPr>
      <w:r>
        <w:rPr>
          <w:rFonts w:ascii="Times New Roman" w:hAnsi="Times New Roman" w:cs="Times New Roman"/>
          <w:b/>
          <w:i/>
          <w:sz w:val="24"/>
          <w:szCs w:val="24"/>
        </w:rPr>
        <w:t>- създаване на условия за превенция на дискриминация</w:t>
      </w:r>
    </w:p>
    <w:p w:rsidR="009329C9" w:rsidRDefault="00B5212B">
      <w:pPr>
        <w:pStyle w:val="af4"/>
        <w:tabs>
          <w:tab w:val="left" w:pos="284"/>
        </w:tabs>
        <w:spacing w:after="0"/>
        <w:ind w:left="0" w:right="-1"/>
        <w:contextualSpacing w:val="0"/>
        <w:jc w:val="both"/>
        <w:rPr>
          <w:rFonts w:ascii="Times New Roman" w:hAnsi="Times New Roman" w:cs="Times New Roman"/>
          <w:sz w:val="24"/>
          <w:szCs w:val="24"/>
        </w:rPr>
      </w:pPr>
      <w:r>
        <w:rPr>
          <w:rFonts w:ascii="Times New Roman" w:hAnsi="Times New Roman" w:cs="Times New Roman"/>
          <w:sz w:val="24"/>
          <w:szCs w:val="24"/>
        </w:rPr>
        <w:t>При избора на проекти по мерките навсички програми ще бъде дадена възможност за финансиране на проекти, развиващи услуги за уязвимите групи. Където е приложимо, индикаторите за наблюдение на СВОМР ще отразяват броя на мъжете и жените. Тези данни ще се докладват от УС на МИГ пред Общото събрание. Отговорност на УС на МИГ, чрез екипа, е да осигури на бенефициентите насоки по всички практически въпроси, свързани с проблемите на равенството и отсъствието на дискриминация.</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10.2 Устойчиво развитие (защита на околната среда)</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Дейностите по</w:t>
      </w:r>
      <w:r>
        <w:rPr>
          <w:rFonts w:ascii="Times New Roman" w:hAnsi="Times New Roman" w:cs="Times New Roman"/>
          <w:b/>
          <w:sz w:val="24"/>
          <w:szCs w:val="24"/>
        </w:rPr>
        <w:t xml:space="preserve"> Приоритет 1</w:t>
      </w:r>
      <w:r>
        <w:rPr>
          <w:rFonts w:ascii="Times New Roman" w:hAnsi="Times New Roman" w:cs="Times New Roman"/>
          <w:sz w:val="24"/>
          <w:szCs w:val="24"/>
        </w:rPr>
        <w:t xml:space="preserve">няма да окажат негативно въздействие върху околната среда. Недопустими са разходи за инвестиция, за която е установено, че ще оказва отрицателно въздействие върху околната среда.По </w:t>
      </w:r>
      <w:r>
        <w:rPr>
          <w:rFonts w:ascii="Times New Roman" w:hAnsi="Times New Roman" w:cs="Times New Roman"/>
          <w:b/>
          <w:sz w:val="24"/>
          <w:szCs w:val="24"/>
        </w:rPr>
        <w:t>Приоритет 3</w:t>
      </w:r>
      <w:r>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ОПОС. </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Други непреки положителни влияния на Стратегията ще дойдат от създаването на интерес у местното население за опазване на околната среда, чрез реализацията на проекти, отнасящи се до природното наследство на територията. </w:t>
      </w:r>
      <w:r>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9329C9" w:rsidRDefault="009329C9">
      <w:pPr>
        <w:pStyle w:val="2"/>
        <w:spacing w:before="0"/>
        <w:ind w:right="-1"/>
        <w:jc w:val="both"/>
        <w:rPr>
          <w:rFonts w:ascii="Times New Roman" w:hAnsi="Times New Roman" w:cs="Times New Roman"/>
          <w:b/>
          <w:color w:val="auto"/>
          <w:sz w:val="24"/>
          <w:szCs w:val="24"/>
        </w:rPr>
      </w:pP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10.3 Насърчаване на заетостта и конкурентоспособността</w:t>
      </w:r>
    </w:p>
    <w:p w:rsidR="009329C9" w:rsidRDefault="00B5212B">
      <w:pPr>
        <w:spacing w:after="120"/>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Реализацията на СВОМРще има положителни въздействия върху нивата на заетост на територията. По мерките на ПРСР този резултат ще бъде постигнат както поради създаването на нови възможности за работа, чрез стартирането на бизнес извън селското стопанство, така и поради запазването на съществуващи или разкриване на нови работни места в земеделието. При техническата оценка на проектните предложения ще се дава предимство на такива, създаващи нови работни места.Насърчаването на заетостта, особено за уязвимите групи, ще бъде постигнато пряко и чрез прилагане мерките на ОП РЧР. </w:t>
      </w:r>
      <w:r>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Pr>
          <w:rFonts w:ascii="Times New Roman" w:hAnsi="Times New Roman" w:cs="Times New Roman"/>
          <w:sz w:val="24"/>
          <w:szCs w:val="24"/>
        </w:rPr>
        <w:t xml:space="preserve">МИГ си поставя за цел подобряването на стандарта на живот на цялото население, като повиши възможностите му на пазара на труда, включително и чрез повишаване на квалификацията му чрез мерките на ОПНОИР. СВОМР ще  насърчава  и конкурентоспособността на земеделието и  на МСП чрез подкрепа за стартиращи технологични фирми - за разработка на иновативни продукти в предприятията и подкрепа за  обновяване на технологиите, както и инвестиции  за въвеждане на модерни практики за стопанисване на </w:t>
      </w:r>
      <w:r>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9329C9" w:rsidRDefault="00B5212B">
      <w:pPr>
        <w:pStyle w:val="2"/>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10.4 Съответствие с програмите на структурните фондове.</w:t>
      </w:r>
    </w:p>
    <w:p w:rsidR="009329C9" w:rsidRDefault="00B5212B">
      <w:pPr>
        <w:spacing w:after="0"/>
        <w:ind w:right="-1"/>
        <w:jc w:val="both"/>
        <w:rPr>
          <w:rFonts w:ascii="Times New Roman" w:hAnsi="Times New Roman" w:cs="Times New Roman"/>
          <w:sz w:val="24"/>
          <w:szCs w:val="24"/>
        </w:rPr>
      </w:pPr>
      <w:r>
        <w:rPr>
          <w:rFonts w:ascii="Times New Roman" w:hAnsi="Times New Roman" w:cs="Times New Roman"/>
          <w:sz w:val="24"/>
          <w:szCs w:val="24"/>
        </w:rPr>
        <w:t>Мерките и дейностите разписани в тази Стратегия са осъществими и възможни в периода 2014– 2020 г. Периодът на Стратегията съвпада с плановия период на Европейския съюз. Мерките и дейностите заложени с СВОМР изцяло съответстват и се допълват с Оценката на потребностите заложена в ПРСР 2014-2020:</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Повишаване на осведомеността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Повишване на конкурентоспособността на стопанствата; Ускоряване на модернизацията и технологичното им обновление; Повишаване на жизнеспособността на малките земеделски стопанства;</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Подобряване на достъпа до външни финансови средства</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Развитие на предприемачеството в селските райони; Подобряване на местния капацитет за устойчиво развитие;</w:t>
      </w:r>
    </w:p>
    <w:p w:rsidR="009329C9" w:rsidRDefault="00B5212B">
      <w:pPr>
        <w:pStyle w:val="af4"/>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9329C9" w:rsidRDefault="00B5212B">
      <w:pPr>
        <w:spacing w:after="120"/>
        <w:ind w:right="-1"/>
        <w:jc w:val="both"/>
        <w:rPr>
          <w:rFonts w:ascii="Times New Roman" w:hAnsi="Times New Roman" w:cs="Times New Roman"/>
          <w:sz w:val="24"/>
          <w:szCs w:val="24"/>
        </w:rPr>
      </w:pPr>
      <w:r>
        <w:rPr>
          <w:rFonts w:ascii="Times New Roman" w:hAnsi="Times New Roman" w:cs="Times New Roman"/>
          <w:sz w:val="24"/>
          <w:szCs w:val="24"/>
        </w:rPr>
        <w:t xml:space="preserve">Обхватът на помощта, предоставяна чрез мерките на СВОМР, няма да се припокрива с обхвата на помощта по схемите за подкрепа по другите Оперативни програми. МИГ ще извършва  кръстосани проверки с цел предотвратяване на двойно финансиране. </w:t>
      </w:r>
      <w:r>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9329C9">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592" w:rsidRDefault="00C92592">
      <w:pPr>
        <w:spacing w:line="240" w:lineRule="auto"/>
      </w:pPr>
      <w:r>
        <w:separator/>
      </w:r>
    </w:p>
  </w:endnote>
  <w:endnote w:type="continuationSeparator" w:id="0">
    <w:p w:rsidR="00C92592" w:rsidRDefault="00C92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AutoText"/>
      </w:docPartObj>
    </w:sdtPr>
    <w:sdtContent>
      <w:p w:rsidR="00C01C38" w:rsidRDefault="00C01C38">
        <w:pPr>
          <w:pStyle w:val="ac"/>
          <w:jc w:val="center"/>
        </w:pPr>
        <w:r>
          <w:fldChar w:fldCharType="begin"/>
        </w:r>
        <w:r>
          <w:instrText xml:space="preserve"> PAGE   \* MERGEFORMAT </w:instrText>
        </w:r>
        <w:r>
          <w:fldChar w:fldCharType="separate"/>
        </w:r>
        <w:r w:rsidR="0001482D">
          <w:rPr>
            <w:noProof/>
          </w:rPr>
          <w:t>94</w:t>
        </w:r>
        <w:r>
          <w:fldChar w:fldCharType="end"/>
        </w:r>
      </w:p>
    </w:sdtContent>
  </w:sdt>
  <w:p w:rsidR="00C01C38" w:rsidRDefault="00C01C3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592" w:rsidRDefault="00C92592">
      <w:pPr>
        <w:spacing w:after="0"/>
      </w:pPr>
      <w:r>
        <w:separator/>
      </w:r>
    </w:p>
  </w:footnote>
  <w:footnote w:type="continuationSeparator" w:id="0">
    <w:p w:rsidR="00C92592" w:rsidRDefault="00C9259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C38" w:rsidRDefault="00C01C38">
    <w:pPr>
      <w:pStyle w:val="ae"/>
      <w:tabs>
        <w:tab w:val="clear" w:pos="4536"/>
        <w:tab w:val="clear" w:pos="9072"/>
        <w:tab w:val="left" w:pos="1427"/>
      </w:tabs>
      <w:jc w:val="center"/>
    </w:pPr>
  </w:p>
  <w:p w:rsidR="00C01C38" w:rsidRDefault="00C01C38">
    <w:pPr>
      <w:pStyle w:val="ae"/>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C38" w:rsidRDefault="00C01C38">
    <w:pPr>
      <w:pStyle w:val="ae"/>
    </w:pPr>
    <w:r>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F"/>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7"/>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9"/>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multilevel"/>
    <w:tmpl w:val="009D2D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multilevel"/>
    <w:tmpl w:val="04C946A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1402443F"/>
    <w:multiLevelType w:val="multilevel"/>
    <w:tmpl w:val="1402443F"/>
    <w:lvl w:ilvl="0">
      <w:start w:val="1"/>
      <w:numFmt w:val="bullet"/>
      <w:lvlText w:val="-"/>
      <w:lvlJc w:val="left"/>
      <w:pPr>
        <w:ind w:left="728" w:hanging="360"/>
      </w:pPr>
      <w:rPr>
        <w:rFonts w:ascii="Times New Roman" w:eastAsia="Calibri" w:hAnsi="Times New Roman" w:cs="Times New Roman" w:hint="default"/>
      </w:rPr>
    </w:lvl>
    <w:lvl w:ilvl="1">
      <w:start w:val="1"/>
      <w:numFmt w:val="bullet"/>
      <w:lvlText w:val="o"/>
      <w:lvlJc w:val="left"/>
      <w:pPr>
        <w:ind w:left="1448" w:hanging="360"/>
      </w:pPr>
      <w:rPr>
        <w:rFonts w:ascii="Courier New" w:hAnsi="Courier New" w:cs="Courier New" w:hint="default"/>
      </w:rPr>
    </w:lvl>
    <w:lvl w:ilvl="2">
      <w:start w:val="1"/>
      <w:numFmt w:val="bullet"/>
      <w:lvlText w:val=""/>
      <w:lvlJc w:val="left"/>
      <w:pPr>
        <w:ind w:left="2168" w:hanging="360"/>
      </w:pPr>
      <w:rPr>
        <w:rFonts w:ascii="Wingdings" w:hAnsi="Wingdings" w:hint="default"/>
      </w:rPr>
    </w:lvl>
    <w:lvl w:ilvl="3">
      <w:start w:val="1"/>
      <w:numFmt w:val="bullet"/>
      <w:lvlText w:val=""/>
      <w:lvlJc w:val="left"/>
      <w:pPr>
        <w:ind w:left="2888" w:hanging="360"/>
      </w:pPr>
      <w:rPr>
        <w:rFonts w:ascii="Symbol" w:hAnsi="Symbol" w:hint="default"/>
      </w:rPr>
    </w:lvl>
    <w:lvl w:ilvl="4">
      <w:start w:val="1"/>
      <w:numFmt w:val="bullet"/>
      <w:lvlText w:val="o"/>
      <w:lvlJc w:val="left"/>
      <w:pPr>
        <w:ind w:left="3608" w:hanging="360"/>
      </w:pPr>
      <w:rPr>
        <w:rFonts w:ascii="Courier New" w:hAnsi="Courier New" w:cs="Courier New" w:hint="default"/>
      </w:rPr>
    </w:lvl>
    <w:lvl w:ilvl="5">
      <w:start w:val="1"/>
      <w:numFmt w:val="bullet"/>
      <w:lvlText w:val=""/>
      <w:lvlJc w:val="left"/>
      <w:pPr>
        <w:ind w:left="4328" w:hanging="360"/>
      </w:pPr>
      <w:rPr>
        <w:rFonts w:ascii="Wingdings" w:hAnsi="Wingdings" w:hint="default"/>
      </w:rPr>
    </w:lvl>
    <w:lvl w:ilvl="6">
      <w:start w:val="1"/>
      <w:numFmt w:val="bullet"/>
      <w:lvlText w:val=""/>
      <w:lvlJc w:val="left"/>
      <w:pPr>
        <w:ind w:left="5048" w:hanging="360"/>
      </w:pPr>
      <w:rPr>
        <w:rFonts w:ascii="Symbol" w:hAnsi="Symbol" w:hint="default"/>
      </w:rPr>
    </w:lvl>
    <w:lvl w:ilvl="7">
      <w:start w:val="1"/>
      <w:numFmt w:val="bullet"/>
      <w:lvlText w:val="o"/>
      <w:lvlJc w:val="left"/>
      <w:pPr>
        <w:ind w:left="5768" w:hanging="360"/>
      </w:pPr>
      <w:rPr>
        <w:rFonts w:ascii="Courier New" w:hAnsi="Courier New" w:cs="Courier New" w:hint="default"/>
      </w:rPr>
    </w:lvl>
    <w:lvl w:ilvl="8">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multilevel"/>
    <w:tmpl w:val="1AA738B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multilevel"/>
    <w:tmpl w:val="1E2E7EEA"/>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64E51"/>
    <w:multiLevelType w:val="multilevel"/>
    <w:tmpl w:val="26B64E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80010D"/>
    <w:multiLevelType w:val="multilevel"/>
    <w:tmpl w:val="27800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A2F61AE"/>
    <w:multiLevelType w:val="multilevel"/>
    <w:tmpl w:val="3A2F61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061481"/>
    <w:multiLevelType w:val="multilevel"/>
    <w:tmpl w:val="3B06148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EB20219"/>
    <w:multiLevelType w:val="multilevel"/>
    <w:tmpl w:val="3EB20219"/>
    <w:lvl w:ilvl="0">
      <w:start w:val="2"/>
      <w:numFmt w:val="decimal"/>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5A4673"/>
    <w:multiLevelType w:val="multilevel"/>
    <w:tmpl w:val="425A4673"/>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551D2E"/>
    <w:multiLevelType w:val="multilevel"/>
    <w:tmpl w:val="45551D2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D02AE0"/>
    <w:multiLevelType w:val="multilevel"/>
    <w:tmpl w:val="4BD02AE0"/>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0D5312"/>
    <w:multiLevelType w:val="multilevel"/>
    <w:tmpl w:val="4C0D5312"/>
    <w:lvl w:ilvl="0">
      <w:start w:val="4"/>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4D6A1755"/>
    <w:multiLevelType w:val="multilevel"/>
    <w:tmpl w:val="4D6A17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175B75"/>
    <w:multiLevelType w:val="multilevel"/>
    <w:tmpl w:val="4F175B75"/>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BD5080"/>
    <w:multiLevelType w:val="multilevel"/>
    <w:tmpl w:val="4FBD508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C93518"/>
    <w:multiLevelType w:val="multilevel"/>
    <w:tmpl w:val="52C93518"/>
    <w:lvl w:ilvl="0">
      <w:start w:val="1"/>
      <w:numFmt w:val="bullet"/>
      <w:lvlText w:val=""/>
      <w:lvlJc w:val="left"/>
      <w:pPr>
        <w:ind w:left="4614"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A52FF9"/>
    <w:multiLevelType w:val="multilevel"/>
    <w:tmpl w:val="57A52FF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702498"/>
    <w:multiLevelType w:val="multilevel"/>
    <w:tmpl w:val="5B702498"/>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3" w15:restartNumberingAfterBreak="0">
    <w:nsid w:val="665110D9"/>
    <w:multiLevelType w:val="multilevel"/>
    <w:tmpl w:val="665110D9"/>
    <w:lvl w:ilvl="0">
      <w:start w:val="1"/>
      <w:numFmt w:val="decimal"/>
      <w:lvlText w:val="%1."/>
      <w:lvlJc w:val="left"/>
      <w:pPr>
        <w:ind w:left="549" w:hanging="360"/>
      </w:pPr>
      <w:rPr>
        <w:rFonts w:hint="default"/>
      </w:rPr>
    </w:lvl>
    <w:lvl w:ilvl="1">
      <w:start w:val="1"/>
      <w:numFmt w:val="lowerLetter"/>
      <w:lvlText w:val="%2."/>
      <w:lvlJc w:val="left"/>
      <w:pPr>
        <w:ind w:left="1269" w:hanging="360"/>
      </w:pPr>
    </w:lvl>
    <w:lvl w:ilvl="2">
      <w:start w:val="1"/>
      <w:numFmt w:val="lowerRoman"/>
      <w:lvlText w:val="%3."/>
      <w:lvlJc w:val="right"/>
      <w:pPr>
        <w:ind w:left="1989" w:hanging="180"/>
      </w:pPr>
    </w:lvl>
    <w:lvl w:ilvl="3">
      <w:start w:val="1"/>
      <w:numFmt w:val="decimal"/>
      <w:lvlText w:val="%4."/>
      <w:lvlJc w:val="left"/>
      <w:pPr>
        <w:ind w:left="2709" w:hanging="360"/>
      </w:pPr>
    </w:lvl>
    <w:lvl w:ilvl="4">
      <w:start w:val="1"/>
      <w:numFmt w:val="lowerLetter"/>
      <w:lvlText w:val="%5."/>
      <w:lvlJc w:val="left"/>
      <w:pPr>
        <w:ind w:left="3429" w:hanging="360"/>
      </w:pPr>
    </w:lvl>
    <w:lvl w:ilvl="5">
      <w:start w:val="1"/>
      <w:numFmt w:val="lowerRoman"/>
      <w:lvlText w:val="%6."/>
      <w:lvlJc w:val="right"/>
      <w:pPr>
        <w:ind w:left="4149" w:hanging="180"/>
      </w:pPr>
    </w:lvl>
    <w:lvl w:ilvl="6">
      <w:start w:val="1"/>
      <w:numFmt w:val="decimal"/>
      <w:lvlText w:val="%7."/>
      <w:lvlJc w:val="left"/>
      <w:pPr>
        <w:ind w:left="4869" w:hanging="360"/>
      </w:pPr>
    </w:lvl>
    <w:lvl w:ilvl="7">
      <w:start w:val="1"/>
      <w:numFmt w:val="lowerLetter"/>
      <w:lvlText w:val="%8."/>
      <w:lvlJc w:val="left"/>
      <w:pPr>
        <w:ind w:left="5589" w:hanging="360"/>
      </w:pPr>
    </w:lvl>
    <w:lvl w:ilvl="8">
      <w:start w:val="1"/>
      <w:numFmt w:val="lowerRoman"/>
      <w:lvlText w:val="%9."/>
      <w:lvlJc w:val="right"/>
      <w:pPr>
        <w:ind w:left="6309" w:hanging="180"/>
      </w:pPr>
    </w:lvl>
  </w:abstractNum>
  <w:abstractNum w:abstractNumId="24" w15:restartNumberingAfterBreak="0">
    <w:nsid w:val="66970A4E"/>
    <w:multiLevelType w:val="multilevel"/>
    <w:tmpl w:val="66970A4E"/>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BE6BEB"/>
    <w:multiLevelType w:val="multilevel"/>
    <w:tmpl w:val="6DBE6B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AD2EE2"/>
    <w:multiLevelType w:val="multilevel"/>
    <w:tmpl w:val="6EAD2E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426149F"/>
    <w:multiLevelType w:val="multilevel"/>
    <w:tmpl w:val="7426149F"/>
    <w:lvl w:ilvl="0">
      <w:start w:val="6"/>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E875BF9"/>
    <w:multiLevelType w:val="multilevel"/>
    <w:tmpl w:val="7E875BF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64FE1"/>
    <w:multiLevelType w:val="multilevel"/>
    <w:tmpl w:val="7FF64F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9"/>
  </w:num>
  <w:num w:numId="4">
    <w:abstractNumId w:val="15"/>
  </w:num>
  <w:num w:numId="5">
    <w:abstractNumId w:val="24"/>
  </w:num>
  <w:num w:numId="6">
    <w:abstractNumId w:val="17"/>
  </w:num>
  <w:num w:numId="7">
    <w:abstractNumId w:val="25"/>
  </w:num>
  <w:num w:numId="8">
    <w:abstractNumId w:val="22"/>
  </w:num>
  <w:num w:numId="9">
    <w:abstractNumId w:val="21"/>
  </w:num>
  <w:num w:numId="10">
    <w:abstractNumId w:val="12"/>
  </w:num>
  <w:num w:numId="11">
    <w:abstractNumId w:val="6"/>
  </w:num>
  <w:num w:numId="12">
    <w:abstractNumId w:val="29"/>
  </w:num>
  <w:num w:numId="13">
    <w:abstractNumId w:val="4"/>
  </w:num>
  <w:num w:numId="14">
    <w:abstractNumId w:val="11"/>
  </w:num>
  <w:num w:numId="15">
    <w:abstractNumId w:val="27"/>
  </w:num>
  <w:num w:numId="16">
    <w:abstractNumId w:val="10"/>
  </w:num>
  <w:num w:numId="17">
    <w:abstractNumId w:val="5"/>
  </w:num>
  <w:num w:numId="18">
    <w:abstractNumId w:val="9"/>
  </w:num>
  <w:num w:numId="19">
    <w:abstractNumId w:val="13"/>
  </w:num>
  <w:num w:numId="20">
    <w:abstractNumId w:val="28"/>
  </w:num>
  <w:num w:numId="21">
    <w:abstractNumId w:val="20"/>
  </w:num>
  <w:num w:numId="22">
    <w:abstractNumId w:val="0"/>
  </w:num>
  <w:num w:numId="23">
    <w:abstractNumId w:val="16"/>
  </w:num>
  <w:num w:numId="24">
    <w:abstractNumId w:val="7"/>
  </w:num>
  <w:num w:numId="25">
    <w:abstractNumId w:val="23"/>
  </w:num>
  <w:num w:numId="26">
    <w:abstractNumId w:val="18"/>
  </w:num>
  <w:num w:numId="27">
    <w:abstractNumId w:val="8"/>
  </w:num>
  <w:num w:numId="28">
    <w:abstractNumId w:val="1"/>
  </w:num>
  <w:num w:numId="29">
    <w:abstractNumId w:val="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C4"/>
    <w:rsid w:val="000013F4"/>
    <w:rsid w:val="000028A4"/>
    <w:rsid w:val="0000735C"/>
    <w:rsid w:val="000106A3"/>
    <w:rsid w:val="000110BE"/>
    <w:rsid w:val="00012658"/>
    <w:rsid w:val="00012BF7"/>
    <w:rsid w:val="0001373F"/>
    <w:rsid w:val="0001482D"/>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01E"/>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0C47"/>
    <w:rsid w:val="00092DDD"/>
    <w:rsid w:val="0009459B"/>
    <w:rsid w:val="00094E05"/>
    <w:rsid w:val="00095149"/>
    <w:rsid w:val="0009740B"/>
    <w:rsid w:val="000977F6"/>
    <w:rsid w:val="000A3B3E"/>
    <w:rsid w:val="000A3DE0"/>
    <w:rsid w:val="000A466C"/>
    <w:rsid w:val="000A54C1"/>
    <w:rsid w:val="000A7B13"/>
    <w:rsid w:val="000B06EA"/>
    <w:rsid w:val="000B0768"/>
    <w:rsid w:val="000B0858"/>
    <w:rsid w:val="000B0EB1"/>
    <w:rsid w:val="000B42C4"/>
    <w:rsid w:val="000B4837"/>
    <w:rsid w:val="000B5A16"/>
    <w:rsid w:val="000B5CB5"/>
    <w:rsid w:val="000B6B16"/>
    <w:rsid w:val="000B7C54"/>
    <w:rsid w:val="000C03B2"/>
    <w:rsid w:val="000C0519"/>
    <w:rsid w:val="000C0745"/>
    <w:rsid w:val="000C0D6E"/>
    <w:rsid w:val="000C1A90"/>
    <w:rsid w:val="000C29FF"/>
    <w:rsid w:val="000C340B"/>
    <w:rsid w:val="000D06A3"/>
    <w:rsid w:val="000D1981"/>
    <w:rsid w:val="000D24C3"/>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517C"/>
    <w:rsid w:val="001073DD"/>
    <w:rsid w:val="00107EEB"/>
    <w:rsid w:val="0011016F"/>
    <w:rsid w:val="00112A24"/>
    <w:rsid w:val="00112E68"/>
    <w:rsid w:val="0011330C"/>
    <w:rsid w:val="001142F3"/>
    <w:rsid w:val="001145F8"/>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1419"/>
    <w:rsid w:val="00182E01"/>
    <w:rsid w:val="0018482D"/>
    <w:rsid w:val="00184F9E"/>
    <w:rsid w:val="001860F4"/>
    <w:rsid w:val="001864BC"/>
    <w:rsid w:val="001866B9"/>
    <w:rsid w:val="001903C3"/>
    <w:rsid w:val="00190E87"/>
    <w:rsid w:val="00190F92"/>
    <w:rsid w:val="00193767"/>
    <w:rsid w:val="00193D80"/>
    <w:rsid w:val="00194B34"/>
    <w:rsid w:val="00195763"/>
    <w:rsid w:val="001A24E3"/>
    <w:rsid w:val="001A3960"/>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4969"/>
    <w:rsid w:val="002B6467"/>
    <w:rsid w:val="002C0868"/>
    <w:rsid w:val="002C098F"/>
    <w:rsid w:val="002C2124"/>
    <w:rsid w:val="002C257F"/>
    <w:rsid w:val="002C2CCB"/>
    <w:rsid w:val="002C3785"/>
    <w:rsid w:val="002C60FA"/>
    <w:rsid w:val="002C772B"/>
    <w:rsid w:val="002C7803"/>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0CB"/>
    <w:rsid w:val="00313A2A"/>
    <w:rsid w:val="00316B2D"/>
    <w:rsid w:val="00321DA2"/>
    <w:rsid w:val="00323671"/>
    <w:rsid w:val="003258B1"/>
    <w:rsid w:val="003269C0"/>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17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56A6"/>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0D26"/>
    <w:rsid w:val="00483B74"/>
    <w:rsid w:val="0048424D"/>
    <w:rsid w:val="00484EF5"/>
    <w:rsid w:val="0048514F"/>
    <w:rsid w:val="004902DD"/>
    <w:rsid w:val="004933D5"/>
    <w:rsid w:val="004943D9"/>
    <w:rsid w:val="00494CF6"/>
    <w:rsid w:val="00497334"/>
    <w:rsid w:val="004A0B0D"/>
    <w:rsid w:val="004A11CA"/>
    <w:rsid w:val="004A1B09"/>
    <w:rsid w:val="004A2991"/>
    <w:rsid w:val="004A2E78"/>
    <w:rsid w:val="004A39B3"/>
    <w:rsid w:val="004A3AE0"/>
    <w:rsid w:val="004A47D5"/>
    <w:rsid w:val="004A5412"/>
    <w:rsid w:val="004A548B"/>
    <w:rsid w:val="004A555E"/>
    <w:rsid w:val="004A5F60"/>
    <w:rsid w:val="004A7E72"/>
    <w:rsid w:val="004B1C1B"/>
    <w:rsid w:val="004B4877"/>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0A4"/>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7A4"/>
    <w:rsid w:val="00570CD6"/>
    <w:rsid w:val="00573C12"/>
    <w:rsid w:val="00577455"/>
    <w:rsid w:val="00577EC1"/>
    <w:rsid w:val="005814F2"/>
    <w:rsid w:val="0058281D"/>
    <w:rsid w:val="0058364B"/>
    <w:rsid w:val="0058482B"/>
    <w:rsid w:val="00587CD8"/>
    <w:rsid w:val="00590CF6"/>
    <w:rsid w:val="00591536"/>
    <w:rsid w:val="005A2568"/>
    <w:rsid w:val="005A2738"/>
    <w:rsid w:val="005A494B"/>
    <w:rsid w:val="005A4F2D"/>
    <w:rsid w:val="005B0317"/>
    <w:rsid w:val="005B10DC"/>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09AF"/>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1E4"/>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3E53"/>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0972"/>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4AC6"/>
    <w:rsid w:val="007451CB"/>
    <w:rsid w:val="00746238"/>
    <w:rsid w:val="00746BA9"/>
    <w:rsid w:val="0075064D"/>
    <w:rsid w:val="00750D45"/>
    <w:rsid w:val="00751214"/>
    <w:rsid w:val="007514F4"/>
    <w:rsid w:val="00755BA5"/>
    <w:rsid w:val="00756F82"/>
    <w:rsid w:val="0075761E"/>
    <w:rsid w:val="00760746"/>
    <w:rsid w:val="00761364"/>
    <w:rsid w:val="00761445"/>
    <w:rsid w:val="007654A5"/>
    <w:rsid w:val="0076625A"/>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97E37"/>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1E6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00"/>
    <w:rsid w:val="008B41BC"/>
    <w:rsid w:val="008B5DCD"/>
    <w:rsid w:val="008B6D53"/>
    <w:rsid w:val="008B71AE"/>
    <w:rsid w:val="008B76C2"/>
    <w:rsid w:val="008B7E34"/>
    <w:rsid w:val="008C0C1C"/>
    <w:rsid w:val="008C273D"/>
    <w:rsid w:val="008C3C7B"/>
    <w:rsid w:val="008C7B23"/>
    <w:rsid w:val="008D0C31"/>
    <w:rsid w:val="008D135C"/>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9C9"/>
    <w:rsid w:val="00932FB0"/>
    <w:rsid w:val="00933285"/>
    <w:rsid w:val="00936F07"/>
    <w:rsid w:val="00937231"/>
    <w:rsid w:val="00941779"/>
    <w:rsid w:val="009419D8"/>
    <w:rsid w:val="00942111"/>
    <w:rsid w:val="00943185"/>
    <w:rsid w:val="00944269"/>
    <w:rsid w:val="00947136"/>
    <w:rsid w:val="009473AB"/>
    <w:rsid w:val="00947803"/>
    <w:rsid w:val="00950FA4"/>
    <w:rsid w:val="0095126F"/>
    <w:rsid w:val="00952CBD"/>
    <w:rsid w:val="009545DA"/>
    <w:rsid w:val="009566CE"/>
    <w:rsid w:val="00956807"/>
    <w:rsid w:val="009578A7"/>
    <w:rsid w:val="00957E9A"/>
    <w:rsid w:val="009607F0"/>
    <w:rsid w:val="00962C56"/>
    <w:rsid w:val="00963478"/>
    <w:rsid w:val="009636FE"/>
    <w:rsid w:val="00963F1D"/>
    <w:rsid w:val="0096494F"/>
    <w:rsid w:val="009669C0"/>
    <w:rsid w:val="00971369"/>
    <w:rsid w:val="00973F60"/>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C0C"/>
    <w:rsid w:val="009D1F48"/>
    <w:rsid w:val="009D2703"/>
    <w:rsid w:val="009D43B6"/>
    <w:rsid w:val="009D482A"/>
    <w:rsid w:val="009D530E"/>
    <w:rsid w:val="009D5931"/>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50BC"/>
    <w:rsid w:val="00A0736C"/>
    <w:rsid w:val="00A07B4F"/>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2F35"/>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258A"/>
    <w:rsid w:val="00AB3EE0"/>
    <w:rsid w:val="00AB4478"/>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2DDB"/>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27C92"/>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2B"/>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5A0"/>
    <w:rsid w:val="00BF4ABB"/>
    <w:rsid w:val="00BF5335"/>
    <w:rsid w:val="00BF6C11"/>
    <w:rsid w:val="00BF6CF5"/>
    <w:rsid w:val="00BF7208"/>
    <w:rsid w:val="00BF7334"/>
    <w:rsid w:val="00C000B8"/>
    <w:rsid w:val="00C00E84"/>
    <w:rsid w:val="00C01C38"/>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04EA"/>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AE8"/>
    <w:rsid w:val="00C70BE7"/>
    <w:rsid w:val="00C72DA0"/>
    <w:rsid w:val="00C74627"/>
    <w:rsid w:val="00C75DA2"/>
    <w:rsid w:val="00C76901"/>
    <w:rsid w:val="00C82DBF"/>
    <w:rsid w:val="00C844A2"/>
    <w:rsid w:val="00C9063E"/>
    <w:rsid w:val="00C91A84"/>
    <w:rsid w:val="00C92592"/>
    <w:rsid w:val="00C93101"/>
    <w:rsid w:val="00C93216"/>
    <w:rsid w:val="00C97F0F"/>
    <w:rsid w:val="00CA0971"/>
    <w:rsid w:val="00CA3073"/>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1893"/>
    <w:rsid w:val="00D043E5"/>
    <w:rsid w:val="00D108FF"/>
    <w:rsid w:val="00D111B6"/>
    <w:rsid w:val="00D11A48"/>
    <w:rsid w:val="00D12D3D"/>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98B"/>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C42CD"/>
    <w:rsid w:val="00ED0CB7"/>
    <w:rsid w:val="00ED1067"/>
    <w:rsid w:val="00ED1F63"/>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6D"/>
    <w:rsid w:val="00F80072"/>
    <w:rsid w:val="00F82413"/>
    <w:rsid w:val="00F831A4"/>
    <w:rsid w:val="00F84EFC"/>
    <w:rsid w:val="00F856DD"/>
    <w:rsid w:val="00F85E37"/>
    <w:rsid w:val="00F86BB6"/>
    <w:rsid w:val="00F86F07"/>
    <w:rsid w:val="00F900A3"/>
    <w:rsid w:val="00F92CAC"/>
    <w:rsid w:val="00F94083"/>
    <w:rsid w:val="00F95504"/>
    <w:rsid w:val="00F9578A"/>
    <w:rsid w:val="00F959D3"/>
    <w:rsid w:val="00F9634D"/>
    <w:rsid w:val="00F974B0"/>
    <w:rsid w:val="00FA07F7"/>
    <w:rsid w:val="00FA413C"/>
    <w:rsid w:val="00FA5409"/>
    <w:rsid w:val="00FA587F"/>
    <w:rsid w:val="00FB2FD2"/>
    <w:rsid w:val="00FB3066"/>
    <w:rsid w:val="00FB390C"/>
    <w:rsid w:val="00FB45FD"/>
    <w:rsid w:val="00FB4B43"/>
    <w:rsid w:val="00FB551C"/>
    <w:rsid w:val="00FB71E0"/>
    <w:rsid w:val="00FC3114"/>
    <w:rsid w:val="00FC4B3A"/>
    <w:rsid w:val="00FC590D"/>
    <w:rsid w:val="00FC6A3B"/>
    <w:rsid w:val="00FC779C"/>
    <w:rsid w:val="00FD0395"/>
    <w:rsid w:val="00FD23E3"/>
    <w:rsid w:val="00FD2B40"/>
    <w:rsid w:val="00FD3152"/>
    <w:rsid w:val="00FD4A73"/>
    <w:rsid w:val="00FD55C2"/>
    <w:rsid w:val="00FD73EF"/>
    <w:rsid w:val="00FE27C2"/>
    <w:rsid w:val="00FE28F7"/>
    <w:rsid w:val="00FE5413"/>
    <w:rsid w:val="00FF0A2F"/>
    <w:rsid w:val="00FF0EEC"/>
    <w:rsid w:val="00FF166C"/>
    <w:rsid w:val="00FF1EDC"/>
    <w:rsid w:val="00FF43A3"/>
    <w:rsid w:val="00FF7FC1"/>
    <w:rsid w:val="7E7F4C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EE1EA"/>
  <w15:docId w15:val="{A040EF55-9F43-43F1-94FA-37EAFD45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Indent"/>
    <w:basedOn w:val="a"/>
    <w:link w:val="a6"/>
    <w:qFormat/>
    <w:pPr>
      <w:spacing w:after="0" w:line="240" w:lineRule="auto"/>
      <w:jc w:val="both"/>
    </w:pPr>
    <w:rPr>
      <w:rFonts w:ascii="Times New Roman" w:eastAsia="Times New Roman" w:hAnsi="Times New Roman" w:cs="Times New Roman"/>
      <w:sz w:val="28"/>
      <w:szCs w:val="20"/>
    </w:rPr>
  </w:style>
  <w:style w:type="character" w:styleId="a7">
    <w:name w:val="annotation reference"/>
    <w:basedOn w:val="a0"/>
    <w:uiPriority w:val="99"/>
    <w:semiHidden/>
    <w:unhideWhenUsed/>
    <w:qFormat/>
    <w:rPr>
      <w:sz w:val="16"/>
      <w:szCs w:val="16"/>
    </w:rPr>
  </w:style>
  <w:style w:type="paragraph" w:styleId="a8">
    <w:name w:val="annotation text"/>
    <w:basedOn w:val="a"/>
    <w:link w:val="a9"/>
    <w:uiPriority w:val="99"/>
    <w:semiHidden/>
    <w:unhideWhenUsed/>
    <w:pPr>
      <w:spacing w:line="240" w:lineRule="auto"/>
    </w:pPr>
    <w:rPr>
      <w:sz w:val="20"/>
      <w:szCs w:val="20"/>
    </w:rPr>
  </w:style>
  <w:style w:type="paragraph" w:styleId="aa">
    <w:name w:val="annotation subject"/>
    <w:basedOn w:val="a8"/>
    <w:next w:val="a8"/>
    <w:link w:val="ab"/>
    <w:unhideWhenUsed/>
    <w:qFormat/>
    <w:rPr>
      <w:b/>
      <w:bCs/>
    </w:rPr>
  </w:style>
  <w:style w:type="paragraph" w:styleId="ac">
    <w:name w:val="footer"/>
    <w:basedOn w:val="a"/>
    <w:link w:val="ad"/>
    <w:uiPriority w:val="99"/>
    <w:unhideWhenUsed/>
    <w:pPr>
      <w:tabs>
        <w:tab w:val="center" w:pos="4536"/>
        <w:tab w:val="right" w:pos="9072"/>
      </w:tabs>
      <w:spacing w:after="0" w:line="240" w:lineRule="auto"/>
    </w:pPr>
  </w:style>
  <w:style w:type="paragraph" w:styleId="ae">
    <w:name w:val="header"/>
    <w:basedOn w:val="a"/>
    <w:link w:val="af"/>
    <w:uiPriority w:val="99"/>
    <w:unhideWhenUsed/>
    <w:pPr>
      <w:tabs>
        <w:tab w:val="center" w:pos="4536"/>
        <w:tab w:val="right" w:pos="9072"/>
      </w:tabs>
      <w:spacing w:after="0" w:line="240" w:lineRule="auto"/>
    </w:pPr>
  </w:style>
  <w:style w:type="character" w:styleId="af0">
    <w:name w:val="Hyperlink"/>
    <w:basedOn w:val="a0"/>
    <w:uiPriority w:val="99"/>
    <w:unhideWhenUsed/>
    <w:qFormat/>
    <w:rPr>
      <w:color w:val="0000FF" w:themeColor="hyperlink"/>
      <w:u w:val="single"/>
    </w:rPr>
  </w:style>
  <w:style w:type="paragraph" w:styleId="af1">
    <w:name w:val="Normal (Web)"/>
    <w:basedOn w:val="a"/>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Pr>
      <w:b/>
      <w:bCs/>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uiPriority w:val="39"/>
    <w:unhideWhenUsed/>
    <w:qFormat/>
    <w:pPr>
      <w:spacing w:after="100"/>
    </w:pPr>
  </w:style>
  <w:style w:type="paragraph" w:styleId="21">
    <w:name w:val="toc 2"/>
    <w:basedOn w:val="a"/>
    <w:next w:val="a"/>
    <w:uiPriority w:val="39"/>
    <w:unhideWhenUsed/>
    <w:qFormat/>
    <w:pPr>
      <w:tabs>
        <w:tab w:val="right" w:leader="dot" w:pos="9628"/>
      </w:tabs>
      <w:spacing w:after="100"/>
      <w:ind w:left="220"/>
    </w:pPr>
  </w:style>
  <w:style w:type="paragraph" w:styleId="31">
    <w:name w:val="toc 3"/>
    <w:basedOn w:val="a"/>
    <w:next w:val="a"/>
    <w:uiPriority w:val="39"/>
    <w:unhideWhenUsed/>
    <w:qFormat/>
    <w:pPr>
      <w:spacing w:after="100"/>
      <w:ind w:left="440"/>
    </w:pPr>
  </w:style>
  <w:style w:type="character" w:customStyle="1" w:styleId="a4">
    <w:name w:val="Изнесен текст Знак"/>
    <w:basedOn w:val="a0"/>
    <w:link w:val="a3"/>
    <w:uiPriority w:val="99"/>
    <w:semiHidden/>
    <w:rPr>
      <w:rFonts w:ascii="Tahoma" w:hAnsi="Tahoma" w:cs="Tahoma"/>
      <w:sz w:val="16"/>
      <w:szCs w:val="16"/>
    </w:rPr>
  </w:style>
  <w:style w:type="character" w:customStyle="1" w:styleId="10">
    <w:name w:val="Заглавие 1 Знак"/>
    <w:basedOn w:val="a0"/>
    <w:link w:val="1"/>
    <w:uiPriority w:val="9"/>
    <w:rPr>
      <w:rFonts w:asciiTheme="majorHAnsi" w:eastAsiaTheme="majorEastAsia" w:hAnsiTheme="majorHAnsi" w:cstheme="majorBidi"/>
      <w:b/>
      <w:bCs/>
      <w:color w:val="365F91" w:themeColor="accent1" w:themeShade="BF"/>
      <w:sz w:val="28"/>
      <w:szCs w:val="28"/>
    </w:rPr>
  </w:style>
  <w:style w:type="paragraph" w:customStyle="1" w:styleId="12">
    <w:name w:val="Заглавие от съдържание1"/>
    <w:basedOn w:val="1"/>
    <w:next w:val="a"/>
    <w:uiPriority w:val="39"/>
    <w:unhideWhenUsed/>
    <w:qFormat/>
    <w:pPr>
      <w:outlineLvl w:val="9"/>
    </w:pPr>
  </w:style>
  <w:style w:type="character" w:customStyle="1" w:styleId="af">
    <w:name w:val="Горен колонтитул Знак"/>
    <w:basedOn w:val="a0"/>
    <w:link w:val="ae"/>
    <w:uiPriority w:val="99"/>
  </w:style>
  <w:style w:type="character" w:customStyle="1" w:styleId="ad">
    <w:name w:val="Долен колонтитул Знак"/>
    <w:basedOn w:val="a0"/>
    <w:link w:val="ac"/>
    <w:uiPriority w:val="99"/>
  </w:style>
  <w:style w:type="character" w:customStyle="1" w:styleId="20">
    <w:name w:val="Заглавие 2 Знак"/>
    <w:basedOn w:val="a0"/>
    <w:link w:val="2"/>
    <w:uiPriority w:val="9"/>
    <w:qFormat/>
    <w:rPr>
      <w:rFonts w:asciiTheme="majorHAnsi" w:eastAsiaTheme="majorEastAsia" w:hAnsiTheme="majorHAnsi" w:cstheme="majorBidi"/>
      <w:color w:val="365F91" w:themeColor="accent1" w:themeShade="BF"/>
      <w:sz w:val="26"/>
      <w:szCs w:val="26"/>
    </w:rPr>
  </w:style>
  <w:style w:type="paragraph" w:styleId="af4">
    <w:name w:val="List Paragraph"/>
    <w:basedOn w:val="a"/>
    <w:uiPriority w:val="34"/>
    <w:qFormat/>
    <w:pPr>
      <w:ind w:left="720"/>
      <w:contextualSpacing/>
    </w:pPr>
  </w:style>
  <w:style w:type="character" w:customStyle="1" w:styleId="a6">
    <w:name w:val="Основен текст с отстъп Знак"/>
    <w:basedOn w:val="a0"/>
    <w:link w:val="a5"/>
    <w:rPr>
      <w:rFonts w:ascii="Times New Roman" w:eastAsia="Times New Roman" w:hAnsi="Times New Roman" w:cs="Times New Roman"/>
      <w:sz w:val="28"/>
      <w:szCs w:val="20"/>
    </w:rPr>
  </w:style>
  <w:style w:type="character" w:customStyle="1" w:styleId="a9">
    <w:name w:val="Текст на коментар Знак"/>
    <w:basedOn w:val="a0"/>
    <w:link w:val="a8"/>
    <w:uiPriority w:val="99"/>
    <w:semiHidden/>
    <w:rPr>
      <w:sz w:val="20"/>
      <w:szCs w:val="20"/>
    </w:rPr>
  </w:style>
  <w:style w:type="character" w:customStyle="1" w:styleId="ab">
    <w:name w:val="Предмет на коментар Знак"/>
    <w:basedOn w:val="a9"/>
    <w:link w:val="aa"/>
    <w:qFormat/>
    <w:rPr>
      <w:b/>
      <w:bCs/>
      <w:sz w:val="20"/>
      <w:szCs w:val="20"/>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table" w:customStyle="1" w:styleId="TableGrid4">
    <w:name w:val="Table Grid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Гълъбово1"/>
    <w:basedOn w:val="a"/>
    <w:link w:val="1Char"/>
    <w:qFormat/>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3"/>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Pr>
      <w:rFonts w:asciiTheme="majorHAnsi" w:eastAsiaTheme="majorEastAsia" w:hAnsiTheme="majorHAnsi" w:cstheme="majorBidi"/>
      <w:b/>
      <w:bCs/>
      <w:color w:val="4F81BD" w:themeColor="accent1"/>
    </w:rPr>
  </w:style>
  <w:style w:type="table" w:customStyle="1" w:styleId="TableGrid1">
    <w:name w:val="Table Grid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ен текст (7)_"/>
    <w:basedOn w:val="a0"/>
    <w:link w:val="70"/>
    <w:uiPriority w:val="99"/>
    <w:rPr>
      <w:rFonts w:ascii="Times New Roman" w:hAnsi="Times New Roman" w:cs="Times New Roman"/>
      <w:sz w:val="18"/>
      <w:szCs w:val="18"/>
      <w:shd w:val="clear" w:color="auto" w:fill="FFFFFF"/>
    </w:rPr>
  </w:style>
  <w:style w:type="paragraph" w:customStyle="1" w:styleId="70">
    <w:name w:val="Основен текст (7)"/>
    <w:basedOn w:val="a"/>
    <w:link w:val="7"/>
    <w:uiPriority w:val="99"/>
    <w:pPr>
      <w:shd w:val="clear" w:color="auto" w:fill="FFFFFF"/>
      <w:spacing w:after="0" w:line="240" w:lineRule="atLeast"/>
      <w:jc w:val="both"/>
    </w:pPr>
    <w:rPr>
      <w:rFonts w:ascii="Times New Roman" w:hAnsi="Times New Roman" w:cs="Times New Roman"/>
      <w:sz w:val="18"/>
      <w:szCs w:val="18"/>
    </w:rPr>
  </w:style>
  <w:style w:type="character" w:customStyle="1" w:styleId="71">
    <w:name w:val="Основен текст (7) + Удебелен"/>
    <w:basedOn w:val="7"/>
    <w:uiPriority w:val="99"/>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Pr>
      <w:rFonts w:ascii="Times New Roman" w:hAnsi="Times New Roman" w:cs="Times New Roman"/>
      <w:b/>
      <w:bCs/>
      <w:i/>
      <w:iCs/>
      <w:sz w:val="18"/>
      <w:szCs w:val="18"/>
      <w:shd w:val="clear" w:color="auto" w:fill="FFFFFF"/>
    </w:rPr>
  </w:style>
  <w:style w:type="paragraph" w:customStyle="1" w:styleId="80">
    <w:name w:val="Основен текст (8)"/>
    <w:basedOn w:val="a"/>
    <w:link w:val="8"/>
    <w:uiPriority w:val="99"/>
    <w:pPr>
      <w:shd w:val="clear" w:color="auto" w:fill="FFFFFF"/>
      <w:spacing w:after="0" w:line="226" w:lineRule="exact"/>
      <w:jc w:val="both"/>
    </w:pPr>
    <w:rPr>
      <w:rFonts w:ascii="Times New Roman" w:hAnsi="Times New Roman" w:cs="Times New Roman"/>
      <w:b/>
      <w:bCs/>
      <w:i/>
      <w:iCs/>
      <w:sz w:val="18"/>
      <w:szCs w:val="18"/>
    </w:rPr>
  </w:style>
  <w:style w:type="character" w:customStyle="1" w:styleId="81">
    <w:name w:val="Основен текст (8) + Не е удебелен"/>
    <w:basedOn w:val="8"/>
    <w:uiPriority w:val="99"/>
    <w:qFormat/>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Pr>
      <w:rFonts w:ascii="Times New Roman" w:hAnsi="Times New Roman" w:cs="Times New Roman"/>
      <w:b/>
      <w:bCs/>
      <w:i/>
      <w:iCs/>
      <w:sz w:val="18"/>
      <w:szCs w:val="18"/>
      <w:shd w:val="clear" w:color="auto" w:fill="FFFFFF"/>
    </w:rPr>
  </w:style>
  <w:style w:type="character" w:customStyle="1" w:styleId="710">
    <w:name w:val="Основен текст (7) + Удебелен1"/>
    <w:basedOn w:val="7"/>
    <w:uiPriority w:val="99"/>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Pr>
      <w:rFonts w:ascii="Times New Roman" w:hAnsi="Times New Roman" w:cs="Times New Roman"/>
      <w:spacing w:val="30"/>
      <w:sz w:val="8"/>
      <w:szCs w:val="8"/>
      <w:shd w:val="clear" w:color="auto" w:fill="FFFFFF"/>
    </w:rPr>
  </w:style>
  <w:style w:type="paragraph" w:customStyle="1" w:styleId="310">
    <w:name w:val="Заглавие на изображение (3)1"/>
    <w:basedOn w:val="a"/>
    <w:link w:val="32"/>
    <w:uiPriority w:val="99"/>
    <w:qFormat/>
    <w:pPr>
      <w:shd w:val="clear" w:color="auto" w:fill="FFFFFF"/>
      <w:spacing w:after="0" w:line="240" w:lineRule="atLeast"/>
    </w:pPr>
    <w:rPr>
      <w:rFonts w:ascii="Times New Roman" w:hAnsi="Times New Roman" w:cs="Times New Roman"/>
      <w:spacing w:val="30"/>
      <w:sz w:val="8"/>
      <w:szCs w:val="8"/>
    </w:rPr>
  </w:style>
  <w:style w:type="character" w:customStyle="1" w:styleId="33">
    <w:name w:val="Заглавие на изображение (3)"/>
    <w:basedOn w:val="32"/>
    <w:uiPriority w:val="99"/>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Pr>
      <w:rFonts w:ascii="Tahoma" w:hAnsi="Tahoma" w:cs="Tahoma"/>
      <w:sz w:val="14"/>
      <w:szCs w:val="14"/>
      <w:shd w:val="clear" w:color="auto" w:fill="FFFFFF"/>
    </w:rPr>
  </w:style>
  <w:style w:type="paragraph" w:customStyle="1" w:styleId="41">
    <w:name w:val="Заглавие на изображение (4)1"/>
    <w:basedOn w:val="a"/>
    <w:link w:val="4"/>
    <w:uiPriority w:val="99"/>
    <w:pPr>
      <w:shd w:val="clear" w:color="auto" w:fill="FFFFFF"/>
      <w:spacing w:after="0" w:line="168" w:lineRule="exact"/>
      <w:jc w:val="both"/>
    </w:pPr>
    <w:rPr>
      <w:rFonts w:ascii="Tahoma" w:hAnsi="Tahoma" w:cs="Tahoma"/>
      <w:sz w:val="14"/>
      <w:szCs w:val="14"/>
    </w:rPr>
  </w:style>
  <w:style w:type="character" w:customStyle="1" w:styleId="40">
    <w:name w:val="Заглавие на изображение (4)"/>
    <w:basedOn w:val="4"/>
    <w:uiPriority w:val="99"/>
    <w:rPr>
      <w:rFonts w:ascii="Tahoma" w:hAnsi="Tahoma" w:cs="Tahoma"/>
      <w:sz w:val="14"/>
      <w:szCs w:val="14"/>
      <w:shd w:val="clear" w:color="auto" w:fill="FFFFFF"/>
    </w:rPr>
  </w:style>
  <w:style w:type="character" w:customStyle="1" w:styleId="416">
    <w:name w:val="Заглавие на изображение (4)16"/>
    <w:basedOn w:val="4"/>
    <w:uiPriority w:val="99"/>
    <w:rPr>
      <w:rFonts w:ascii="Tahoma" w:hAnsi="Tahoma" w:cs="Tahoma"/>
      <w:sz w:val="14"/>
      <w:szCs w:val="14"/>
      <w:shd w:val="clear" w:color="auto" w:fill="FFFFFF"/>
    </w:rPr>
  </w:style>
  <w:style w:type="character" w:customStyle="1" w:styleId="38">
    <w:name w:val="Заглавие на изображение (3)8"/>
    <w:basedOn w:val="32"/>
    <w:uiPriority w:val="99"/>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Pr>
      <w:rFonts w:ascii="Tahoma" w:hAnsi="Tahoma" w:cs="Tahoma"/>
      <w:sz w:val="14"/>
      <w:szCs w:val="14"/>
      <w:shd w:val="clear" w:color="auto" w:fill="FFFFFF"/>
    </w:rPr>
  </w:style>
  <w:style w:type="character" w:customStyle="1" w:styleId="414">
    <w:name w:val="Заглавие на изображение (4)14"/>
    <w:basedOn w:val="4"/>
    <w:uiPriority w:val="99"/>
    <w:rPr>
      <w:rFonts w:ascii="Tahoma" w:hAnsi="Tahoma" w:cs="Tahoma"/>
      <w:sz w:val="14"/>
      <w:szCs w:val="14"/>
      <w:shd w:val="clear" w:color="auto" w:fill="FFFFFF"/>
    </w:rPr>
  </w:style>
  <w:style w:type="character" w:customStyle="1" w:styleId="af5">
    <w:name w:val="Заглавие на изображение_"/>
    <w:basedOn w:val="a0"/>
    <w:link w:val="14"/>
    <w:uiPriority w:val="99"/>
    <w:rPr>
      <w:rFonts w:ascii="Tahoma" w:hAnsi="Tahoma" w:cs="Tahoma"/>
      <w:sz w:val="11"/>
      <w:szCs w:val="11"/>
      <w:shd w:val="clear" w:color="auto" w:fill="FFFFFF"/>
    </w:rPr>
  </w:style>
  <w:style w:type="paragraph" w:customStyle="1" w:styleId="14">
    <w:name w:val="Заглавие на изображение1"/>
    <w:basedOn w:val="a"/>
    <w:link w:val="af5"/>
    <w:uiPriority w:val="99"/>
    <w:pPr>
      <w:shd w:val="clear" w:color="auto" w:fill="FFFFFF"/>
      <w:spacing w:after="0" w:line="125" w:lineRule="exact"/>
      <w:jc w:val="both"/>
    </w:pPr>
    <w:rPr>
      <w:rFonts w:ascii="Tahoma" w:hAnsi="Tahoma" w:cs="Tahoma"/>
      <w:sz w:val="11"/>
      <w:szCs w:val="11"/>
    </w:rPr>
  </w:style>
  <w:style w:type="character" w:customStyle="1" w:styleId="22">
    <w:name w:val="Заглавие на изображение (2)_"/>
    <w:basedOn w:val="a0"/>
    <w:link w:val="210"/>
    <w:uiPriority w:val="99"/>
    <w:rPr>
      <w:rFonts w:ascii="Tahoma" w:hAnsi="Tahoma" w:cs="Tahoma"/>
      <w:sz w:val="17"/>
      <w:szCs w:val="17"/>
      <w:shd w:val="clear" w:color="auto" w:fill="FFFFFF"/>
    </w:rPr>
  </w:style>
  <w:style w:type="paragraph" w:customStyle="1" w:styleId="210">
    <w:name w:val="Заглавие на изображение (2)1"/>
    <w:basedOn w:val="a"/>
    <w:link w:val="22"/>
    <w:uiPriority w:val="99"/>
    <w:pPr>
      <w:shd w:val="clear" w:color="auto" w:fill="FFFFFF"/>
      <w:spacing w:after="0" w:line="240" w:lineRule="atLeast"/>
    </w:pPr>
    <w:rPr>
      <w:rFonts w:ascii="Tahoma" w:hAnsi="Tahoma" w:cs="Tahoma"/>
      <w:sz w:val="17"/>
      <w:szCs w:val="17"/>
    </w:rPr>
  </w:style>
  <w:style w:type="character" w:customStyle="1" w:styleId="af6">
    <w:name w:val="Основен текст_"/>
    <w:basedOn w:val="a0"/>
    <w:link w:val="15"/>
    <w:uiPriority w:val="99"/>
    <w:rPr>
      <w:rFonts w:ascii="Times New Roman" w:hAnsi="Times New Roman" w:cs="Times New Roman"/>
      <w:sz w:val="23"/>
      <w:szCs w:val="23"/>
      <w:shd w:val="clear" w:color="auto" w:fill="FFFFFF"/>
    </w:rPr>
  </w:style>
  <w:style w:type="paragraph" w:customStyle="1" w:styleId="15">
    <w:name w:val="Основен текст1"/>
    <w:basedOn w:val="a"/>
    <w:link w:val="af6"/>
    <w:uiPriority w:val="99"/>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64">
    <w:name w:val="Заглавие на изображение64"/>
    <w:basedOn w:val="af5"/>
    <w:uiPriority w:val="99"/>
    <w:rPr>
      <w:rFonts w:ascii="Tahoma" w:hAnsi="Tahoma" w:cs="Tahoma"/>
      <w:sz w:val="11"/>
      <w:szCs w:val="11"/>
      <w:shd w:val="clear" w:color="auto" w:fill="FFFFFF"/>
    </w:rPr>
  </w:style>
  <w:style w:type="character" w:customStyle="1" w:styleId="63">
    <w:name w:val="Заглавие на изображение63"/>
    <w:basedOn w:val="af5"/>
    <w:uiPriority w:val="99"/>
    <w:rPr>
      <w:rFonts w:ascii="Tahoma" w:hAnsi="Tahoma" w:cs="Tahoma"/>
      <w:sz w:val="11"/>
      <w:szCs w:val="11"/>
      <w:shd w:val="clear" w:color="auto" w:fill="FFFFFF"/>
    </w:rPr>
  </w:style>
  <w:style w:type="character" w:customStyle="1" w:styleId="62">
    <w:name w:val="Заглавие на изображение62"/>
    <w:basedOn w:val="af5"/>
    <w:uiPriority w:val="99"/>
    <w:rPr>
      <w:rFonts w:ascii="Tahoma" w:hAnsi="Tahoma" w:cs="Tahoma"/>
      <w:sz w:val="11"/>
      <w:szCs w:val="11"/>
      <w:shd w:val="clear" w:color="auto" w:fill="FFFFFF"/>
    </w:rPr>
  </w:style>
  <w:style w:type="character" w:customStyle="1" w:styleId="222">
    <w:name w:val="Заглавие на изображение (2)22"/>
    <w:basedOn w:val="22"/>
    <w:uiPriority w:val="99"/>
    <w:rPr>
      <w:rFonts w:ascii="Tahoma" w:hAnsi="Tahoma" w:cs="Tahoma"/>
      <w:sz w:val="17"/>
      <w:szCs w:val="17"/>
      <w:shd w:val="clear" w:color="auto" w:fill="FFFFFF"/>
    </w:rPr>
  </w:style>
  <w:style w:type="character" w:customStyle="1" w:styleId="23">
    <w:name w:val="Основен текст (2)_"/>
    <w:basedOn w:val="a0"/>
    <w:link w:val="211"/>
    <w:uiPriority w:val="99"/>
    <w:rPr>
      <w:rFonts w:ascii="Times New Roman" w:hAnsi="Times New Roman" w:cs="Times New Roman"/>
      <w:b/>
      <w:bCs/>
      <w:sz w:val="23"/>
      <w:szCs w:val="23"/>
      <w:shd w:val="clear" w:color="auto" w:fill="FFFFFF"/>
    </w:rPr>
  </w:style>
  <w:style w:type="paragraph" w:customStyle="1" w:styleId="211">
    <w:name w:val="Основен текст (2)1"/>
    <w:basedOn w:val="a"/>
    <w:link w:val="23"/>
    <w:uiPriority w:val="99"/>
    <w:qFormat/>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110">
    <w:name w:val="Основен текст + Удебелен11"/>
    <w:basedOn w:val="af6"/>
    <w:uiPriority w:val="99"/>
    <w:rPr>
      <w:rFonts w:ascii="Times New Roman" w:hAnsi="Times New Roman" w:cs="Times New Roman"/>
      <w:b/>
      <w:bCs/>
      <w:spacing w:val="0"/>
      <w:sz w:val="23"/>
      <w:szCs w:val="23"/>
      <w:shd w:val="clear" w:color="auto" w:fill="FFFFFF"/>
    </w:rPr>
  </w:style>
  <w:style w:type="character" w:customStyle="1" w:styleId="34">
    <w:name w:val="Заглавие #3_"/>
    <w:basedOn w:val="a0"/>
    <w:link w:val="311"/>
    <w:uiPriority w:val="99"/>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5"/>
    <w:uiPriority w:val="99"/>
    <w:rPr>
      <w:rFonts w:ascii="Tahoma" w:hAnsi="Tahoma" w:cs="Tahoma"/>
      <w:spacing w:val="0"/>
      <w:sz w:val="11"/>
      <w:szCs w:val="11"/>
      <w:shd w:val="clear" w:color="auto" w:fill="FFFFFF"/>
    </w:rPr>
  </w:style>
  <w:style w:type="character" w:customStyle="1" w:styleId="60">
    <w:name w:val="Заглавие на изображение60"/>
    <w:basedOn w:val="af5"/>
    <w:uiPriority w:val="99"/>
    <w:rPr>
      <w:rFonts w:ascii="Tahoma" w:hAnsi="Tahoma" w:cs="Tahoma"/>
      <w:spacing w:val="0"/>
      <w:sz w:val="11"/>
      <w:szCs w:val="11"/>
      <w:shd w:val="clear" w:color="auto" w:fill="FFFFFF"/>
    </w:rPr>
  </w:style>
  <w:style w:type="character" w:customStyle="1" w:styleId="59">
    <w:name w:val="Заглавие на изображение59"/>
    <w:basedOn w:val="af5"/>
    <w:uiPriority w:val="99"/>
    <w:rPr>
      <w:rFonts w:ascii="Tahoma" w:hAnsi="Tahoma" w:cs="Tahoma"/>
      <w:spacing w:val="0"/>
      <w:sz w:val="11"/>
      <w:szCs w:val="11"/>
      <w:shd w:val="clear" w:color="auto" w:fill="FFFFFF"/>
    </w:rPr>
  </w:style>
  <w:style w:type="character" w:customStyle="1" w:styleId="221">
    <w:name w:val="Заглавие на изображение (2)21"/>
    <w:basedOn w:val="22"/>
    <w:uiPriority w:val="99"/>
    <w:rPr>
      <w:rFonts w:ascii="Tahoma" w:hAnsi="Tahoma" w:cs="Tahoma"/>
      <w:spacing w:val="0"/>
      <w:w w:val="100"/>
      <w:sz w:val="17"/>
      <w:szCs w:val="17"/>
      <w:shd w:val="clear" w:color="auto" w:fill="FFFFFF"/>
    </w:rPr>
  </w:style>
  <w:style w:type="character" w:customStyle="1" w:styleId="9">
    <w:name w:val="Основен текст + Удебелен9"/>
    <w:basedOn w:val="af6"/>
    <w:uiPriority w:val="99"/>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Pr>
      <w:rFonts w:ascii="Tahoma" w:hAnsi="Tahoma" w:cs="Tahoma"/>
      <w:spacing w:val="0"/>
      <w:sz w:val="14"/>
      <w:szCs w:val="14"/>
      <w:shd w:val="clear" w:color="auto" w:fill="FFFFFF"/>
    </w:rPr>
  </w:style>
  <w:style w:type="character" w:customStyle="1" w:styleId="52">
    <w:name w:val="Заглавие на изображение52"/>
    <w:basedOn w:val="af5"/>
    <w:uiPriority w:val="99"/>
    <w:rPr>
      <w:rFonts w:ascii="Tahoma" w:hAnsi="Tahoma" w:cs="Tahoma"/>
      <w:spacing w:val="0"/>
      <w:sz w:val="11"/>
      <w:szCs w:val="11"/>
      <w:shd w:val="clear" w:color="auto" w:fill="FFFFFF"/>
    </w:rPr>
  </w:style>
  <w:style w:type="character" w:customStyle="1" w:styleId="51">
    <w:name w:val="Заглавие на изображение51"/>
    <w:basedOn w:val="af5"/>
    <w:uiPriority w:val="99"/>
    <w:rPr>
      <w:rFonts w:ascii="Tahoma" w:hAnsi="Tahoma" w:cs="Tahoma"/>
      <w:spacing w:val="0"/>
      <w:sz w:val="11"/>
      <w:szCs w:val="11"/>
      <w:shd w:val="clear" w:color="auto" w:fill="FFFFFF"/>
    </w:rPr>
  </w:style>
  <w:style w:type="character" w:customStyle="1" w:styleId="50">
    <w:name w:val="Заглавие на изображение50"/>
    <w:basedOn w:val="af5"/>
    <w:uiPriority w:val="99"/>
    <w:rPr>
      <w:rFonts w:ascii="Tahoma" w:hAnsi="Tahoma" w:cs="Tahoma"/>
      <w:spacing w:val="0"/>
      <w:sz w:val="11"/>
      <w:szCs w:val="11"/>
      <w:shd w:val="clear" w:color="auto" w:fill="FFFFFF"/>
    </w:rPr>
  </w:style>
  <w:style w:type="character" w:customStyle="1" w:styleId="218">
    <w:name w:val="Заглавие на изображение (2)18"/>
    <w:basedOn w:val="22"/>
    <w:uiPriority w:val="99"/>
    <w:rPr>
      <w:rFonts w:ascii="Tahoma" w:hAnsi="Tahoma" w:cs="Tahoma"/>
      <w:spacing w:val="0"/>
      <w:w w:val="100"/>
      <w:sz w:val="17"/>
      <w:szCs w:val="17"/>
      <w:shd w:val="clear" w:color="auto" w:fill="FFFFFF"/>
    </w:rPr>
  </w:style>
  <w:style w:type="character" w:customStyle="1" w:styleId="49">
    <w:name w:val="Заглавие на изображение49"/>
    <w:basedOn w:val="af5"/>
    <w:uiPriority w:val="99"/>
    <w:rPr>
      <w:rFonts w:ascii="Tahoma" w:hAnsi="Tahoma" w:cs="Tahoma"/>
      <w:spacing w:val="0"/>
      <w:sz w:val="11"/>
      <w:szCs w:val="11"/>
      <w:shd w:val="clear" w:color="auto" w:fill="FFFFFF"/>
    </w:rPr>
  </w:style>
  <w:style w:type="character" w:customStyle="1" w:styleId="48">
    <w:name w:val="Заглавие на изображение48"/>
    <w:basedOn w:val="af5"/>
    <w:uiPriority w:val="99"/>
    <w:rPr>
      <w:rFonts w:ascii="Tahoma" w:hAnsi="Tahoma" w:cs="Tahoma"/>
      <w:spacing w:val="0"/>
      <w:sz w:val="11"/>
      <w:szCs w:val="11"/>
      <w:shd w:val="clear" w:color="auto" w:fill="FFFFFF"/>
    </w:rPr>
  </w:style>
  <w:style w:type="character" w:customStyle="1" w:styleId="47">
    <w:name w:val="Заглавие на изображение47"/>
    <w:basedOn w:val="af5"/>
    <w:uiPriority w:val="99"/>
    <w:rPr>
      <w:rFonts w:ascii="Tahoma" w:hAnsi="Tahoma" w:cs="Tahoma"/>
      <w:spacing w:val="0"/>
      <w:sz w:val="11"/>
      <w:szCs w:val="11"/>
      <w:shd w:val="clear" w:color="auto" w:fill="FFFFFF"/>
    </w:rPr>
  </w:style>
  <w:style w:type="character" w:customStyle="1" w:styleId="217">
    <w:name w:val="Заглавие на изображение (2)17"/>
    <w:basedOn w:val="22"/>
    <w:uiPriority w:val="99"/>
    <w:rPr>
      <w:rFonts w:ascii="Tahoma" w:hAnsi="Tahoma" w:cs="Tahoma"/>
      <w:spacing w:val="0"/>
      <w:w w:val="100"/>
      <w:sz w:val="17"/>
      <w:szCs w:val="17"/>
      <w:shd w:val="clear" w:color="auto" w:fill="FFFFFF"/>
    </w:rPr>
  </w:style>
  <w:style w:type="character" w:customStyle="1" w:styleId="46">
    <w:name w:val="Заглавие на изображение46"/>
    <w:basedOn w:val="af5"/>
    <w:uiPriority w:val="99"/>
    <w:rPr>
      <w:rFonts w:ascii="Tahoma" w:hAnsi="Tahoma" w:cs="Tahoma"/>
      <w:spacing w:val="0"/>
      <w:sz w:val="11"/>
      <w:szCs w:val="11"/>
      <w:shd w:val="clear" w:color="auto" w:fill="FFFFFF"/>
    </w:rPr>
  </w:style>
  <w:style w:type="character" w:customStyle="1" w:styleId="45">
    <w:name w:val="Заглавие на изображение45"/>
    <w:basedOn w:val="af5"/>
    <w:uiPriority w:val="99"/>
    <w:rPr>
      <w:rFonts w:ascii="Tahoma" w:hAnsi="Tahoma" w:cs="Tahoma"/>
      <w:spacing w:val="0"/>
      <w:sz w:val="11"/>
      <w:szCs w:val="11"/>
      <w:shd w:val="clear" w:color="auto" w:fill="FFFFFF"/>
    </w:rPr>
  </w:style>
  <w:style w:type="character" w:customStyle="1" w:styleId="44">
    <w:name w:val="Заглавие на изображение44"/>
    <w:basedOn w:val="af5"/>
    <w:uiPriority w:val="99"/>
    <w:rPr>
      <w:rFonts w:ascii="Tahoma" w:hAnsi="Tahoma" w:cs="Tahoma"/>
      <w:spacing w:val="0"/>
      <w:sz w:val="11"/>
      <w:szCs w:val="11"/>
      <w:shd w:val="clear" w:color="auto" w:fill="FFFFFF"/>
    </w:rPr>
  </w:style>
  <w:style w:type="character" w:customStyle="1" w:styleId="216">
    <w:name w:val="Заглавие на изображение (2)16"/>
    <w:basedOn w:val="22"/>
    <w:uiPriority w:val="99"/>
    <w:rPr>
      <w:rFonts w:ascii="Tahoma" w:hAnsi="Tahoma" w:cs="Tahoma"/>
      <w:spacing w:val="0"/>
      <w:w w:val="100"/>
      <w:sz w:val="17"/>
      <w:szCs w:val="17"/>
      <w:shd w:val="clear" w:color="auto" w:fill="FFFFFF"/>
    </w:rPr>
  </w:style>
  <w:style w:type="character" w:customStyle="1" w:styleId="11pt11">
    <w:name w:val="Основен текст + 11 pt11"/>
    <w:basedOn w:val="af6"/>
    <w:uiPriority w:val="99"/>
    <w:rPr>
      <w:rFonts w:ascii="Book Antiqua" w:hAnsi="Book Antiqua" w:cs="Book Antiqua"/>
      <w:i/>
      <w:iCs/>
      <w:spacing w:val="0"/>
      <w:sz w:val="22"/>
      <w:szCs w:val="22"/>
      <w:u w:val="single"/>
      <w:shd w:val="clear" w:color="auto" w:fill="FFFFFF"/>
    </w:rPr>
  </w:style>
  <w:style w:type="character" w:customStyle="1" w:styleId="11pt10">
    <w:name w:val="Основен текст + 11 pt10"/>
    <w:basedOn w:val="af6"/>
    <w:uiPriority w:val="99"/>
    <w:rPr>
      <w:rFonts w:ascii="Book Antiqua" w:hAnsi="Book Antiqua" w:cs="Book Antiqua"/>
      <w:i/>
      <w:iCs/>
      <w:spacing w:val="0"/>
      <w:sz w:val="22"/>
      <w:szCs w:val="22"/>
      <w:shd w:val="clear" w:color="auto" w:fill="FFFFFF"/>
    </w:rPr>
  </w:style>
  <w:style w:type="character" w:customStyle="1" w:styleId="5">
    <w:name w:val="Основен текст + Удебелен5"/>
    <w:basedOn w:val="af6"/>
    <w:uiPriority w:val="99"/>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6"/>
    <w:uiPriority w:val="99"/>
    <w:rPr>
      <w:rFonts w:ascii="Book Antiqua" w:hAnsi="Book Antiqua" w:cs="Book Antiqua"/>
      <w:b/>
      <w:bCs/>
      <w:spacing w:val="0"/>
      <w:sz w:val="20"/>
      <w:szCs w:val="20"/>
      <w:shd w:val="clear" w:color="auto" w:fill="FFFFFF"/>
    </w:rPr>
  </w:style>
  <w:style w:type="character" w:customStyle="1" w:styleId="11pt9">
    <w:name w:val="Основен текст + 11 pt9"/>
    <w:basedOn w:val="af6"/>
    <w:uiPriority w:val="99"/>
    <w:rPr>
      <w:rFonts w:ascii="Book Antiqua" w:hAnsi="Book Antiqua" w:cs="Book Antiqua"/>
      <w:i/>
      <w:iCs/>
      <w:spacing w:val="0"/>
      <w:sz w:val="22"/>
      <w:szCs w:val="22"/>
      <w:u w:val="single"/>
      <w:shd w:val="clear" w:color="auto" w:fill="FFFFFF"/>
    </w:rPr>
  </w:style>
  <w:style w:type="character" w:customStyle="1" w:styleId="11pt8">
    <w:name w:val="Основен текст + 11 pt8"/>
    <w:basedOn w:val="af6"/>
    <w:uiPriority w:val="99"/>
    <w:rPr>
      <w:rFonts w:ascii="Book Antiqua" w:hAnsi="Book Antiqua" w:cs="Book Antiqua"/>
      <w:i/>
      <w:iCs/>
      <w:spacing w:val="0"/>
      <w:sz w:val="22"/>
      <w:szCs w:val="22"/>
      <w:shd w:val="clear" w:color="auto" w:fill="FFFFFF"/>
    </w:rPr>
  </w:style>
  <w:style w:type="character" w:customStyle="1" w:styleId="53">
    <w:name w:val="Основен текст5"/>
    <w:basedOn w:val="af6"/>
    <w:uiPriority w:val="99"/>
    <w:rPr>
      <w:rFonts w:ascii="Book Antiqua" w:hAnsi="Book Antiqua" w:cs="Book Antiqua"/>
      <w:spacing w:val="0"/>
      <w:sz w:val="20"/>
      <w:szCs w:val="20"/>
      <w:u w:val="single"/>
      <w:shd w:val="clear" w:color="auto" w:fill="FFFFFF"/>
    </w:rPr>
  </w:style>
  <w:style w:type="character" w:customStyle="1" w:styleId="11pt2">
    <w:name w:val="Основен текст + 11 pt2"/>
    <w:basedOn w:val="af6"/>
    <w:uiPriority w:val="99"/>
    <w:rPr>
      <w:rFonts w:ascii="Book Antiqua" w:hAnsi="Book Antiqua" w:cs="Book Antiqua"/>
      <w:i/>
      <w:iCs/>
      <w:spacing w:val="0"/>
      <w:sz w:val="22"/>
      <w:szCs w:val="22"/>
      <w:shd w:val="clear" w:color="auto" w:fill="FFFFFF"/>
    </w:rPr>
  </w:style>
  <w:style w:type="paragraph" w:customStyle="1" w:styleId="16">
    <w:name w:val="Редакция1"/>
    <w:hidden/>
    <w:uiPriority w:val="99"/>
    <w:semiHidden/>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1" loCatId="hierarchy" qsTypeId="urn:microsoft.com/office/officeart/2005/8/quickstyle/simple1#1" qsCatId="simple" csTypeId="urn:microsoft.com/office/officeart/2005/8/colors/accent1_2#1"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418BADE8-A335-42F9-B8CD-77FEEE0086AE}" type="presOf" srcId="{788A6252-35D5-478A-ADD2-982F1EEAD6C6}" destId="{718715CB-E995-4D75-99E9-52D4BA093623}" srcOrd="0" destOrd="0" presId="urn:microsoft.com/office/officeart/2005/8/layout/hierarchy1#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A3CAB4BC-BDFF-4E26-A5A0-71845F29A72A}" type="presOf" srcId="{7C554C3C-F4C8-4FEE-81E8-0980118E69AC}" destId="{F2351BEE-F595-448B-9763-A850C06A140C}" srcOrd="0" destOrd="0" presId="urn:microsoft.com/office/officeart/2005/8/layout/hierarchy1#1"/>
    <dgm:cxn modelId="{84DB51A3-EC71-46F5-8C3C-3EC26483C077}" type="presOf" srcId="{4EE4CB09-BE85-47EA-918D-62B4DF708DD6}" destId="{CAD75C75-278C-4C76-A804-5E47EFDD15D6}" srcOrd="0" destOrd="0" presId="urn:microsoft.com/office/officeart/2005/8/layout/hierarchy1#1"/>
    <dgm:cxn modelId="{E8F854BB-6EC8-4F37-A7E4-A49CC18F0F84}" type="presOf" srcId="{F846F38B-6F8F-40EC-A8BC-233EC605B1AB}" destId="{EC031C3E-8712-45A3-8861-06DE2A3D703E}" srcOrd="0" destOrd="0" presId="urn:microsoft.com/office/officeart/2005/8/layout/hierarchy1#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ABCE31FD-210B-4C89-BFC8-59B1410CF666}" type="presOf" srcId="{80916CCC-DC51-4166-AEB8-D8CC77A9D947}" destId="{54756D07-D180-414F-8E54-663DE6739C52}" srcOrd="0" destOrd="0" presId="urn:microsoft.com/office/officeart/2005/8/layout/hierarchy1#1"/>
    <dgm:cxn modelId="{70E00BD6-FA87-4A31-ABA2-BBF563ACD13C}" type="presOf" srcId="{9A432E36-5C32-4F0A-8B85-CE5103EE1E6F}" destId="{077D3DDB-BDB8-451A-AC53-090708E09491}" srcOrd="0" destOrd="0" presId="urn:microsoft.com/office/officeart/2005/8/layout/hierarchy1#1"/>
    <dgm:cxn modelId="{E1E067D5-2B45-4F3A-B137-1401387850E9}" type="presOf" srcId="{76BB3F35-57A9-4A19-8B7C-A5B223735F82}" destId="{CAB4A617-B74E-4A61-A3F7-4A2CA7927B7E}" srcOrd="0" destOrd="0" presId="urn:microsoft.com/office/officeart/2005/8/layout/hierarchy1#1"/>
    <dgm:cxn modelId="{677CE3CD-98E1-4177-80F9-C6D3847A1B2D}" type="presOf" srcId="{344D50D3-6709-4B77-8E38-35EC37A521CA}" destId="{F169D10F-FACB-4512-8878-B4C46DB47193}" srcOrd="0" destOrd="0" presId="urn:microsoft.com/office/officeart/2005/8/layout/hierarchy1#1"/>
    <dgm:cxn modelId="{EE088CEB-BE7A-48F5-99ED-49A33F613B04}" type="presOf" srcId="{40953101-487C-4B64-AB7F-F66D6EF852DD}" destId="{C0971ED1-7BFB-46A2-B5DE-30DE44310C1A}" srcOrd="0" destOrd="0" presId="urn:microsoft.com/office/officeart/2005/8/layout/hierarchy1#1"/>
    <dgm:cxn modelId="{7EA6B706-40F1-4EDA-A297-A9C35140C664}" type="presOf" srcId="{B47161FD-1641-4C49-8272-0BA6C54C54FF}" destId="{9708F7DA-363A-4CBA-92E2-BA5EBC026911}" srcOrd="0" destOrd="0" presId="urn:microsoft.com/office/officeart/2005/8/layout/hierarchy1#1"/>
    <dgm:cxn modelId="{4859E074-E783-4F72-8576-288031E74E95}" type="presOf" srcId="{71E0369D-C3CF-43EA-8099-6818678372F0}" destId="{336AB084-BFEC-4F45-A7C5-902937929ED8}" srcOrd="0" destOrd="0" presId="urn:microsoft.com/office/officeart/2005/8/layout/hierarchy1#1"/>
    <dgm:cxn modelId="{863DE0E1-3270-47AE-83EE-8D4E96E702DE}" srcId="{788A6252-35D5-478A-ADD2-982F1EEAD6C6}" destId="{59AE2614-6CA2-4D72-8D2E-D37FF42A17F4}" srcOrd="0" destOrd="0" parTransId="{71E0369D-C3CF-43EA-8099-6818678372F0}" sibTransId="{435F0192-68D9-4953-9784-A7B1BEA00AF9}"/>
    <dgm:cxn modelId="{677413A6-861F-451C-B82E-33B27CFCAC2E}" type="presOf" srcId="{59AE2614-6CA2-4D72-8D2E-D37FF42A17F4}" destId="{F9FF3A57-FFCD-445A-B3BF-E3AED3809C07}" srcOrd="0" destOrd="0" presId="urn:microsoft.com/office/officeart/2005/8/layout/hierarchy1#1"/>
    <dgm:cxn modelId="{45DF8B88-043E-4A7A-9997-2FB0F058D897}" type="presOf" srcId="{88E7A6B6-4621-4868-BBA4-24B0B564DE0D}" destId="{F8C5EC30-1F38-431B-A866-A003856D440B}" srcOrd="0" destOrd="0" presId="urn:microsoft.com/office/officeart/2005/8/layout/hierarchy1#1"/>
    <dgm:cxn modelId="{496354A1-8FB3-4A8C-A401-45D84004756B}" type="presOf" srcId="{9990A178-5EB5-4C43-86D5-E7E0B4C3C881}" destId="{11A79220-188D-4876-BEAC-761D9BBC0D5E}" srcOrd="0" destOrd="0" presId="urn:microsoft.com/office/officeart/2005/8/layout/hierarchy1#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43FB4A70-9B0C-43B5-92F6-B5DE1CF0CA40}" type="presParOf" srcId="{F8C5EC30-1F38-431B-A866-A003856D440B}" destId="{58D14E61-4168-4CB0-B0A4-2CB394CD1EF7}" srcOrd="0" destOrd="0" presId="urn:microsoft.com/office/officeart/2005/8/layout/hierarchy1#1"/>
    <dgm:cxn modelId="{5767F321-B281-439A-88C1-C327B6957159}" type="presParOf" srcId="{58D14E61-4168-4CB0-B0A4-2CB394CD1EF7}" destId="{72AB5932-77B5-4EFF-A58C-4D752602AC20}" srcOrd="0" destOrd="0" presId="urn:microsoft.com/office/officeart/2005/8/layout/hierarchy1#1"/>
    <dgm:cxn modelId="{04F04F90-ECD7-4EAF-8D83-D4D7981EB269}" type="presParOf" srcId="{72AB5932-77B5-4EFF-A58C-4D752602AC20}" destId="{81C032BA-AA0A-49DD-A58F-0144E247DEC9}" srcOrd="0" destOrd="0" presId="urn:microsoft.com/office/officeart/2005/8/layout/hierarchy1#1"/>
    <dgm:cxn modelId="{9A8966B0-8FE9-4300-93A3-5C46A8FDB24D}" type="presParOf" srcId="{72AB5932-77B5-4EFF-A58C-4D752602AC20}" destId="{EC031C3E-8712-45A3-8861-06DE2A3D703E}" srcOrd="1" destOrd="0" presId="urn:microsoft.com/office/officeart/2005/8/layout/hierarchy1#1"/>
    <dgm:cxn modelId="{A9D8B644-4255-427F-B17A-E42B52A51E43}" type="presParOf" srcId="{58D14E61-4168-4CB0-B0A4-2CB394CD1EF7}" destId="{C3D79F78-444D-4F75-B67E-01873E1F0DA8}" srcOrd="1" destOrd="0" presId="urn:microsoft.com/office/officeart/2005/8/layout/hierarchy1#1"/>
    <dgm:cxn modelId="{E60A90CC-D699-4C79-BF89-15BD05FB72B3}" type="presParOf" srcId="{C3D79F78-444D-4F75-B67E-01873E1F0DA8}" destId="{CAD75C75-278C-4C76-A804-5E47EFDD15D6}" srcOrd="0" destOrd="0" presId="urn:microsoft.com/office/officeart/2005/8/layout/hierarchy1#1"/>
    <dgm:cxn modelId="{F481A0D0-EA8D-439A-AF1C-3D1C67E77516}" type="presParOf" srcId="{C3D79F78-444D-4F75-B67E-01873E1F0DA8}" destId="{23667CE8-8BA7-46A7-9D36-C09EC8C537EA}" srcOrd="1" destOrd="0" presId="urn:microsoft.com/office/officeart/2005/8/layout/hierarchy1#1"/>
    <dgm:cxn modelId="{B5E9C675-41EA-494A-8F7F-4CE33D2233AF}" type="presParOf" srcId="{23667CE8-8BA7-46A7-9D36-C09EC8C537EA}" destId="{71A421A5-4E97-4048-8110-5FC32FD0F0E1}" srcOrd="0" destOrd="0" presId="urn:microsoft.com/office/officeart/2005/8/layout/hierarchy1#1"/>
    <dgm:cxn modelId="{2C15749C-5CF6-4BD7-8305-B4063BE0B6AB}" type="presParOf" srcId="{71A421A5-4E97-4048-8110-5FC32FD0F0E1}" destId="{09DC96D9-B6FA-40D7-9DDF-F80D4B583263}" srcOrd="0" destOrd="0" presId="urn:microsoft.com/office/officeart/2005/8/layout/hierarchy1#1"/>
    <dgm:cxn modelId="{E1F1E449-6436-43A8-8C4A-22AA143DA66A}" type="presParOf" srcId="{71A421A5-4E97-4048-8110-5FC32FD0F0E1}" destId="{C0971ED1-7BFB-46A2-B5DE-30DE44310C1A}" srcOrd="1" destOrd="0" presId="urn:microsoft.com/office/officeart/2005/8/layout/hierarchy1#1"/>
    <dgm:cxn modelId="{F23ADD79-A4B2-4D59-8521-FED6EE7149FF}" type="presParOf" srcId="{23667CE8-8BA7-46A7-9D36-C09EC8C537EA}" destId="{E8256733-849C-46D9-B025-55A5DF764E5A}" srcOrd="1" destOrd="0" presId="urn:microsoft.com/office/officeart/2005/8/layout/hierarchy1#1"/>
    <dgm:cxn modelId="{2EE885CD-6D31-4516-9532-88F5985446DC}" type="presParOf" srcId="{E8256733-849C-46D9-B025-55A5DF764E5A}" destId="{54756D07-D180-414F-8E54-663DE6739C52}" srcOrd="0" destOrd="0" presId="urn:microsoft.com/office/officeart/2005/8/layout/hierarchy1#1"/>
    <dgm:cxn modelId="{FE830563-2013-4233-BA93-5C597ABF483D}" type="presParOf" srcId="{E8256733-849C-46D9-B025-55A5DF764E5A}" destId="{7A4F68B4-7F26-4FCF-8238-4A2778412214}" srcOrd="1" destOrd="0" presId="urn:microsoft.com/office/officeart/2005/8/layout/hierarchy1#1"/>
    <dgm:cxn modelId="{EB5C5E61-FCC8-482B-98CA-3F6D7668314B}" type="presParOf" srcId="{7A4F68B4-7F26-4FCF-8238-4A2778412214}" destId="{CE7C5FB8-A00C-4CC6-8A67-BCFCBD91A36C}" srcOrd="0" destOrd="0" presId="urn:microsoft.com/office/officeart/2005/8/layout/hierarchy1#1"/>
    <dgm:cxn modelId="{76C5BD7D-0A59-4C7B-AA3F-5C5C85484E69}" type="presParOf" srcId="{CE7C5FB8-A00C-4CC6-8A67-BCFCBD91A36C}" destId="{68BBD9C7-1B28-40BD-AA6B-BCA2600DBF22}" srcOrd="0" destOrd="0" presId="urn:microsoft.com/office/officeart/2005/8/layout/hierarchy1#1"/>
    <dgm:cxn modelId="{8BD5782D-FDAA-45B5-A26E-F1ED4F32AB2C}" type="presParOf" srcId="{CE7C5FB8-A00C-4CC6-8A67-BCFCBD91A36C}" destId="{718715CB-E995-4D75-99E9-52D4BA093623}" srcOrd="1" destOrd="0" presId="urn:microsoft.com/office/officeart/2005/8/layout/hierarchy1#1"/>
    <dgm:cxn modelId="{299B7CAC-A463-4F75-868A-4C63DD66FCEF}" type="presParOf" srcId="{7A4F68B4-7F26-4FCF-8238-4A2778412214}" destId="{9F7F3450-F6D6-45A5-A5FC-E49F09D9B2E2}" srcOrd="1" destOrd="0" presId="urn:microsoft.com/office/officeart/2005/8/layout/hierarchy1#1"/>
    <dgm:cxn modelId="{6C1BBA05-07FA-4598-AF08-7A55D638286C}" type="presParOf" srcId="{9F7F3450-F6D6-45A5-A5FC-E49F09D9B2E2}" destId="{336AB084-BFEC-4F45-A7C5-902937929ED8}" srcOrd="0" destOrd="0" presId="urn:microsoft.com/office/officeart/2005/8/layout/hierarchy1#1"/>
    <dgm:cxn modelId="{9EECA692-AEBE-47B5-A0B9-C04A5EFE0ECA}" type="presParOf" srcId="{9F7F3450-F6D6-45A5-A5FC-E49F09D9B2E2}" destId="{10DC279E-9217-45EE-8BBE-05FB6AC9704B}" srcOrd="1" destOrd="0" presId="urn:microsoft.com/office/officeart/2005/8/layout/hierarchy1#1"/>
    <dgm:cxn modelId="{C6308C94-034F-4D10-8E14-A373F9B92F81}" type="presParOf" srcId="{10DC279E-9217-45EE-8BBE-05FB6AC9704B}" destId="{09FD1C64-2D34-43E5-A81C-0DA4801CCA9E}" srcOrd="0" destOrd="0" presId="urn:microsoft.com/office/officeart/2005/8/layout/hierarchy1#1"/>
    <dgm:cxn modelId="{DE3E09EC-7C73-42F6-8501-1240E445C5F4}" type="presParOf" srcId="{09FD1C64-2D34-43E5-A81C-0DA4801CCA9E}" destId="{840D9E70-AFA9-4918-9784-C8EEFB9B82A1}" srcOrd="0" destOrd="0" presId="urn:microsoft.com/office/officeart/2005/8/layout/hierarchy1#1"/>
    <dgm:cxn modelId="{09A5013A-183E-4798-B0EC-A8DB2F953631}" type="presParOf" srcId="{09FD1C64-2D34-43E5-A81C-0DA4801CCA9E}" destId="{F9FF3A57-FFCD-445A-B3BF-E3AED3809C07}" srcOrd="1" destOrd="0" presId="urn:microsoft.com/office/officeart/2005/8/layout/hierarchy1#1"/>
    <dgm:cxn modelId="{13AD46AA-BD57-45AA-BBD2-FAFD83782E2E}" type="presParOf" srcId="{10DC279E-9217-45EE-8BBE-05FB6AC9704B}" destId="{66207088-03C1-498E-8FC8-B194DCEB10C0}" srcOrd="1" destOrd="0" presId="urn:microsoft.com/office/officeart/2005/8/layout/hierarchy1#1"/>
    <dgm:cxn modelId="{885C9B70-609A-4887-8A82-FF41A00C64D1}" type="presParOf" srcId="{66207088-03C1-498E-8FC8-B194DCEB10C0}" destId="{CAB4A617-B74E-4A61-A3F7-4A2CA7927B7E}" srcOrd="0" destOrd="0" presId="urn:microsoft.com/office/officeart/2005/8/layout/hierarchy1#1"/>
    <dgm:cxn modelId="{D2B7B35C-C6D3-40E0-94CF-8D09710B4AE5}" type="presParOf" srcId="{66207088-03C1-498E-8FC8-B194DCEB10C0}" destId="{F4E5EF9D-93F2-4988-9CE9-A62D4BC829B1}" srcOrd="1" destOrd="0" presId="urn:microsoft.com/office/officeart/2005/8/layout/hierarchy1#1"/>
    <dgm:cxn modelId="{1183C0AC-592A-4113-96EB-18083F4D422C}" type="presParOf" srcId="{F4E5EF9D-93F2-4988-9CE9-A62D4BC829B1}" destId="{B90E47B6-DFC0-4C54-B689-4AC16E556E7D}" srcOrd="0" destOrd="0" presId="urn:microsoft.com/office/officeart/2005/8/layout/hierarchy1#1"/>
    <dgm:cxn modelId="{35FF49BE-B963-43F8-B0A3-F662608C80EE}" type="presParOf" srcId="{B90E47B6-DFC0-4C54-B689-4AC16E556E7D}" destId="{6FEDD2DB-A15E-424A-A265-758ED7498929}" srcOrd="0" destOrd="0" presId="urn:microsoft.com/office/officeart/2005/8/layout/hierarchy1#1"/>
    <dgm:cxn modelId="{6CD4F43D-BE09-461E-9399-183B697144F7}" type="presParOf" srcId="{B90E47B6-DFC0-4C54-B689-4AC16E556E7D}" destId="{9708F7DA-363A-4CBA-92E2-BA5EBC026911}" srcOrd="1" destOrd="0" presId="urn:microsoft.com/office/officeart/2005/8/layout/hierarchy1#1"/>
    <dgm:cxn modelId="{94CD237E-2490-4231-ACEC-322763A2F49B}" type="presParOf" srcId="{F4E5EF9D-93F2-4988-9CE9-A62D4BC829B1}" destId="{5A9FFE70-591F-4096-BD31-6C5557AA03FD}" srcOrd="1" destOrd="0" presId="urn:microsoft.com/office/officeart/2005/8/layout/hierarchy1#1"/>
    <dgm:cxn modelId="{AE4B5C2D-5393-4F79-AFE9-A8D25BDBA8B5}" type="presParOf" srcId="{66207088-03C1-498E-8FC8-B194DCEB10C0}" destId="{11A79220-188D-4876-BEAC-761D9BBC0D5E}" srcOrd="2" destOrd="0" presId="urn:microsoft.com/office/officeart/2005/8/layout/hierarchy1#1"/>
    <dgm:cxn modelId="{523D4C44-51B8-46F2-810C-5C36301F9F8B}" type="presParOf" srcId="{66207088-03C1-498E-8FC8-B194DCEB10C0}" destId="{FD91AB69-CDAC-4E1E-BAB8-D3A1B14F7523}" srcOrd="3" destOrd="0" presId="urn:microsoft.com/office/officeart/2005/8/layout/hierarchy1#1"/>
    <dgm:cxn modelId="{A527CB7F-BDE4-45EE-B4BB-19302310C103}" type="presParOf" srcId="{FD91AB69-CDAC-4E1E-BAB8-D3A1B14F7523}" destId="{0B27911A-1C1D-4EE6-86E8-45BCA41DEB8E}" srcOrd="0" destOrd="0" presId="urn:microsoft.com/office/officeart/2005/8/layout/hierarchy1#1"/>
    <dgm:cxn modelId="{4E88766A-1A9F-442F-ADD2-7CF75BF45B76}" type="presParOf" srcId="{0B27911A-1C1D-4EE6-86E8-45BCA41DEB8E}" destId="{CD7B52CD-32C2-49EE-BEFA-9CE1352CCAD6}" srcOrd="0" destOrd="0" presId="urn:microsoft.com/office/officeart/2005/8/layout/hierarchy1#1"/>
    <dgm:cxn modelId="{69568F2D-A415-4BA5-B753-B4A6B4D0B6EA}" type="presParOf" srcId="{0B27911A-1C1D-4EE6-86E8-45BCA41DEB8E}" destId="{F2351BEE-F595-448B-9763-A850C06A140C}" srcOrd="1" destOrd="0" presId="urn:microsoft.com/office/officeart/2005/8/layout/hierarchy1#1"/>
    <dgm:cxn modelId="{6AD2F5FB-4D2F-45FE-8035-8FB3A9EF4B5D}" type="presParOf" srcId="{FD91AB69-CDAC-4E1E-BAB8-D3A1B14F7523}" destId="{4AEC549B-B65D-464B-A129-FBFA107D75A0}" srcOrd="1" destOrd="0" presId="urn:microsoft.com/office/officeart/2005/8/layout/hierarchy1#1"/>
    <dgm:cxn modelId="{A264C25B-BE49-439C-A46F-F32948DCE0F1}" type="presParOf" srcId="{66207088-03C1-498E-8FC8-B194DCEB10C0}" destId="{077D3DDB-BDB8-451A-AC53-090708E09491}" srcOrd="4" destOrd="0" presId="urn:microsoft.com/office/officeart/2005/8/layout/hierarchy1#1"/>
    <dgm:cxn modelId="{DF9DC632-930B-4BD1-BFB6-D81268B12D48}" type="presParOf" srcId="{66207088-03C1-498E-8FC8-B194DCEB10C0}" destId="{59979A7C-18C5-478C-BF08-4B8D4EB09F99}" srcOrd="5" destOrd="0" presId="urn:microsoft.com/office/officeart/2005/8/layout/hierarchy1#1"/>
    <dgm:cxn modelId="{DCF9D7B1-1E18-4662-805D-8A9DAE5CE441}" type="presParOf" srcId="{59979A7C-18C5-478C-BF08-4B8D4EB09F99}" destId="{003C10DF-C810-4EEE-B596-3101D3818E31}" srcOrd="0" destOrd="0" presId="urn:microsoft.com/office/officeart/2005/8/layout/hierarchy1#1"/>
    <dgm:cxn modelId="{8D4A3BB8-9908-4A46-8C46-5F06A57C0699}" type="presParOf" srcId="{003C10DF-C810-4EEE-B596-3101D3818E31}" destId="{2FCAFEB3-E138-4D65-8756-07C8200A5811}" srcOrd="0" destOrd="0" presId="urn:microsoft.com/office/officeart/2005/8/layout/hierarchy1#1"/>
    <dgm:cxn modelId="{44014F96-3C37-433B-BE99-4EB3DBA7FF82}" type="presParOf" srcId="{003C10DF-C810-4EEE-B596-3101D3818E31}" destId="{F169D10F-FACB-4512-8878-B4C46DB47193}" srcOrd="1" destOrd="0" presId="urn:microsoft.com/office/officeart/2005/8/layout/hierarchy1#1"/>
    <dgm:cxn modelId="{BA18D5F2-CADE-433B-BDF6-589E1426F1A8}" type="presParOf" srcId="{59979A7C-18C5-478C-BF08-4B8D4EB09F99}" destId="{A821DC73-E7A7-45F5-B538-70855EE63C1A}" srcOrd="1" destOrd="0" presId="urn:microsoft.com/office/officeart/2005/8/layout/hierarchy1#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8FFF8-4EC6-40D7-9B61-063ADA2D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39045</Words>
  <Characters>222558</Characters>
  <Application>Microsoft Office Word</Application>
  <DocSecurity>0</DocSecurity>
  <Lines>1854</Lines>
  <Paragraphs>522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261081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Vision</cp:lastModifiedBy>
  <cp:revision>52</cp:revision>
  <cp:lastPrinted>2017-08-29T15:46:00Z</cp:lastPrinted>
  <dcterms:created xsi:type="dcterms:W3CDTF">2020-01-03T14:44:00Z</dcterms:created>
  <dcterms:modified xsi:type="dcterms:W3CDTF">2024-07-05T06:49:00Z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CED9D0AF09584B4CBD3804B3F03AC1CF</vt:lpwstr>
  </property>
</Properties>
</file>